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55DCB" w14:textId="77777777" w:rsidR="00A301D9" w:rsidRPr="00A301D9" w:rsidRDefault="00A301D9" w:rsidP="0059538E">
      <w:pPr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A301D9">
        <w:rPr>
          <w:rFonts w:ascii="Times New Roman" w:hAnsi="Times New Roman" w:cs="Times New Roman"/>
          <w:b/>
          <w:sz w:val="28"/>
          <w:szCs w:val="28"/>
        </w:rPr>
        <w:t>Additional file 2</w:t>
      </w:r>
    </w:p>
    <w:p w14:paraId="2C9C09DE" w14:textId="77777777" w:rsidR="00A301D9" w:rsidRPr="00A301D9" w:rsidRDefault="00A301D9" w:rsidP="0059538E">
      <w:pPr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A301D9">
        <w:rPr>
          <w:rFonts w:ascii="Times New Roman" w:hAnsi="Times New Roman" w:cs="Times New Roman"/>
          <w:b/>
          <w:sz w:val="28"/>
          <w:szCs w:val="28"/>
        </w:rPr>
        <w:t>English-language reporting version of the study-specific and adapted questionnaire components</w:t>
      </w:r>
    </w:p>
    <w:p w14:paraId="79334A4F" w14:textId="77777777" w:rsidR="00A301D9" w:rsidRPr="00A301D9" w:rsidRDefault="00A301D9" w:rsidP="0059538E">
      <w:pPr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i/>
          <w:sz w:val="24"/>
          <w:szCs w:val="24"/>
        </w:rPr>
        <w:t>Quiet quitting among resident physicians at a tertiary university hospital in Türkiye: associations with burnout, work engagement, turnover intention, and workplace violence</w:t>
      </w:r>
    </w:p>
    <w:p w14:paraId="3FB6AF8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Note. </w:t>
      </w:r>
      <w:r w:rsidRPr="00A301D9">
        <w:rPr>
          <w:rFonts w:ascii="Times New Roman" w:hAnsi="Times New Roman" w:cs="Times New Roman"/>
          <w:sz w:val="24"/>
          <w:szCs w:val="24"/>
        </w:rPr>
        <w:t>The questionnaire was administered in Turkish. The complete data-collection questionnaire was assembled specifically for the present study and had not previously been published as a single instrument. This file provides an English-language reporting version of the study-specific and adapted components and identifies the previously published scales by source, response format, and scoring procedure. The full item wording of previously published scales is not reproduced.</w:t>
      </w:r>
    </w:p>
    <w:p w14:paraId="5E78F7E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1. Sociodemographic, occupational, and health-related characteristics</w:t>
      </w:r>
    </w:p>
    <w:p w14:paraId="61CB50A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Age:</w:t>
      </w:r>
    </w:p>
    <w:p w14:paraId="4FE1FA8C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 years</w:t>
      </w:r>
    </w:p>
    <w:p w14:paraId="2B55AB92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Sex:</w:t>
      </w:r>
    </w:p>
    <w:p w14:paraId="10A3CA4C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Female   2) Male</w:t>
      </w:r>
    </w:p>
    <w:p w14:paraId="7694794F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Marital status:</w:t>
      </w:r>
    </w:p>
    <w:p w14:paraId="38FEB24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Single   2) Married   3) Divorced/Widowed</w:t>
      </w:r>
    </w:p>
    <w:p w14:paraId="1E0A1AE6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Number of children:</w:t>
      </w:r>
    </w:p>
    <w:p w14:paraId="04B69983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</w:t>
      </w:r>
    </w:p>
    <w:p w14:paraId="6C2BF3A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1.5.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Year of graduation from medical school:</w:t>
      </w:r>
    </w:p>
    <w:p w14:paraId="6D2F4F4B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</w:t>
      </w:r>
    </w:p>
    <w:p w14:paraId="4B01D360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Department/specialty in which you are currently training:</w:t>
      </w:r>
    </w:p>
    <w:p w14:paraId="2016EFB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AF6A076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1.7.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Current year of residency:</w:t>
      </w:r>
    </w:p>
    <w:p w14:paraId="5276A110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</w:t>
      </w:r>
    </w:p>
    <w:p w14:paraId="2C0DC69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1.8.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Considering the previous month, approximately how many hours per week did you work on average, including on-call shifts?</w:t>
      </w:r>
    </w:p>
    <w:p w14:paraId="2789732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 hours</w:t>
      </w:r>
    </w:p>
    <w:p w14:paraId="5F12FA7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1.9.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Number of on-call shifts in the previous month:</w:t>
      </w:r>
    </w:p>
    <w:p w14:paraId="761F0DD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_____</w:t>
      </w:r>
    </w:p>
    <w:p w14:paraId="2062681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1.10.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Primary type of on-call duty:</w:t>
      </w:r>
    </w:p>
    <w:p w14:paraId="7A41022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lastRenderedPageBreak/>
        <w:t>1) In-hospital on-call duty   2) Home call/on-call availability   3) Both, on a rotating basis   4) I do not undertake on-call duty</w:t>
      </w:r>
    </w:p>
    <w:p w14:paraId="2AFCF91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1.11.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Main unit in which you spent most of your working time during the previous month:</w:t>
      </w:r>
    </w:p>
    <w:p w14:paraId="45ED070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Inpatient ward   2) Outpatient clinic   3) Intensive care unit   4) Emergency department   5) Operating room   6) Laboratory/research unit   7) Field practice/public health service</w:t>
      </w:r>
    </w:p>
    <w:p w14:paraId="3133744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1.12.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Perceived adequacy of income:</w:t>
      </w:r>
    </w:p>
    <w:p w14:paraId="1E01A93B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Inadequate   2) Moderate   3) Adequate</w:t>
      </w:r>
    </w:p>
    <w:p w14:paraId="40C60E8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1.13.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Current stage of your thesis:</w:t>
      </w:r>
    </w:p>
    <w:p w14:paraId="09293A6D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Not started   2) Topic selection/project development   3) Data collection   4) Analysis/writing   5) Completed</w:t>
      </w:r>
    </w:p>
    <w:p w14:paraId="0DB31D1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1.14.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Proportion of annual leave used during the previous 12 months:</w:t>
      </w:r>
    </w:p>
    <w:p w14:paraId="2B701615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None/unable to use leave   2) Less than half   3) About half   4) Most   5) All</w:t>
      </w:r>
    </w:p>
    <w:p w14:paraId="060C00D8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1.15.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Do you have a physician-diagnosed chronic physical or mental health condition that requires regular follow-up or treatment?</w:t>
      </w:r>
    </w:p>
    <w:p w14:paraId="15891073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Yes   2) No   3) Prefer not to disclose</w:t>
      </w:r>
    </w:p>
    <w:p w14:paraId="4648C52C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2. Workplace-violence experience during the previous 12 months</w:t>
      </w:r>
    </w:p>
    <w:p w14:paraId="70C10811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Instruction.</w:t>
      </w:r>
      <w:r w:rsidRPr="00A301D9">
        <w:rPr>
          <w:rFonts w:ascii="Times New Roman" w:hAnsi="Times New Roman" w:cs="Times New Roman"/>
          <w:sz w:val="24"/>
          <w:szCs w:val="24"/>
        </w:rPr>
        <w:t xml:space="preserve"> Please answer the following items with reference to your experiences during the previous 12 months.</w:t>
      </w:r>
    </w:p>
    <w:p w14:paraId="385F6146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Response options. 1 = Never; 2 = Once a year or less often; 3 = Approximately once every six months; 4 = Approximately once a month; 5 = Approximately once a week; 6 = Nearly every day.</w:t>
      </w:r>
    </w:p>
    <w:p w14:paraId="3E237FE3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Pr="00A301D9">
        <w:rPr>
          <w:rFonts w:ascii="Times New Roman" w:hAnsi="Times New Roman" w:cs="Times New Roman"/>
          <w:sz w:val="24"/>
          <w:szCs w:val="24"/>
        </w:rPr>
        <w:t>I was exposed to verbal violence (insults, swearing, shouting, threats, etc.) by a patient or a patient’s relative.</w:t>
      </w:r>
    </w:p>
    <w:p w14:paraId="72EE0FE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A301D9">
        <w:rPr>
          <w:rFonts w:ascii="Times New Roman" w:hAnsi="Times New Roman" w:cs="Times New Roman"/>
          <w:sz w:val="24"/>
          <w:szCs w:val="24"/>
        </w:rPr>
        <w:t>I was exposed to physical violence (pushing, hitting, spitting, assault, etc.) by a patient or a patient’s relative.</w:t>
      </w:r>
    </w:p>
    <w:p w14:paraId="31E565C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Pr="00A301D9">
        <w:rPr>
          <w:rFonts w:ascii="Times New Roman" w:hAnsi="Times New Roman" w:cs="Times New Roman"/>
          <w:sz w:val="24"/>
          <w:szCs w:val="24"/>
        </w:rPr>
        <w:t>I was exposed to sexual comments, sexual behavior, or sexual harassment by a patient or a patient’s relative.</w:t>
      </w:r>
    </w:p>
    <w:p w14:paraId="487ED1DF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2.4. </w:t>
      </w:r>
      <w:r w:rsidRPr="00A301D9">
        <w:rPr>
          <w:rFonts w:ascii="Times New Roman" w:hAnsi="Times New Roman" w:cs="Times New Roman"/>
          <w:sz w:val="24"/>
          <w:szCs w:val="24"/>
        </w:rPr>
        <w:t>I was exposed to psychological violence (mobbing, humiliation, exclusion, unfair task assignment, etc.) by a manager, faculty member, or senior colleague.</w:t>
      </w:r>
    </w:p>
    <w:p w14:paraId="4446298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2.5. </w:t>
      </w:r>
      <w:r w:rsidRPr="00A301D9">
        <w:rPr>
          <w:rFonts w:ascii="Times New Roman" w:hAnsi="Times New Roman" w:cs="Times New Roman"/>
          <w:sz w:val="24"/>
          <w:szCs w:val="24"/>
        </w:rPr>
        <w:t>I was exposed to psychological violence/mobbing by residents at the same level of seniority.</w:t>
      </w:r>
    </w:p>
    <w:p w14:paraId="52B4383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Source and adaptation note. </w:t>
      </w:r>
      <w:r w:rsidRPr="00A301D9">
        <w:rPr>
          <w:rFonts w:ascii="Times New Roman" w:hAnsi="Times New Roman" w:cs="Times New Roman"/>
          <w:i/>
          <w:sz w:val="24"/>
          <w:szCs w:val="24"/>
        </w:rPr>
        <w:t>The items in this section were written for the present study. Their construct definitions and 12-month recall period were informed by the ILO/ICN/WHO/PSI Workplace Violence in the Health Sector survey instrument [2] and the Turkish national adaptation [3].</w:t>
      </w:r>
    </w:p>
    <w:p w14:paraId="66DDB92C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lastRenderedPageBreak/>
        <w:t>Section 3. Follow-up questions about the workplace-violence event that affected the participant most</w:t>
      </w:r>
    </w:p>
    <w:p w14:paraId="6315BE5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Completion rule.</w:t>
      </w:r>
      <w:r w:rsidRPr="00A301D9">
        <w:rPr>
          <w:rFonts w:ascii="Times New Roman" w:hAnsi="Times New Roman" w:cs="Times New Roman"/>
          <w:sz w:val="24"/>
          <w:szCs w:val="24"/>
        </w:rPr>
        <w:t xml:space="preserve"> Complete this section only if you selected “once a year or less often” or a more frequent response for at least one item in Section 2.</w:t>
      </w:r>
    </w:p>
    <w:p w14:paraId="543455B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In which unit did the violence event that affected you most occur?</w:t>
      </w:r>
    </w:p>
    <w:p w14:paraId="76C93135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Outpatient clinic   2) Inpatient ward   3) Emergency department   4) Intensive care unit   5) Operating room   6) Other: _____</w:t>
      </w:r>
    </w:p>
    <w:p w14:paraId="1F71B56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When did this event occur?</w:t>
      </w:r>
    </w:p>
    <w:p w14:paraId="68488FF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Regular working hours (08:00-17:00)   2) Outside regular working hours on a weekday   3) Weekend/public holiday</w:t>
      </w:r>
    </w:p>
    <w:p w14:paraId="42C82AB5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Who perpetrated the violence?</w:t>
      </w:r>
    </w:p>
    <w:p w14:paraId="141B4723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Patient   2) Patient’s relative   3) Patient and patient’s relative together   4) Manager/faculty member/senior colleague   5) Resident at the same level of seniority   6) Other healthcare worker</w:t>
      </w:r>
    </w:p>
    <w:p w14:paraId="7584B3F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Did you report this event through White Code, administrative, or judicial channels?</w:t>
      </w:r>
    </w:p>
    <w:p w14:paraId="7EF94260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Yes   2) No</w:t>
      </w:r>
      <w:r w:rsidRPr="00A301D9">
        <w:rPr>
          <w:rFonts w:ascii="Times New Roman" w:hAnsi="Times New Roman" w:cs="Times New Roman"/>
          <w:sz w:val="24"/>
          <w:szCs w:val="24"/>
        </w:rPr>
        <w:br/>
        <w:t>White Code is Türkiye’s formal reporting mechanism for violence against healthcare workers.</w:t>
      </w:r>
    </w:p>
    <w:p w14:paraId="3B7464DF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If you did not report the event, what was the main reason? (Complete only if you answered “No” to Item 3.4.)</w:t>
      </w:r>
    </w:p>
    <w:p w14:paraId="7B4E8C8F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I thought reporting would not lead to a meaningful outcome   2) I did not want to deal with the reporting process   3) I felt hesitant/worried about negative consequences   4) I did not consider the event serious enough to report   5) Other</w:t>
      </w:r>
    </w:p>
    <w:p w14:paraId="0F734A1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After this event, did you experience concern about being exposed to violence again?</w:t>
      </w:r>
    </w:p>
    <w:p w14:paraId="54EDAC1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No   2) Yes, somewhat   3) Yes, very much</w:t>
      </w:r>
    </w:p>
    <w:p w14:paraId="3CF0E65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3.7.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Do you think violence in healthcare is preventable?</w:t>
      </w:r>
    </w:p>
    <w:p w14:paraId="00C1A9F2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Yes, completely preventable   2) Partly preventable   3) No, I do not think it is preventable</w:t>
      </w:r>
    </w:p>
    <w:p w14:paraId="20A1529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3.8.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Which of the following statements best describes the effect of the workplace-violence event on you? Please select one option only.</w:t>
      </w:r>
    </w:p>
    <w:p w14:paraId="67E9AAF1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1) It did not affect me/does not affect me   2) I felt that my work motivation/productivity decreased   3) I wanted to change my workplace   4) I considered choosing another profession/career   5) I felt that I did not want to work at all   6) I experienced thoughts of self-harm or suicide</w:t>
      </w:r>
    </w:p>
    <w:p w14:paraId="0A4FC738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Response options for Items 3.9-3.12.</w:t>
      </w:r>
      <w:r w:rsidRPr="00A301D9">
        <w:rPr>
          <w:rFonts w:ascii="Times New Roman" w:hAnsi="Times New Roman" w:cs="Times New Roman"/>
          <w:sz w:val="24"/>
          <w:szCs w:val="24"/>
        </w:rPr>
        <w:t xml:space="preserve"> 1 = Not affected or mildly affected; 2 = Moderately affected; 3 = Severely affected.</w:t>
      </w:r>
    </w:p>
    <w:p w14:paraId="319A5B1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3.9. </w:t>
      </w:r>
      <w:r w:rsidRPr="00A301D9">
        <w:rPr>
          <w:rFonts w:ascii="Times New Roman" w:hAnsi="Times New Roman" w:cs="Times New Roman"/>
          <w:b/>
          <w:bCs/>
          <w:sz w:val="24"/>
          <w:szCs w:val="24"/>
        </w:rPr>
        <w:t>To what extent did the workplace-violence event affect your personal well-being and self-care (sleep pattern, eating pattern, physical activity, personal care, clothing, etc.)?</w:t>
      </w:r>
    </w:p>
    <w:p w14:paraId="09A5D14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3.10. </w:t>
      </w:r>
      <w:r w:rsidRPr="00A301D9">
        <w:rPr>
          <w:rFonts w:ascii="Times New Roman" w:hAnsi="Times New Roman" w:cs="Times New Roman"/>
          <w:sz w:val="24"/>
          <w:szCs w:val="24"/>
        </w:rPr>
        <w:t>To what extent did the workplace-violence event affect your family life?</w:t>
      </w:r>
    </w:p>
    <w:p w14:paraId="395A9305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3.11. </w:t>
      </w:r>
      <w:r w:rsidRPr="00A301D9">
        <w:rPr>
          <w:rFonts w:ascii="Times New Roman" w:hAnsi="Times New Roman" w:cs="Times New Roman"/>
          <w:sz w:val="24"/>
          <w:szCs w:val="24"/>
        </w:rPr>
        <w:t>To what extent did the workplace-violence event affect your social life?</w:t>
      </w:r>
    </w:p>
    <w:p w14:paraId="62C6F4D1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3.12. </w:t>
      </w:r>
      <w:r w:rsidRPr="00A301D9">
        <w:rPr>
          <w:rFonts w:ascii="Times New Roman" w:hAnsi="Times New Roman" w:cs="Times New Roman"/>
          <w:sz w:val="24"/>
          <w:szCs w:val="24"/>
        </w:rPr>
        <w:t>To what extent did the workplace-violence event affect your mental/psychological well-being (increased irritability, aggression, low self-esteem, etc.)?</w:t>
      </w:r>
    </w:p>
    <w:p w14:paraId="05AAD32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4. Quiet Quitting Scale for Health Professionals (QQS-HP)</w:t>
      </w:r>
    </w:p>
    <w:p w14:paraId="0572BE0F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>Quiet quitting was assessed using the Turkish-language 20-item Quiet Quitting Scale for Health Professionals (QQS-HP), developed and validated in Turkish among health professionals in Türkiye [1]. Participants responded with reference to the previous three months. Items are rated from 1 (“Never”) to 4 (“Always”); total scores range from 20 to 80, with a 14-item Employee Disengagement subscale (items 1-5 and 12-20; range, 14-56) and a six-item Emotional Exhaustion and Depersonalization subscale (items 6-11; range, 6-24). No items are reverse scored. The development-study severity bands (20-40, no signs; 41-48, onset; 49-56, moderate; ≥57, severe) [1] were used descriptively and were not interpreted as clinical thresholds. The full item wording is available in the cited source and is not reproduced here.</w:t>
      </w:r>
    </w:p>
    <w:p w14:paraId="1DF1FED9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4B. Perceived reasons for quiet-quitting-related behavior</w:t>
      </w:r>
    </w:p>
    <w:p w14:paraId="67CA838D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Instruction.</w:t>
      </w:r>
      <w:r w:rsidRPr="00A301D9">
        <w:rPr>
          <w:rFonts w:ascii="Times New Roman" w:hAnsi="Times New Roman" w:cs="Times New Roman"/>
          <w:sz w:val="24"/>
          <w:szCs w:val="24"/>
        </w:rPr>
        <w:t xml:space="preserve"> Participants who responded “Often” or “Always” to at least one QQS-HP item were asked to select one or more factors that they believed contributed to this situation.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0"/>
        <w:gridCol w:w="4482"/>
      </w:tblGrid>
      <w:tr w:rsidR="00A301D9" w:rsidRPr="00A301D9" w14:paraId="45CA5956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F25A551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Unfavorable working conditions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244003F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Increased workload</w:t>
            </w:r>
          </w:p>
        </w:tc>
      </w:tr>
      <w:tr w:rsidR="00A301D9" w:rsidRPr="00A301D9" w14:paraId="0FF118C7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ED21A05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Low wages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D3D3397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Toxic organizational culture</w:t>
            </w:r>
          </w:p>
        </w:tc>
      </w:tr>
      <w:tr w:rsidR="00A301D9" w:rsidRPr="00A301D9" w14:paraId="24BBD288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2F503381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Communication problems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2D4B1F5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Physical or verbal violence by patients or patients’ relatives</w:t>
            </w:r>
          </w:p>
        </w:tc>
      </w:tr>
      <w:tr w:rsidR="00A301D9" w:rsidRPr="00A301D9" w14:paraId="5A2E0233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54886CAB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Psychological violence by team members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0BDBDFB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Psychological violence by managers</w:t>
            </w:r>
          </w:p>
        </w:tc>
      </w:tr>
      <w:tr w:rsidR="00A301D9" w:rsidRPr="00A301D9" w14:paraId="2E65DB05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32174B53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Managers not valuing employees’ opinions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2B17F1A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Disrupted work-life balance (too much time allocated to work and too little time allocated to social life)</w:t>
            </w:r>
          </w:p>
        </w:tc>
      </w:tr>
      <w:tr w:rsidR="00A301D9" w:rsidRPr="00A301D9" w14:paraId="05344B5D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149008BD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Inability to use annual leave sufficiently/restrictions on annual leave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74ABFDCB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Lack of appreciation</w:t>
            </w:r>
          </w:p>
        </w:tc>
      </w:tr>
      <w:tr w:rsidR="00A301D9" w:rsidRPr="00A301D9" w14:paraId="02F80C49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423BD094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Inadequate residency training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BBD9489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Insufficient supervision</w:t>
            </w:r>
          </w:p>
        </w:tc>
      </w:tr>
      <w:tr w:rsidR="00A301D9" w:rsidRPr="00A301D9" w14:paraId="373A0A1C" w14:textId="77777777" w:rsidTr="0059538E">
        <w:trPr>
          <w:trHeight w:val="759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  <w:hideMark/>
          </w:tcPr>
          <w:p w14:paraId="00FC0F0F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D9">
              <w:rPr>
                <w:rFonts w:ascii="Times New Roman" w:hAnsi="Times New Roman" w:cs="Times New Roman"/>
                <w:sz w:val="24"/>
                <w:szCs w:val="24"/>
              </w:rPr>
              <w:t>Pressure related to the thesis process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0DA7151" w14:textId="77777777" w:rsidR="00A301D9" w:rsidRPr="00A301D9" w:rsidRDefault="00A301D9" w:rsidP="0059538E">
            <w:pPr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A2AB2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Source and adaptation note. </w:t>
      </w:r>
      <w:r w:rsidRPr="00A301D9">
        <w:rPr>
          <w:rFonts w:ascii="Times New Roman" w:hAnsi="Times New Roman" w:cs="Times New Roman"/>
          <w:i/>
          <w:sz w:val="24"/>
          <w:szCs w:val="24"/>
        </w:rPr>
        <w:t xml:space="preserve">The 15-option checklist used in the present study comprised all 12 options presented alongside the QQS-HP in the scale-development study [1] plus three residency-specific options: “Inadequate residency training,” “Insufficient supervision,” and </w:t>
      </w:r>
      <w:r w:rsidRPr="00A301D9">
        <w:rPr>
          <w:rFonts w:ascii="Times New Roman" w:hAnsi="Times New Roman" w:cs="Times New Roman"/>
          <w:i/>
          <w:sz w:val="24"/>
          <w:szCs w:val="24"/>
        </w:rPr>
        <w:lastRenderedPageBreak/>
        <w:t>“Pressure related to the thesis process.” The checklist is not included in the calculation of the QQS-HP total or subscale scores and was analyzed separately.</w:t>
      </w:r>
    </w:p>
    <w:p w14:paraId="238D3FAE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5. Turnover Intention Scale</w:t>
      </w:r>
    </w:p>
    <w:p w14:paraId="7CD0AC61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sz w:val="24"/>
          <w:szCs w:val="24"/>
        </w:rPr>
        <w:t xml:space="preserve">Turnover intention was assessed using the Turkish version of the three-item Turnover Intention Scale, originally developed by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Cammann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and colleagues [4] and adapted into Turkish by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Gürbüz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Bekmezci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[5]. The three published Turkish items were administered without modification. Items were rated from 1 (“Strongly disagree”) to 5 (“Strongly agree”) and summed to obtain a total score ranging from 3 to 15. Higher scores indicate greater turnover intention. The full item wording is available in the cited Turkish adaptation and is not reproduced here.</w:t>
      </w:r>
    </w:p>
    <w:p w14:paraId="6C7211F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6. Maslach Burnout Inventory (MBI)</w:t>
      </w:r>
    </w:p>
    <w:p w14:paraId="6F279C46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Response format. </w:t>
      </w:r>
      <w:r w:rsidRPr="00A301D9">
        <w:rPr>
          <w:rFonts w:ascii="Times New Roman" w:hAnsi="Times New Roman" w:cs="Times New Roman"/>
          <w:sz w:val="24"/>
          <w:szCs w:val="24"/>
        </w:rPr>
        <w:t xml:space="preserve">The 22-item MBI [6] was administered using Turkish item wording from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Ergin’s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adaptation [7] and seven frequency categories: Never; a few times a year; once a month or less; a few times a month; once a week; a few times a week; and every day.</w:t>
      </w:r>
    </w:p>
    <w:p w14:paraId="5DA31327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Scoring. </w:t>
      </w:r>
      <w:r w:rsidRPr="00A301D9">
        <w:rPr>
          <w:rFonts w:ascii="Times New Roman" w:hAnsi="Times New Roman" w:cs="Times New Roman"/>
          <w:sz w:val="24"/>
          <w:szCs w:val="24"/>
        </w:rPr>
        <w:t>Responses were coded from 0 (“Never”) to 6 (“Every day”). Scores were summed separately for Emotional Exhaustion (9 items; range, 0-54), Depersonalization (5 items; range, 0-30), and Personal Accomplishment (8 items; range, 0-48). For descriptive comparisons, the legacy normative bands reported in the third-edition MBI manual [6] were applied: Emotional Exhaustion scores were categorized as low (0-16), moderate (17-26), or high (≥27), and Depersonalization scores as low (0-6), moderate (7-12), or high (≥13). These categories were not interpreted as diagnostic thresholds. No overall MBI score was calculated.</w:t>
      </w:r>
    </w:p>
    <w:p w14:paraId="5422A465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Source note. </w:t>
      </w:r>
      <w:r w:rsidRPr="00A301D9">
        <w:rPr>
          <w:rFonts w:ascii="Times New Roman" w:hAnsi="Times New Roman" w:cs="Times New Roman"/>
          <w:sz w:val="24"/>
          <w:szCs w:val="24"/>
        </w:rPr>
        <w:t xml:space="preserve">The MBI and its scoring procedures are described in the MBI manual [6], and the Turkish item wording was obtained from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Ergin’s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adaptation [7]. The full item wording is not reproduced here.</w:t>
      </w:r>
    </w:p>
    <w:p w14:paraId="50099FBD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Section 7. Utrecht Work Engagement Scale-9 (UWES-9)</w:t>
      </w:r>
    </w:p>
    <w:p w14:paraId="1C4208D4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Response format. </w:t>
      </w:r>
      <w:r w:rsidRPr="00A301D9">
        <w:rPr>
          <w:rFonts w:ascii="Times New Roman" w:hAnsi="Times New Roman" w:cs="Times New Roman"/>
          <w:sz w:val="24"/>
          <w:szCs w:val="24"/>
        </w:rPr>
        <w:t xml:space="preserve">The Turkish-language UWES-9 used in the present study was translated using a translation-back-translation procedure and psychometrically evaluated for reliability and construct validity by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Özkalp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and Meydan [9]. Items were rated using seven frequency categories: Never; a few times a year; once a month or less; a few times a month; once a week; a few times a week; and every day.</w:t>
      </w:r>
    </w:p>
    <w:p w14:paraId="2C596776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Scoring. </w:t>
      </w:r>
      <w:r w:rsidRPr="00A301D9">
        <w:rPr>
          <w:rFonts w:ascii="Times New Roman" w:hAnsi="Times New Roman" w:cs="Times New Roman"/>
          <w:sz w:val="24"/>
          <w:szCs w:val="24"/>
        </w:rPr>
        <w:t>Responses were coded from 0 (“Never”) to 6 (“Every day”) and summed to obtain a total work-engagement score ranging from 0 to 54. Higher scores indicate greater work engagement.</w:t>
      </w:r>
    </w:p>
    <w:p w14:paraId="7CE2E76A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 xml:space="preserve">Source note. </w:t>
      </w:r>
      <w:r w:rsidRPr="00A301D9">
        <w:rPr>
          <w:rFonts w:ascii="Times New Roman" w:hAnsi="Times New Roman" w:cs="Times New Roman"/>
          <w:sz w:val="24"/>
          <w:szCs w:val="24"/>
        </w:rPr>
        <w:t xml:space="preserve">The UWES-9 was developed by Schaufeli, Bakker, and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Salanova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[8], and the Turkish version used in the present study was translated and psychometrically evaluated by </w:t>
      </w:r>
      <w:proofErr w:type="spellStart"/>
      <w:r w:rsidRPr="00A301D9">
        <w:rPr>
          <w:rFonts w:ascii="Times New Roman" w:hAnsi="Times New Roman" w:cs="Times New Roman"/>
          <w:sz w:val="24"/>
          <w:szCs w:val="24"/>
        </w:rPr>
        <w:t>Özkalp</w:t>
      </w:r>
      <w:proofErr w:type="spellEnd"/>
      <w:r w:rsidRPr="00A301D9">
        <w:rPr>
          <w:rFonts w:ascii="Times New Roman" w:hAnsi="Times New Roman" w:cs="Times New Roman"/>
          <w:sz w:val="24"/>
          <w:szCs w:val="24"/>
        </w:rPr>
        <w:t xml:space="preserve"> and Meydan [9]. The full item wording is not reproduced here.</w:t>
      </w:r>
    </w:p>
    <w:p w14:paraId="27D4CDA3" w14:textId="77777777" w:rsidR="00A301D9" w:rsidRPr="00A301D9" w:rsidRDefault="00A301D9" w:rsidP="0059538E">
      <w:pPr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A301D9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9E1B112" w14:textId="7024356E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9538E">
        <w:rPr>
          <w:rFonts w:ascii="Times New Roman" w:hAnsi="Times New Roman" w:cs="Times New Roman"/>
          <w:sz w:val="24"/>
          <w:szCs w:val="24"/>
        </w:rPr>
        <w:t xml:space="preserve">Boy Y,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Sürmeli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Çam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F. Prevalence and predictors of quiet quitting among healthcare professionals: a scale development and validation study. BMC Psychol. 2026;14:457. doi:10.1186/s40359-026-04209-x.</w:t>
      </w:r>
    </w:p>
    <w:p w14:paraId="5252C49F" w14:textId="5FC505BD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9538E">
        <w:rPr>
          <w:rFonts w:ascii="Times New Roman" w:hAnsi="Times New Roman" w:cs="Times New Roman"/>
          <w:sz w:val="24"/>
          <w:szCs w:val="24"/>
        </w:rPr>
        <w:lastRenderedPageBreak/>
        <w:t xml:space="preserve">ILO/ICN/WHO/PSI Joint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on Workplace Violence in the Health Sector. Workplace violence in the health sector: country case study research instruments-survey questionnaire. Geneva: International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Office, International Council of Nurses, World Health Organization, and Public Services International; 2003.</w:t>
      </w:r>
    </w:p>
    <w:p w14:paraId="4C4DF3BC" w14:textId="43D175C8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9538E">
        <w:rPr>
          <w:rFonts w:ascii="Times New Roman" w:hAnsi="Times New Roman" w:cs="Times New Roman"/>
          <w:sz w:val="24"/>
          <w:szCs w:val="24"/>
        </w:rPr>
        <w:t xml:space="preserve">Pinar T,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Acikel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C, Pinar G,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Karabulut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Saygun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Bariskin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E, et al. Workplace violence in the health sector in Turkey: a national study. J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Interpers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Violence. 2017;32(15):2345-65. doi:10.1177/0886260515591976.</w:t>
      </w:r>
    </w:p>
    <w:p w14:paraId="658C4351" w14:textId="504D39C4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538E">
        <w:rPr>
          <w:rFonts w:ascii="Times New Roman" w:hAnsi="Times New Roman" w:cs="Times New Roman"/>
          <w:sz w:val="24"/>
          <w:szCs w:val="24"/>
        </w:rPr>
        <w:t>Cammann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C, Fichman M, Jenkins GD Jr,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Klesh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JR. Assessing the attitudes and perceptions of organizational members. In: Seashore SE, Lawler EE III, Mirvis PH,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Cammann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C, editors. Assessing organizational change: a guide to methods, measures, and practices. New York: Wiley; 1983. p. 71-138.</w:t>
      </w:r>
    </w:p>
    <w:p w14:paraId="50FF7A54" w14:textId="342CFEB1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538E">
        <w:rPr>
          <w:rFonts w:ascii="Times New Roman" w:hAnsi="Times New Roman" w:cs="Times New Roman"/>
          <w:sz w:val="24"/>
          <w:szCs w:val="24"/>
        </w:rPr>
        <w:t>Gürbüz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Bekmezci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İnsan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kaynakları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uygulamalarının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işçilerinin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işten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ayrılma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niyetine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etkisinde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duygusal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bağlılığın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aracılık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düzenleyicilik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rolü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. İstanbul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İşletme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Fakültesi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Dergisi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>. 2012;41(2):189-213.</w:t>
      </w:r>
    </w:p>
    <w:p w14:paraId="7404C4AD" w14:textId="61C802F0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9538E">
        <w:rPr>
          <w:rFonts w:ascii="Times New Roman" w:hAnsi="Times New Roman" w:cs="Times New Roman"/>
          <w:sz w:val="24"/>
          <w:szCs w:val="24"/>
        </w:rPr>
        <w:t>Maslach C, Jackson SE, Leiter MP. Maslach Burnout Inventory manual. 3rd ed. Palo Alto: Consulting Psychologists Press; 1996.</w:t>
      </w:r>
    </w:p>
    <w:p w14:paraId="75FA0AB8" w14:textId="4EA3D516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538E">
        <w:rPr>
          <w:rFonts w:ascii="Times New Roman" w:hAnsi="Times New Roman" w:cs="Times New Roman"/>
          <w:sz w:val="24"/>
          <w:szCs w:val="24"/>
        </w:rPr>
        <w:t>Ergin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C. Burnout in doctors and nurses and adaptation of Maslach Burnout Inventory. In: Proceedings of the VII National Psychology Congress; 22-25 September 1992; Ankara, Türkiye. Ankara: Turkish Psychological Association; 1992. p. 143-54.</w:t>
      </w:r>
    </w:p>
    <w:p w14:paraId="147A2803" w14:textId="42883110" w:rsidR="00A301D9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59538E">
        <w:rPr>
          <w:rFonts w:ascii="Times New Roman" w:hAnsi="Times New Roman" w:cs="Times New Roman"/>
          <w:sz w:val="24"/>
          <w:szCs w:val="24"/>
        </w:rPr>
        <w:t xml:space="preserve">Schaufeli WB, Bakker AB,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Salanova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M. The measurement of work engagement with a short questionnaire: a cross-national study. Educ Psychol Meas. 2006;66(4):701-16. doi:10.1177/0013164405282471.</w:t>
      </w:r>
    </w:p>
    <w:p w14:paraId="7633C730" w14:textId="01867C48" w:rsidR="00407006" w:rsidRPr="0059538E" w:rsidRDefault="00A301D9" w:rsidP="0059538E">
      <w:pPr>
        <w:pStyle w:val="ListeParagraf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538E">
        <w:rPr>
          <w:rFonts w:ascii="Times New Roman" w:hAnsi="Times New Roman" w:cs="Times New Roman"/>
          <w:sz w:val="24"/>
          <w:szCs w:val="24"/>
        </w:rPr>
        <w:t>Özkalp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E, Meydan B. Schaufeli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Bakker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geliştirilmiş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işe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angaje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olma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ölçeğinin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Türkçede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güvenilirlik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geçerliliğinin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Güç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Endüstri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İlişkileri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İnsan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Kaynakları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8E">
        <w:rPr>
          <w:rFonts w:ascii="Times New Roman" w:hAnsi="Times New Roman" w:cs="Times New Roman"/>
          <w:sz w:val="24"/>
          <w:szCs w:val="24"/>
        </w:rPr>
        <w:t>Dergisi</w:t>
      </w:r>
      <w:proofErr w:type="spellEnd"/>
      <w:r w:rsidRPr="0059538E">
        <w:rPr>
          <w:rFonts w:ascii="Times New Roman" w:hAnsi="Times New Roman" w:cs="Times New Roman"/>
          <w:sz w:val="24"/>
          <w:szCs w:val="24"/>
        </w:rPr>
        <w:t>. 2015;17(3):4-19. doi:10.4026/1303-2860.2015.0285.x.</w:t>
      </w:r>
    </w:p>
    <w:sectPr w:rsidR="00407006" w:rsidRPr="0059538E" w:rsidSect="001E1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72F78"/>
    <w:multiLevelType w:val="hybridMultilevel"/>
    <w:tmpl w:val="AA982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A0"/>
    <w:rsid w:val="000E047A"/>
    <w:rsid w:val="00133814"/>
    <w:rsid w:val="001E1FDF"/>
    <w:rsid w:val="002A63E0"/>
    <w:rsid w:val="00407006"/>
    <w:rsid w:val="0059538E"/>
    <w:rsid w:val="006C70A0"/>
    <w:rsid w:val="0085047A"/>
    <w:rsid w:val="00934AF4"/>
    <w:rsid w:val="00A301D9"/>
    <w:rsid w:val="00B517C6"/>
    <w:rsid w:val="00B773A4"/>
    <w:rsid w:val="00C9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3C3B1"/>
  <w14:defaultImageDpi w14:val="32767"/>
  <w15:chartTrackingRefBased/>
  <w15:docId w15:val="{00B17567-8C99-433A-AF6C-DA93F66A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before="60" w:after="160" w:line="259" w:lineRule="auto"/>
        <w:ind w:left="57" w:righ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C7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7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C7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7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7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7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7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70A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70A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7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7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7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70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70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70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70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70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70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C70A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7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C70A0"/>
    <w:pPr>
      <w:numPr>
        <w:ilvl w:val="1"/>
      </w:numPr>
      <w:ind w:left="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C7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C7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C70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C70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C70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7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70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C70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1968</Words>
  <Characters>11219</Characters>
  <Application>Microsoft Office Word</Application>
  <DocSecurity>0</DocSecurity>
  <Lines>93</Lines>
  <Paragraphs>26</Paragraphs>
  <ScaleCrop>false</ScaleCrop>
  <Company/>
  <LinksUpToDate>false</LinksUpToDate>
  <CharactersWithSpaces>13161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Avcu</dc:creator>
  <cp:keywords/>
  <dc:description/>
  <cp:lastModifiedBy>Burak Avcu</cp:lastModifiedBy>
  <cp:revision>3</cp:revision>
  <dcterms:created xsi:type="dcterms:W3CDTF">2026-08-11T14:38:00Z</dcterms:created>
  <dcterms:modified xsi:type="dcterms:W3CDTF">2026-08-11T14:41:00Z</dcterms:modified>
</cp:coreProperties>
</file>