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ADC1" w14:textId="77777777" w:rsidR="00E02145" w:rsidRPr="007F0626" w:rsidRDefault="00E02145" w:rsidP="00E02145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F0626">
        <w:rPr>
          <w:rFonts w:ascii="Arial" w:hAnsi="Arial" w:cs="Arial"/>
          <w:b/>
          <w:bCs/>
          <w:color w:val="000000" w:themeColor="text1"/>
          <w:sz w:val="24"/>
          <w:szCs w:val="24"/>
        </w:rPr>
        <w:t>Supplementary Data</w:t>
      </w:r>
    </w:p>
    <w:p w14:paraId="313DCEAF" w14:textId="77777777" w:rsidR="00E02145" w:rsidRPr="007F0626" w:rsidRDefault="00E02145" w:rsidP="00E02145">
      <w:pPr>
        <w:pStyle w:val="BodyText"/>
        <w:spacing w:before="80" w:after="8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F0626">
        <w:rPr>
          <w:rFonts w:ascii="Arial" w:hAnsi="Arial" w:cs="Arial"/>
          <w:b/>
          <w:bCs/>
          <w:color w:val="000000" w:themeColor="text1"/>
          <w:sz w:val="24"/>
          <w:szCs w:val="24"/>
        </w:rPr>
        <w:t>Supplementary Table 1. Coding framework: themes, subthemes, and illustrative analytic codes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003"/>
        <w:gridCol w:w="3015"/>
        <w:gridCol w:w="3008"/>
      </w:tblGrid>
      <w:tr w:rsidR="00E02145" w:rsidRPr="007F0626" w14:paraId="554F25F3" w14:textId="77777777" w:rsidTr="00D24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1" w:type="dxa"/>
          </w:tcPr>
          <w:p w14:paraId="2B2ED5EF" w14:textId="77777777" w:rsidR="00E02145" w:rsidRPr="007F0626" w:rsidRDefault="00E02145" w:rsidP="00E0214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0626">
              <w:rPr>
                <w:rFonts w:ascii="Arial" w:hAnsi="Arial" w:cs="Arial"/>
                <w:color w:val="000000" w:themeColor="text1"/>
                <w:sz w:val="24"/>
                <w:szCs w:val="24"/>
              </w:rPr>
              <w:t>Theme</w:t>
            </w:r>
          </w:p>
        </w:tc>
        <w:tc>
          <w:tcPr>
            <w:tcW w:w="3061" w:type="dxa"/>
          </w:tcPr>
          <w:p w14:paraId="3ED1FACE" w14:textId="77777777" w:rsidR="00E02145" w:rsidRPr="007F0626" w:rsidRDefault="00E02145" w:rsidP="00E021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0626">
              <w:rPr>
                <w:rFonts w:ascii="Arial" w:hAnsi="Arial" w:cs="Arial"/>
                <w:color w:val="000000" w:themeColor="text1"/>
                <w:sz w:val="24"/>
                <w:szCs w:val="24"/>
              </w:rPr>
              <w:t>Subthemes</w:t>
            </w:r>
          </w:p>
        </w:tc>
        <w:tc>
          <w:tcPr>
            <w:tcW w:w="3061" w:type="dxa"/>
          </w:tcPr>
          <w:p w14:paraId="188F8788" w14:textId="77777777" w:rsidR="00E02145" w:rsidRPr="007F0626" w:rsidRDefault="00E02145" w:rsidP="00E021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0626">
              <w:rPr>
                <w:rFonts w:ascii="Arial" w:hAnsi="Arial" w:cs="Arial"/>
                <w:color w:val="000000" w:themeColor="text1"/>
                <w:sz w:val="24"/>
                <w:szCs w:val="24"/>
              </w:rPr>
              <w:t>Illustrative analytic codes</w:t>
            </w:r>
          </w:p>
        </w:tc>
      </w:tr>
      <w:tr w:rsidR="00E02145" w:rsidRPr="007F0626" w14:paraId="51E56918" w14:textId="77777777" w:rsidTr="00D24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1" w:type="dxa"/>
          </w:tcPr>
          <w:p w14:paraId="586FC84C" w14:textId="77777777" w:rsidR="00E02145" w:rsidRPr="007F0626" w:rsidRDefault="00E02145" w:rsidP="00E02145">
            <w:pPr>
              <w:spacing w:line="252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0626">
              <w:rPr>
                <w:rFonts w:ascii="Arial" w:hAnsi="Arial" w:cs="Arial"/>
                <w:color w:val="000000" w:themeColor="text1"/>
                <w:sz w:val="24"/>
                <w:szCs w:val="24"/>
              </w:rPr>
              <w:t>1. Remediation as a valued but incomplete scaffold for learning</w:t>
            </w:r>
          </w:p>
        </w:tc>
        <w:tc>
          <w:tcPr>
            <w:tcW w:w="3061" w:type="dxa"/>
          </w:tcPr>
          <w:p w14:paraId="5363F076" w14:textId="77777777" w:rsidR="00E02145" w:rsidRPr="007F0626" w:rsidRDefault="00E02145" w:rsidP="00E02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F0626">
              <w:rPr>
                <w:rFonts w:ascii="Arial" w:hAnsi="Arial" w:cs="Arial"/>
                <w:color w:val="000000" w:themeColor="text1"/>
                <w:sz w:val="24"/>
                <w:szCs w:val="24"/>
              </w:rPr>
              <w:t>Condensed resources reduce overload; remediation supports orientation more than mastery; repetition limits added value; support remains incomplete when it does not enable transfer of responsibility.</w:t>
            </w:r>
          </w:p>
        </w:tc>
        <w:tc>
          <w:tcPr>
            <w:tcW w:w="3061" w:type="dxa"/>
          </w:tcPr>
          <w:p w14:paraId="3C0CCB70" w14:textId="77777777" w:rsidR="00E02145" w:rsidRPr="007F0626" w:rsidRDefault="00E02145" w:rsidP="00E02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0626">
              <w:rPr>
                <w:rFonts w:ascii="Arial" w:hAnsi="Arial" w:cs="Arial"/>
                <w:color w:val="000000" w:themeColor="text1"/>
                <w:sz w:val="24"/>
                <w:szCs w:val="24"/>
              </w:rPr>
              <w:t>summaries reduce overload; formulas signpost priorities; remediation guides revision; unchanged lecture material limits value</w:t>
            </w:r>
          </w:p>
        </w:tc>
      </w:tr>
      <w:tr w:rsidR="00E02145" w:rsidRPr="007F0626" w14:paraId="00AB372F" w14:textId="77777777" w:rsidTr="00D24C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1" w:type="dxa"/>
          </w:tcPr>
          <w:p w14:paraId="68FD9CA7" w14:textId="77777777" w:rsidR="00E02145" w:rsidRPr="007F0626" w:rsidRDefault="00E02145" w:rsidP="00E02145">
            <w:pPr>
              <w:spacing w:line="252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0626">
              <w:rPr>
                <w:rFonts w:ascii="Arial" w:hAnsi="Arial" w:cs="Arial"/>
                <w:color w:val="000000" w:themeColor="text1"/>
                <w:sz w:val="24"/>
                <w:szCs w:val="24"/>
              </w:rPr>
              <w:t>2. Feedback as the hinge between participation and learning</w:t>
            </w:r>
          </w:p>
        </w:tc>
        <w:tc>
          <w:tcPr>
            <w:tcW w:w="3061" w:type="dxa"/>
          </w:tcPr>
          <w:p w14:paraId="646F91D3" w14:textId="77777777" w:rsidR="00E02145" w:rsidRPr="007F0626" w:rsidRDefault="00E02145" w:rsidP="00E02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F0626">
              <w:rPr>
                <w:rFonts w:ascii="Arial" w:hAnsi="Arial" w:cs="Arial"/>
                <w:sz w:val="24"/>
                <w:szCs w:val="24"/>
              </w:rPr>
              <w:t>Feedback clarifies standards; feedback supports reasoning; feedback functions as contingent support; absence of feedback produces uncertainty and stress.</w:t>
            </w:r>
          </w:p>
        </w:tc>
        <w:tc>
          <w:tcPr>
            <w:tcW w:w="3061" w:type="dxa"/>
          </w:tcPr>
          <w:p w14:paraId="273A3FB8" w14:textId="77777777" w:rsidR="00E02145" w:rsidRPr="007F0626" w:rsidRDefault="00E02145" w:rsidP="00E02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0626">
              <w:rPr>
                <w:rFonts w:ascii="Arial" w:hAnsi="Arial" w:cs="Arial"/>
                <w:color w:val="000000" w:themeColor="text1"/>
                <w:sz w:val="24"/>
                <w:szCs w:val="24"/>
              </w:rPr>
              <w:t>feedback clarifies expected depth; worked answers show reasoning; explanation of errors deepens understanding; absent feedback creates uncertainty</w:t>
            </w:r>
          </w:p>
        </w:tc>
      </w:tr>
      <w:tr w:rsidR="00E02145" w:rsidRPr="007F0626" w14:paraId="58E4781F" w14:textId="77777777" w:rsidTr="00D24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1" w:type="dxa"/>
          </w:tcPr>
          <w:p w14:paraId="4370C889" w14:textId="77777777" w:rsidR="00E02145" w:rsidRPr="007F0626" w:rsidRDefault="00E02145" w:rsidP="00E02145">
            <w:pPr>
              <w:spacing w:line="252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0626">
              <w:rPr>
                <w:rFonts w:ascii="Arial" w:hAnsi="Arial" w:cs="Arial"/>
                <w:color w:val="000000" w:themeColor="text1"/>
                <w:sz w:val="24"/>
                <w:szCs w:val="24"/>
              </w:rPr>
              <w:t>3. Dialogue and interaction as necessary conditions for conceptual clarification</w:t>
            </w:r>
          </w:p>
        </w:tc>
        <w:tc>
          <w:tcPr>
            <w:tcW w:w="3061" w:type="dxa"/>
          </w:tcPr>
          <w:p w14:paraId="58CA0E08" w14:textId="77777777" w:rsidR="00E02145" w:rsidRPr="007F0626" w:rsidRDefault="00E02145" w:rsidP="00E02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F0626">
              <w:rPr>
                <w:rFonts w:ascii="Arial" w:hAnsi="Arial" w:cs="Arial"/>
                <w:sz w:val="24"/>
                <w:szCs w:val="24"/>
              </w:rPr>
              <w:t>Real-time questioning matters; small-group/tutorial dialogue supports learning; peer and lecturer interaction mediate conceptual clarification; online discussion needs responsiveness.</w:t>
            </w:r>
          </w:p>
        </w:tc>
        <w:tc>
          <w:tcPr>
            <w:tcW w:w="3061" w:type="dxa"/>
          </w:tcPr>
          <w:p w14:paraId="5A891B2D" w14:textId="77777777" w:rsidR="00E02145" w:rsidRPr="007F0626" w:rsidRDefault="00E02145" w:rsidP="00E02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0626">
              <w:rPr>
                <w:rFonts w:ascii="Arial" w:hAnsi="Arial" w:cs="Arial"/>
                <w:color w:val="000000" w:themeColor="text1"/>
                <w:sz w:val="24"/>
                <w:szCs w:val="24"/>
              </w:rPr>
              <w:t>real-time questioning supports sense-making; smaller groups feel safer; tutorials contextualise theory; discussion spaces must be responsive</w:t>
            </w:r>
          </w:p>
        </w:tc>
      </w:tr>
      <w:tr w:rsidR="00E02145" w:rsidRPr="007F0626" w14:paraId="704EFE47" w14:textId="77777777" w:rsidTr="00D24C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1" w:type="dxa"/>
          </w:tcPr>
          <w:p w14:paraId="4FE110E2" w14:textId="77777777" w:rsidR="00E02145" w:rsidRPr="007F0626" w:rsidRDefault="00E02145" w:rsidP="00E02145">
            <w:pPr>
              <w:spacing w:line="252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0626">
              <w:rPr>
                <w:rFonts w:ascii="Arial" w:hAnsi="Arial" w:cs="Arial"/>
                <w:color w:val="000000" w:themeColor="text1"/>
                <w:sz w:val="24"/>
                <w:szCs w:val="24"/>
              </w:rPr>
              <w:t>4. Preference for concise, assessment-aligned, multimodal design</w:t>
            </w:r>
          </w:p>
        </w:tc>
        <w:tc>
          <w:tcPr>
            <w:tcW w:w="3061" w:type="dxa"/>
          </w:tcPr>
          <w:p w14:paraId="08517CDB" w14:textId="77777777" w:rsidR="00E02145" w:rsidRPr="007F0626" w:rsidRDefault="00E02145" w:rsidP="00E02145">
            <w:pPr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0626">
              <w:rPr>
                <w:rFonts w:ascii="Arial" w:hAnsi="Arial" w:cs="Arial"/>
                <w:color w:val="000000" w:themeColor="text1"/>
                <w:sz w:val="24"/>
                <w:szCs w:val="24"/>
              </w:rPr>
              <w:t>High-yield concise materials; assessment alignment; multimodal flexibility.</w:t>
            </w:r>
          </w:p>
        </w:tc>
        <w:tc>
          <w:tcPr>
            <w:tcW w:w="3061" w:type="dxa"/>
          </w:tcPr>
          <w:p w14:paraId="392F8D5D" w14:textId="77777777" w:rsidR="00E02145" w:rsidRPr="007F0626" w:rsidRDefault="00E02145" w:rsidP="00E02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0626">
              <w:rPr>
                <w:rFonts w:ascii="Arial" w:hAnsi="Arial" w:cs="Arial"/>
                <w:color w:val="000000" w:themeColor="text1"/>
                <w:sz w:val="24"/>
                <w:szCs w:val="24"/>
              </w:rPr>
              <w:t>short high-yield resources are preferred; exam-like SAQs are valued; formula templates reduce mistakes; multimodal resources suit different learners</w:t>
            </w:r>
          </w:p>
        </w:tc>
      </w:tr>
    </w:tbl>
    <w:p w14:paraId="1E4B9E26" w14:textId="77777777" w:rsidR="00E02145" w:rsidRDefault="00E02145"/>
    <w:sectPr w:rsidR="00E021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45"/>
    <w:rsid w:val="00503CE1"/>
    <w:rsid w:val="0068760C"/>
    <w:rsid w:val="0095248D"/>
    <w:rsid w:val="00E0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5F3819"/>
  <w15:chartTrackingRefBased/>
  <w15:docId w15:val="{D655DAF5-2DF4-4DE1-B16F-352B5EEF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145"/>
    <w:pPr>
      <w:spacing w:after="200" w:line="276" w:lineRule="auto"/>
    </w:pPr>
    <w:rPr>
      <w:rFonts w:ascii="Calibri" w:eastAsia="Calibri" w:hAnsi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214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Z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14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Z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14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Z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14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14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14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14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14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Z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14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1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1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1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1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1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1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2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14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2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14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Z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21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14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Z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21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1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14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E0214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02145"/>
    <w:rPr>
      <w:rFonts w:ascii="Calibri" w:eastAsia="Calibri" w:hAnsi="Calibri"/>
      <w:kern w:val="0"/>
      <w:sz w:val="22"/>
      <w:szCs w:val="22"/>
      <w:lang w:val="en-US"/>
      <w14:ligatures w14:val="none"/>
    </w:rPr>
  </w:style>
  <w:style w:type="table" w:styleId="PlainTable2">
    <w:name w:val="Plain Table 2"/>
    <w:basedOn w:val="TableNormal"/>
    <w:uiPriority w:val="99"/>
    <w:rsid w:val="00E0214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1414</Characters>
  <Application>Microsoft Office Word</Application>
  <DocSecurity>0</DocSecurity>
  <Lines>80</Lines>
  <Paragraphs>17</Paragraphs>
  <ScaleCrop>false</ScaleCrop>
  <Company>University of Cape Town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Jaisubash Jayakumar</dc:creator>
  <cp:keywords/>
  <dc:description/>
  <cp:lastModifiedBy>rivak punchoo</cp:lastModifiedBy>
  <cp:revision>2</cp:revision>
  <dcterms:created xsi:type="dcterms:W3CDTF">2026-05-08T17:10:00Z</dcterms:created>
  <dcterms:modified xsi:type="dcterms:W3CDTF">2026-05-08T17:10:00Z</dcterms:modified>
</cp:coreProperties>
</file>