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3C9A" w14:textId="77777777" w:rsidR="004F3C18" w:rsidRPr="004F3C18" w:rsidRDefault="004F3C18" w:rsidP="004F3C18">
      <w:pPr>
        <w:shd w:val="clear" w:color="auto" w:fill="FFFFFF"/>
        <w:spacing w:before="480" w:after="240" w:line="510" w:lineRule="atLeast"/>
        <w:outlineLvl w:val="0"/>
        <w:rPr>
          <w:rFonts w:asciiTheme="majorBidi" w:eastAsia="Times New Roman" w:hAnsiTheme="majorBidi" w:cstheme="majorBidi"/>
          <w:b/>
          <w:bCs/>
          <w:color w:val="0F1115"/>
          <w:kern w:val="36"/>
          <w14:ligatures w14:val="none"/>
        </w:rPr>
      </w:pPr>
      <w:r w:rsidRPr="004F3C18">
        <w:rPr>
          <w:rFonts w:asciiTheme="majorBidi" w:eastAsia="Times New Roman" w:hAnsiTheme="majorBidi" w:cstheme="majorBidi"/>
          <w:b/>
          <w:bCs/>
          <w:color w:val="0F1115"/>
          <w:kern w:val="36"/>
          <w14:ligatures w14:val="none"/>
        </w:rPr>
        <w:t>Additional File 3: Final Coding Framework</w:t>
      </w:r>
    </w:p>
    <w:p w14:paraId="75A2C3AC" w14:textId="77777777" w:rsidR="004F3C18" w:rsidRPr="004F3C18" w:rsidRDefault="004F3C18" w:rsidP="004F3C18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4F3C18">
        <w:rPr>
          <w:rFonts w:asciiTheme="majorBidi" w:eastAsia="Times New Roman" w:hAnsiTheme="majorBidi" w:cstheme="majorBidi"/>
          <w:color w:val="0F1115"/>
          <w:kern w:val="0"/>
          <w14:ligatures w14:val="none"/>
        </w:rPr>
        <w:t xml:space="preserve">This codebook was developed inductively from the first five transcripts and then applied to all 20 transcripts. Codes are </w:t>
      </w:r>
      <w:proofErr w:type="spellStart"/>
      <w:r w:rsidRPr="004F3C18">
        <w:rPr>
          <w:rFonts w:asciiTheme="majorBidi" w:eastAsia="Times New Roman" w:hAnsiTheme="majorBidi" w:cstheme="majorBidi"/>
          <w:color w:val="0F1115"/>
          <w:kern w:val="0"/>
          <w14:ligatures w14:val="none"/>
        </w:rPr>
        <w:t>organised</w:t>
      </w:r>
      <w:proofErr w:type="spellEnd"/>
      <w:r w:rsidRPr="004F3C18">
        <w:rPr>
          <w:rFonts w:asciiTheme="majorBidi" w:eastAsia="Times New Roman" w:hAnsiTheme="majorBidi" w:cstheme="majorBidi"/>
          <w:color w:val="0F1115"/>
          <w:kern w:val="0"/>
          <w14:ligatures w14:val="none"/>
        </w:rPr>
        <w:t xml:space="preserve"> by theme and subtheme, with definitions, inclusion/exclusion criteria, and illustrative examples (using participant codes for context). The codebook was iteratively revised; this is the final version used for theme development.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220"/>
        <w:gridCol w:w="1914"/>
        <w:gridCol w:w="1625"/>
        <w:gridCol w:w="1753"/>
        <w:gridCol w:w="1848"/>
      </w:tblGrid>
      <w:tr w:rsidR="004F3C18" w:rsidRPr="004F3C18" w14:paraId="49DBAB02" w14:textId="77777777" w:rsidTr="004F3C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3994A0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Code</w:t>
            </w:r>
          </w:p>
        </w:tc>
        <w:tc>
          <w:tcPr>
            <w:tcW w:w="0" w:type="auto"/>
            <w:hideMark/>
          </w:tcPr>
          <w:p w14:paraId="3C076A68" w14:textId="77777777" w:rsidR="004F3C18" w:rsidRPr="004F3C18" w:rsidRDefault="004F3C18" w:rsidP="004F3C18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Definition</w:t>
            </w:r>
          </w:p>
        </w:tc>
        <w:tc>
          <w:tcPr>
            <w:tcW w:w="0" w:type="auto"/>
            <w:hideMark/>
          </w:tcPr>
          <w:p w14:paraId="0389FF0A" w14:textId="77777777" w:rsidR="004F3C18" w:rsidRPr="004F3C18" w:rsidRDefault="004F3C18" w:rsidP="004F3C18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Inclusion criteria</w:t>
            </w:r>
          </w:p>
        </w:tc>
        <w:tc>
          <w:tcPr>
            <w:tcW w:w="0" w:type="auto"/>
            <w:hideMark/>
          </w:tcPr>
          <w:p w14:paraId="6009C9AB" w14:textId="77777777" w:rsidR="004F3C18" w:rsidRPr="004F3C18" w:rsidRDefault="004F3C18" w:rsidP="004F3C18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Exclusion criteria</w:t>
            </w:r>
          </w:p>
        </w:tc>
        <w:tc>
          <w:tcPr>
            <w:tcW w:w="0" w:type="auto"/>
            <w:hideMark/>
          </w:tcPr>
          <w:p w14:paraId="728A974F" w14:textId="77777777" w:rsidR="004F3C18" w:rsidRPr="004F3C18" w:rsidRDefault="004F3C18" w:rsidP="004F3C18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Example (paraphrased)</w:t>
            </w:r>
          </w:p>
        </w:tc>
      </w:tr>
      <w:tr w:rsidR="004F3C18" w:rsidRPr="004F3C18" w14:paraId="70C74C7F" w14:textId="77777777" w:rsidTr="004F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3C4891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Theme 1: Anatomy as foundation &amp; decay</w:t>
            </w:r>
          </w:p>
        </w:tc>
        <w:tc>
          <w:tcPr>
            <w:tcW w:w="0" w:type="auto"/>
            <w:hideMark/>
          </w:tcPr>
          <w:p w14:paraId="22B8982D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EB2C45A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B23678B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84817D7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4F3C18" w:rsidRPr="004F3C18" w14:paraId="02132085" w14:textId="77777777" w:rsidTr="004F3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CEA996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1.1 Anatomy as precondition of safe practice</w:t>
            </w:r>
          </w:p>
        </w:tc>
        <w:tc>
          <w:tcPr>
            <w:tcW w:w="0" w:type="auto"/>
            <w:hideMark/>
          </w:tcPr>
          <w:p w14:paraId="1B4CA64D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Statements that anatomical knowledge is essential for safe surgery; framing anatomy as non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negotiable.</w:t>
            </w:r>
          </w:p>
        </w:tc>
        <w:tc>
          <w:tcPr>
            <w:tcW w:w="0" w:type="auto"/>
            <w:hideMark/>
          </w:tcPr>
          <w:p w14:paraId="6694A466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Explicit or implicit claims that anatomy is the basis of surgical competence or safety.</w:t>
            </w:r>
          </w:p>
        </w:tc>
        <w:tc>
          <w:tcPr>
            <w:tcW w:w="0" w:type="auto"/>
            <w:hideMark/>
          </w:tcPr>
          <w:p w14:paraId="6F73C162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Mentions of anatomy as useful but not essential.</w:t>
            </w:r>
          </w:p>
        </w:tc>
        <w:tc>
          <w:tcPr>
            <w:tcW w:w="0" w:type="auto"/>
            <w:hideMark/>
          </w:tcPr>
          <w:p w14:paraId="46CEAEC2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"A surgeon who does not know anatomy can never become a good surgeon."</w:t>
            </w:r>
          </w:p>
        </w:tc>
      </w:tr>
      <w:tr w:rsidR="004F3C18" w:rsidRPr="004F3C18" w14:paraId="2480C6BE" w14:textId="77777777" w:rsidTr="004F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D35234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1.2 Perceived decay over time</w:t>
            </w:r>
          </w:p>
        </w:tc>
        <w:tc>
          <w:tcPr>
            <w:tcW w:w="0" w:type="auto"/>
            <w:hideMark/>
          </w:tcPr>
          <w:p w14:paraId="70055E18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Accounts of forgetting anatomy over the years between preclinical teaching and residency.</w:t>
            </w:r>
          </w:p>
        </w:tc>
        <w:tc>
          <w:tcPr>
            <w:tcW w:w="0" w:type="auto"/>
            <w:hideMark/>
          </w:tcPr>
          <w:p w14:paraId="18F7C152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References to forgetting, decline, or gap in knowledge over time (typically 5–7 years).</w:t>
            </w:r>
          </w:p>
        </w:tc>
        <w:tc>
          <w:tcPr>
            <w:tcW w:w="0" w:type="auto"/>
            <w:hideMark/>
          </w:tcPr>
          <w:p w14:paraId="73C03157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General statements about knowledge being insufficient without time frame.</w:t>
            </w:r>
          </w:p>
        </w:tc>
        <w:tc>
          <w:tcPr>
            <w:tcW w:w="0" w:type="auto"/>
            <w:hideMark/>
          </w:tcPr>
          <w:p w14:paraId="2F31CC8B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"Roughly a seven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year gap… many points are forgotten."</w:t>
            </w:r>
          </w:p>
        </w:tc>
      </w:tr>
      <w:tr w:rsidR="004F3C18" w:rsidRPr="004F3C18" w14:paraId="76E2F36E" w14:textId="77777777" w:rsidTr="004F3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551D1E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1.3 Pre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curriculum peer transmission</w:t>
            </w:r>
          </w:p>
        </w:tc>
        <w:tc>
          <w:tcPr>
            <w:tcW w:w="0" w:type="auto"/>
            <w:hideMark/>
          </w:tcPr>
          <w:p w14:paraId="0B4B0DA6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Descriptions of how anatomy was taught informally by senior residents 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before the new curriculum.</w:t>
            </w:r>
          </w:p>
        </w:tc>
        <w:tc>
          <w:tcPr>
            <w:tcW w:w="0" w:type="auto"/>
            <w:hideMark/>
          </w:tcPr>
          <w:p w14:paraId="5957559F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 xml:space="preserve">Faculty accounts of "trial and error", "senior residents teaching 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juniors" in the past.</w:t>
            </w:r>
          </w:p>
        </w:tc>
        <w:tc>
          <w:tcPr>
            <w:tcW w:w="0" w:type="auto"/>
            <w:hideMark/>
          </w:tcPr>
          <w:p w14:paraId="067C9712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 xml:space="preserve">General statements about peer learning that do not refer to the 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pre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curriculum state.</w:t>
            </w:r>
          </w:p>
        </w:tc>
        <w:tc>
          <w:tcPr>
            <w:tcW w:w="0" w:type="auto"/>
            <w:hideMark/>
          </w:tcPr>
          <w:p w14:paraId="74BC4D00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"Residents learn anatomy from senior residents… through trial and error."</w:t>
            </w:r>
          </w:p>
        </w:tc>
      </w:tr>
      <w:tr w:rsidR="004F3C18" w:rsidRPr="004F3C18" w14:paraId="2FF77FD1" w14:textId="77777777" w:rsidTr="004F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A1BBAB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Theme 2: Specialty alignment</w:t>
            </w:r>
          </w:p>
        </w:tc>
        <w:tc>
          <w:tcPr>
            <w:tcW w:w="0" w:type="auto"/>
            <w:hideMark/>
          </w:tcPr>
          <w:p w14:paraId="06A980F1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FC44DBB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8E6D0E8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9E9232E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4F3C18" w:rsidRPr="004F3C18" w14:paraId="36DBE82D" w14:textId="77777777" w:rsidTr="004F3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EF422D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2.1 Perceived orthopedic weighting</w:t>
            </w:r>
          </w:p>
        </w:tc>
        <w:tc>
          <w:tcPr>
            <w:tcW w:w="0" w:type="auto"/>
            <w:hideMark/>
          </w:tcPr>
          <w:p w14:paraId="29CA9C9A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General surgery residents' perception that content </w:t>
            </w:r>
            <w:proofErr w:type="spellStart"/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favoured</w:t>
            </w:r>
            <w:proofErr w:type="spellEnd"/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orthopedics.</w:t>
            </w:r>
          </w:p>
        </w:tc>
        <w:tc>
          <w:tcPr>
            <w:tcW w:w="0" w:type="auto"/>
            <w:hideMark/>
          </w:tcPr>
          <w:p w14:paraId="5CE69B22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Statements that the curriculum was "for orthopedics", too much limb anatomy, etc.</w:t>
            </w:r>
          </w:p>
        </w:tc>
        <w:tc>
          <w:tcPr>
            <w:tcW w:w="0" w:type="auto"/>
            <w:hideMark/>
          </w:tcPr>
          <w:p w14:paraId="15DA435E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Neutral comments about content without ownership judgement.</w:t>
            </w:r>
          </w:p>
        </w:tc>
        <w:tc>
          <w:tcPr>
            <w:tcW w:w="0" w:type="auto"/>
            <w:hideMark/>
          </w:tcPr>
          <w:p w14:paraId="715722B8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"If I wanted to study limbs, I would have gone into orthopedics."</w:t>
            </w:r>
          </w:p>
        </w:tc>
      </w:tr>
      <w:tr w:rsidR="004F3C18" w:rsidRPr="004F3C18" w14:paraId="3FAAAA31" w14:textId="77777777" w:rsidTr="004F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D66DF97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2.2 (Orthopedic content desire – not evidenced)</w:t>
            </w:r>
          </w:p>
        </w:tc>
        <w:tc>
          <w:tcPr>
            <w:tcW w:w="0" w:type="auto"/>
            <w:hideMark/>
          </w:tcPr>
          <w:p w14:paraId="5E9C6424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i/>
                <w:iCs/>
                <w:kern w:val="0"/>
                <w14:ligatures w14:val="none"/>
              </w:rPr>
              <w:t>(Not used – no data)</w:t>
            </w:r>
          </w:p>
        </w:tc>
        <w:tc>
          <w:tcPr>
            <w:tcW w:w="0" w:type="auto"/>
            <w:hideMark/>
          </w:tcPr>
          <w:p w14:paraId="30BAB370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05829AEB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</w:t>
            </w:r>
          </w:p>
        </w:tc>
        <w:tc>
          <w:tcPr>
            <w:tcW w:w="0" w:type="auto"/>
            <w:hideMark/>
          </w:tcPr>
          <w:p w14:paraId="7E7DEAEE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-</w:t>
            </w:r>
          </w:p>
        </w:tc>
      </w:tr>
      <w:tr w:rsidR="004F3C18" w:rsidRPr="004F3C18" w14:paraId="6F39C58F" w14:textId="77777777" w:rsidTr="004F3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4FEBDA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2.3 Absence of reference model</w:t>
            </w:r>
          </w:p>
        </w:tc>
        <w:tc>
          <w:tcPr>
            <w:tcW w:w="0" w:type="auto"/>
            <w:hideMark/>
          </w:tcPr>
          <w:p w14:paraId="4217B9B3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Faculty statements that there is no national or </w:t>
            </w:r>
            <w:proofErr w:type="spellStart"/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standardised</w:t>
            </w:r>
            <w:proofErr w:type="spellEnd"/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postgraduate anatomy curriculum to follow.</w:t>
            </w:r>
          </w:p>
        </w:tc>
        <w:tc>
          <w:tcPr>
            <w:tcW w:w="0" w:type="auto"/>
            <w:hideMark/>
          </w:tcPr>
          <w:p w14:paraId="233BE803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Mentions of "no model", "no template", or difficulty designing in a vacuum.</w:t>
            </w:r>
          </w:p>
        </w:tc>
        <w:tc>
          <w:tcPr>
            <w:tcW w:w="0" w:type="auto"/>
            <w:hideMark/>
          </w:tcPr>
          <w:p w14:paraId="4C4088B7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References to local institutional constraints only.</w:t>
            </w:r>
          </w:p>
        </w:tc>
        <w:tc>
          <w:tcPr>
            <w:tcW w:w="0" w:type="auto"/>
            <w:hideMark/>
          </w:tcPr>
          <w:p w14:paraId="62C9B536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"We do not have any model to refer to."</w:t>
            </w:r>
          </w:p>
        </w:tc>
      </w:tr>
      <w:tr w:rsidR="004F3C18" w:rsidRPr="004F3C18" w14:paraId="7C8CA44B" w14:textId="77777777" w:rsidTr="004F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5D0333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2.4 Who should determine content</w:t>
            </w:r>
          </w:p>
        </w:tc>
        <w:tc>
          <w:tcPr>
            <w:tcW w:w="0" w:type="auto"/>
            <w:hideMark/>
          </w:tcPr>
          <w:p w14:paraId="095085EF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Arguments about who should decide the curriculum content (surgeons, anatomists, learners).</w:t>
            </w:r>
          </w:p>
        </w:tc>
        <w:tc>
          <w:tcPr>
            <w:tcW w:w="0" w:type="auto"/>
            <w:hideMark/>
          </w:tcPr>
          <w:p w14:paraId="712EE375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Explicit statements about roles in needs assessment and content setting.</w:t>
            </w:r>
          </w:p>
        </w:tc>
        <w:tc>
          <w:tcPr>
            <w:tcW w:w="0" w:type="auto"/>
            <w:hideMark/>
          </w:tcPr>
          <w:p w14:paraId="2ED90434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Generic comments about collaboration without specifying roles.</w:t>
            </w:r>
          </w:p>
        </w:tc>
        <w:tc>
          <w:tcPr>
            <w:tcW w:w="0" w:type="auto"/>
            <w:hideMark/>
          </w:tcPr>
          <w:p w14:paraId="56830CBD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</w:t>
            </w:r>
            <w:proofErr w:type="gramStart"/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Needs</w:t>
            </w:r>
            <w:proofErr w:type="gramEnd"/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assessment should come from the orthopedic surgeon, not solely from the anatomist."</w:t>
            </w:r>
          </w:p>
        </w:tc>
      </w:tr>
      <w:tr w:rsidR="004F3C18" w:rsidRPr="004F3C18" w14:paraId="54A7AD6B" w14:textId="77777777" w:rsidTr="004F3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87D831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Theme 3: Structural constraints</w:t>
            </w:r>
          </w:p>
        </w:tc>
        <w:tc>
          <w:tcPr>
            <w:tcW w:w="0" w:type="auto"/>
            <w:hideMark/>
          </w:tcPr>
          <w:p w14:paraId="087DAEE3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AB0132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359C6FD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6339A00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4F3C18" w:rsidRPr="004F3C18" w14:paraId="4DA1C167" w14:textId="77777777" w:rsidTr="004F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FB4BD49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3.1 Post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call fatigue &amp; interruption</w:t>
            </w:r>
          </w:p>
        </w:tc>
        <w:tc>
          <w:tcPr>
            <w:tcW w:w="0" w:type="auto"/>
            <w:hideMark/>
          </w:tcPr>
          <w:p w14:paraId="13CE6414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Accounts of exhaustion, clinical interruptions during teaching, or inability to concentrate.</w:t>
            </w:r>
          </w:p>
        </w:tc>
        <w:tc>
          <w:tcPr>
            <w:tcW w:w="0" w:type="auto"/>
            <w:hideMark/>
          </w:tcPr>
          <w:p w14:paraId="6FE1FC79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References to being post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call, phone calls, pages, or clinical duties during sessions.</w:t>
            </w:r>
          </w:p>
        </w:tc>
        <w:tc>
          <w:tcPr>
            <w:tcW w:w="0" w:type="auto"/>
            <w:hideMark/>
          </w:tcPr>
          <w:p w14:paraId="4B9FAA6A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General comments about busyness without linking to sessions.</w:t>
            </w:r>
          </w:p>
        </w:tc>
        <w:tc>
          <w:tcPr>
            <w:tcW w:w="0" w:type="auto"/>
            <w:hideMark/>
          </w:tcPr>
          <w:p w14:paraId="4759731C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"A class where your phone keeps ringing is useless."</w:t>
            </w:r>
          </w:p>
        </w:tc>
      </w:tr>
      <w:tr w:rsidR="004F3C18" w:rsidRPr="004F3C18" w14:paraId="4495AF3E" w14:textId="77777777" w:rsidTr="004F3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856A27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3.2 Absence of protected time</w:t>
            </w:r>
          </w:p>
        </w:tc>
        <w:tc>
          <w:tcPr>
            <w:tcW w:w="0" w:type="auto"/>
            <w:hideMark/>
          </w:tcPr>
          <w:p w14:paraId="06463CED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Mentions that teaching time was not protected, affecting attendance or learning.</w:t>
            </w:r>
          </w:p>
        </w:tc>
        <w:tc>
          <w:tcPr>
            <w:tcW w:w="0" w:type="auto"/>
            <w:hideMark/>
          </w:tcPr>
          <w:p w14:paraId="4F9C1302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Explicit statements about lack of protected educational time.</w:t>
            </w:r>
          </w:p>
        </w:tc>
        <w:tc>
          <w:tcPr>
            <w:tcW w:w="0" w:type="auto"/>
            <w:hideMark/>
          </w:tcPr>
          <w:p w14:paraId="3192156F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Statements about scheduling without mentioning protection.</w:t>
            </w:r>
          </w:p>
        </w:tc>
        <w:tc>
          <w:tcPr>
            <w:tcW w:w="0" w:type="auto"/>
            <w:hideMark/>
          </w:tcPr>
          <w:p w14:paraId="4C4D17C5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"When residents are off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duty, everyone should fully focus on learning."</w:t>
            </w:r>
          </w:p>
        </w:tc>
      </w:tr>
      <w:tr w:rsidR="004F3C18" w:rsidRPr="004F3C18" w14:paraId="1ADAE564" w14:textId="77777777" w:rsidTr="004F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70ACB9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3.3 Inter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hospital commuting</w:t>
            </w:r>
          </w:p>
        </w:tc>
        <w:tc>
          <w:tcPr>
            <w:tcW w:w="0" w:type="auto"/>
            <w:hideMark/>
          </w:tcPr>
          <w:p w14:paraId="269F0ED3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References to travel between hospitals consuming time and energy.</w:t>
            </w:r>
          </w:p>
        </w:tc>
        <w:tc>
          <w:tcPr>
            <w:tcW w:w="0" w:type="auto"/>
            <w:hideMark/>
          </w:tcPr>
          <w:p w14:paraId="3F08716B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Mentions of commuting, covering multiple sites, travel burden.</w:t>
            </w:r>
          </w:p>
        </w:tc>
        <w:tc>
          <w:tcPr>
            <w:tcW w:w="0" w:type="auto"/>
            <w:hideMark/>
          </w:tcPr>
          <w:p w14:paraId="41F3FBA0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General comments about workload.</w:t>
            </w:r>
          </w:p>
        </w:tc>
        <w:tc>
          <w:tcPr>
            <w:tcW w:w="0" w:type="auto"/>
            <w:hideMark/>
          </w:tcPr>
          <w:p w14:paraId="4808F63A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"Covering two hospitals and hours of commuting is extremely difficult."</w:t>
            </w:r>
          </w:p>
        </w:tc>
      </w:tr>
      <w:tr w:rsidR="004F3C18" w:rsidRPr="004F3C18" w14:paraId="3CAECFBE" w14:textId="77777777" w:rsidTr="004F3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9EEA65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Theme 4: Valued teaching formats</w:t>
            </w:r>
          </w:p>
        </w:tc>
        <w:tc>
          <w:tcPr>
            <w:tcW w:w="0" w:type="auto"/>
            <w:hideMark/>
          </w:tcPr>
          <w:p w14:paraId="1D92FFF5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B72169F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2DAA994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9A8681C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4F3C18" w:rsidRPr="004F3C18" w14:paraId="471863BC" w14:textId="77777777" w:rsidTr="004F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647023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4.1 Preference for cadaveric/physical over virtual/lecture</w:t>
            </w:r>
          </w:p>
        </w:tc>
        <w:tc>
          <w:tcPr>
            <w:tcW w:w="0" w:type="auto"/>
            <w:hideMark/>
          </w:tcPr>
          <w:p w14:paraId="3D2EA676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Positive valuation of hands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on, cadaveric, or simulation activities; negative valuation of passive lectures.</w:t>
            </w:r>
          </w:p>
        </w:tc>
        <w:tc>
          <w:tcPr>
            <w:tcW w:w="0" w:type="auto"/>
            <w:hideMark/>
          </w:tcPr>
          <w:p w14:paraId="41B4DC1A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Direct comparisons </w:t>
            </w:r>
            <w:proofErr w:type="spellStart"/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favouring</w:t>
            </w:r>
            <w:proofErr w:type="spellEnd"/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cadaver or simulation.</w:t>
            </w:r>
          </w:p>
        </w:tc>
        <w:tc>
          <w:tcPr>
            <w:tcW w:w="0" w:type="auto"/>
            <w:hideMark/>
          </w:tcPr>
          <w:p w14:paraId="526CA61D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Neutral descriptions of formats without evaluation.</w:t>
            </w:r>
          </w:p>
        </w:tc>
        <w:tc>
          <w:tcPr>
            <w:tcW w:w="0" w:type="auto"/>
            <w:hideMark/>
          </w:tcPr>
          <w:p w14:paraId="2D2D8A1E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"Anatomy cannot be learned virtually; it must be learned on a cadaver."</w:t>
            </w:r>
          </w:p>
        </w:tc>
      </w:tr>
      <w:tr w:rsidR="004F3C18" w:rsidRPr="004F3C18" w14:paraId="473F255C" w14:textId="77777777" w:rsidTr="004F3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B6FE0A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4.2 Surgeon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 xml:space="preserve">anatomist 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co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teaching &amp; ICMR</w:t>
            </w:r>
          </w:p>
        </w:tc>
        <w:tc>
          <w:tcPr>
            <w:tcW w:w="0" w:type="auto"/>
            <w:hideMark/>
          </w:tcPr>
          <w:p w14:paraId="403C77D6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 xml:space="preserve">Valuing the integration of 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anatomical and surgical perspectives, especially in case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based ICMR.</w:t>
            </w:r>
          </w:p>
        </w:tc>
        <w:tc>
          <w:tcPr>
            <w:tcW w:w="0" w:type="auto"/>
            <w:hideMark/>
          </w:tcPr>
          <w:p w14:paraId="6ACE1B0A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 xml:space="preserve">References to joint teaching, 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ICMR, or the surgeon–anatomist pairing as beneficial.</w:t>
            </w:r>
          </w:p>
        </w:tc>
        <w:tc>
          <w:tcPr>
            <w:tcW w:w="0" w:type="auto"/>
            <w:hideMark/>
          </w:tcPr>
          <w:p w14:paraId="7FF047B7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 xml:space="preserve">General comments 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about teamwork without reference to teaching.</w:t>
            </w:r>
          </w:p>
        </w:tc>
        <w:tc>
          <w:tcPr>
            <w:tcW w:w="0" w:type="auto"/>
            <w:hideMark/>
          </w:tcPr>
          <w:p w14:paraId="3FFC25B3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 xml:space="preserve">"The best approach is a 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combination of anatomists and surgeons."</w:t>
            </w:r>
          </w:p>
        </w:tc>
      </w:tr>
      <w:tr w:rsidR="004F3C18" w:rsidRPr="004F3C18" w14:paraId="69B2625E" w14:textId="77777777" w:rsidTr="004F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891263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Theme 5: Assessment perceptions</w:t>
            </w:r>
          </w:p>
        </w:tc>
        <w:tc>
          <w:tcPr>
            <w:tcW w:w="0" w:type="auto"/>
            <w:hideMark/>
          </w:tcPr>
          <w:p w14:paraId="1193433F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9879536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17423D7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F8FC62D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4F3C18" w:rsidRPr="004F3C18" w14:paraId="34C6A94E" w14:textId="77777777" w:rsidTr="004F3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74AEEC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5.1 Station timing concerns</w:t>
            </w:r>
          </w:p>
        </w:tc>
        <w:tc>
          <w:tcPr>
            <w:tcW w:w="0" w:type="auto"/>
            <w:hideMark/>
          </w:tcPr>
          <w:p w14:paraId="4667A0D3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Criticism of insufficient time per OSCE station.</w:t>
            </w:r>
          </w:p>
        </w:tc>
        <w:tc>
          <w:tcPr>
            <w:tcW w:w="0" w:type="auto"/>
            <w:hideMark/>
          </w:tcPr>
          <w:p w14:paraId="109199B2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Statements about timing being too short, rushed, or problematic.</w:t>
            </w:r>
          </w:p>
        </w:tc>
        <w:tc>
          <w:tcPr>
            <w:tcW w:w="0" w:type="auto"/>
            <w:hideMark/>
          </w:tcPr>
          <w:p w14:paraId="3CC1E960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General dissatisfaction with OSCE without timing mention.</w:t>
            </w:r>
          </w:p>
        </w:tc>
        <w:tc>
          <w:tcPr>
            <w:tcW w:w="0" w:type="auto"/>
            <w:hideMark/>
          </w:tcPr>
          <w:p w14:paraId="7622EC0D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"Six minutes is not enough time." (actual was 8 but participant perceived otherwise)</w:t>
            </w:r>
          </w:p>
        </w:tc>
      </w:tr>
      <w:tr w:rsidR="004F3C18" w:rsidRPr="004F3C18" w14:paraId="6F6761CE" w14:textId="77777777" w:rsidTr="004F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59F578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5.2 Advance communication of standards</w:t>
            </w:r>
          </w:p>
        </w:tc>
        <w:tc>
          <w:tcPr>
            <w:tcW w:w="0" w:type="auto"/>
            <w:hideMark/>
          </w:tcPr>
          <w:p w14:paraId="4A2AD828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Requests for pre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examination information about criteria, checklists, or guidebooks.</w:t>
            </w:r>
          </w:p>
        </w:tc>
        <w:tc>
          <w:tcPr>
            <w:tcW w:w="0" w:type="auto"/>
            <w:hideMark/>
          </w:tcPr>
          <w:p w14:paraId="68B34F05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Mentions of wanting more clarity, a guidebook, or advance notice of what would be assessed.</w:t>
            </w:r>
          </w:p>
        </w:tc>
        <w:tc>
          <w:tcPr>
            <w:tcW w:w="0" w:type="auto"/>
            <w:hideMark/>
          </w:tcPr>
          <w:p w14:paraId="41EB6083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References to general confusion without specific request.</w:t>
            </w:r>
          </w:p>
        </w:tc>
        <w:tc>
          <w:tcPr>
            <w:tcW w:w="0" w:type="auto"/>
            <w:hideMark/>
          </w:tcPr>
          <w:p w14:paraId="7DE2586E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"There was no checklist clarifying what would be assessed… There should be an OSCE guidebook."</w:t>
            </w:r>
          </w:p>
        </w:tc>
      </w:tr>
      <w:tr w:rsidR="004F3C18" w:rsidRPr="004F3C18" w14:paraId="3CFF47E4" w14:textId="77777777" w:rsidTr="004F3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2000C3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5.3 Professional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role delineation</w:t>
            </w:r>
          </w:p>
        </w:tc>
        <w:tc>
          <w:tcPr>
            <w:tcW w:w="0" w:type="auto"/>
            <w:hideMark/>
          </w:tcPr>
          <w:p w14:paraId="22CA2C75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Questioning whether an OSCE task falls within the surgeon's scope of practice.</w:t>
            </w:r>
          </w:p>
        </w:tc>
        <w:tc>
          <w:tcPr>
            <w:tcW w:w="0" w:type="auto"/>
            <w:hideMark/>
          </w:tcPr>
          <w:p w14:paraId="41184278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Statements that a task (e.g., diagnosis) is not appropriate for a surgeon.</w:t>
            </w:r>
          </w:p>
        </w:tc>
        <w:tc>
          <w:tcPr>
            <w:tcW w:w="0" w:type="auto"/>
            <w:hideMark/>
          </w:tcPr>
          <w:p w14:paraId="5ABAD7C0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General complaints about station content without scope objection.</w:t>
            </w:r>
          </w:p>
        </w:tc>
        <w:tc>
          <w:tcPr>
            <w:tcW w:w="0" w:type="auto"/>
            <w:hideMark/>
          </w:tcPr>
          <w:p w14:paraId="4CF3B8A4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"Is making the diagnosis really my responsibility?"</w:t>
            </w:r>
          </w:p>
        </w:tc>
      </w:tr>
      <w:tr w:rsidR="004F3C18" w:rsidRPr="004F3C18" w14:paraId="3B6B84CB" w14:textId="77777777" w:rsidTr="004F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75C747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Theme 6: Hierarchy, 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lastRenderedPageBreak/>
              <w:t>embarrassment, and safety</w:t>
            </w:r>
          </w:p>
        </w:tc>
        <w:tc>
          <w:tcPr>
            <w:tcW w:w="0" w:type="auto"/>
            <w:hideMark/>
          </w:tcPr>
          <w:p w14:paraId="496AB347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6C8562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745CB3A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926CF9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</w:p>
        </w:tc>
      </w:tr>
      <w:tr w:rsidR="004F3C18" w:rsidRPr="004F3C18" w14:paraId="30B3CA6C" w14:textId="77777777" w:rsidTr="004F3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6D22ECC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6.1 Concealment of knowledge gaps</w:t>
            </w:r>
          </w:p>
        </w:tc>
        <w:tc>
          <w:tcPr>
            <w:tcW w:w="0" w:type="auto"/>
            <w:hideMark/>
          </w:tcPr>
          <w:p w14:paraId="685A13C9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Descriptions of residents hiding lack of knowledge, feeling embarrassed to ask.</w:t>
            </w:r>
          </w:p>
        </w:tc>
        <w:tc>
          <w:tcPr>
            <w:tcW w:w="0" w:type="auto"/>
            <w:hideMark/>
          </w:tcPr>
          <w:p w14:paraId="62B5F164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Accounts of not asking, proceeding blindly, or fear of judgement.</w:t>
            </w:r>
          </w:p>
        </w:tc>
        <w:tc>
          <w:tcPr>
            <w:tcW w:w="0" w:type="auto"/>
            <w:hideMark/>
          </w:tcPr>
          <w:p w14:paraId="78FA6E54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Statements about not knowing without explicit concealment.</w:t>
            </w:r>
          </w:p>
        </w:tc>
        <w:tc>
          <w:tcPr>
            <w:tcW w:w="0" w:type="auto"/>
            <w:hideMark/>
          </w:tcPr>
          <w:p w14:paraId="3A678706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"We move forward blindly and </w:t>
            </w:r>
            <w:proofErr w:type="gramStart"/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embarrassed</w:t>
            </w:r>
            <w:proofErr w:type="gramEnd"/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to ask."</w:t>
            </w:r>
          </w:p>
        </w:tc>
      </w:tr>
      <w:tr w:rsidR="004F3C18" w:rsidRPr="004F3C18" w14:paraId="10DBA498" w14:textId="77777777" w:rsidTr="004F3C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695185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6.2 Anatomy as rapidly</w:t>
            </w: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noBreakHyphen/>
              <w:t>forgotten content</w:t>
            </w:r>
          </w:p>
        </w:tc>
        <w:tc>
          <w:tcPr>
            <w:tcW w:w="0" w:type="auto"/>
            <w:hideMark/>
          </w:tcPr>
          <w:p w14:paraId="6F6955AC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proofErr w:type="spellStart"/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Characterisation</w:t>
            </w:r>
            <w:proofErr w:type="spellEnd"/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 xml:space="preserve"> of anatomy as material that fades from memory and needs repeated review.</w:t>
            </w:r>
          </w:p>
        </w:tc>
        <w:tc>
          <w:tcPr>
            <w:tcW w:w="0" w:type="auto"/>
            <w:hideMark/>
          </w:tcPr>
          <w:p w14:paraId="37089927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Mentions of "volatile", "forgettable", "needs repetition".</w:t>
            </w:r>
          </w:p>
        </w:tc>
        <w:tc>
          <w:tcPr>
            <w:tcW w:w="0" w:type="auto"/>
            <w:hideMark/>
          </w:tcPr>
          <w:p w14:paraId="5FE835C6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General comments about difficulty of retention.</w:t>
            </w:r>
          </w:p>
        </w:tc>
        <w:tc>
          <w:tcPr>
            <w:tcW w:w="0" w:type="auto"/>
            <w:hideMark/>
          </w:tcPr>
          <w:p w14:paraId="6A63C724" w14:textId="77777777" w:rsidR="004F3C18" w:rsidRPr="004F3C18" w:rsidRDefault="004F3C18" w:rsidP="004F3C18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"Anatomy is a highly volatile subject that needs repeated review."</w:t>
            </w:r>
          </w:p>
        </w:tc>
      </w:tr>
      <w:tr w:rsidR="004F3C18" w:rsidRPr="004F3C18" w14:paraId="4547870D" w14:textId="77777777" w:rsidTr="004F3C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462000" w14:textId="77777777" w:rsidR="004F3C18" w:rsidRPr="004F3C18" w:rsidRDefault="004F3C18" w:rsidP="004F3C18">
            <w:pPr>
              <w:spacing w:line="375" w:lineRule="atLeast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6.3 Settings perceived as permitting questions</w:t>
            </w:r>
          </w:p>
        </w:tc>
        <w:tc>
          <w:tcPr>
            <w:tcW w:w="0" w:type="auto"/>
            <w:hideMark/>
          </w:tcPr>
          <w:p w14:paraId="7E469675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Descriptions of specific formats (e.g., ICMR, small groups) where asking felt safer.</w:t>
            </w:r>
          </w:p>
        </w:tc>
        <w:tc>
          <w:tcPr>
            <w:tcW w:w="0" w:type="auto"/>
            <w:hideMark/>
          </w:tcPr>
          <w:p w14:paraId="75070D5F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Positive statements about ease of questioning in a particular setting.</w:t>
            </w:r>
          </w:p>
        </w:tc>
        <w:tc>
          <w:tcPr>
            <w:tcW w:w="0" w:type="auto"/>
            <w:hideMark/>
          </w:tcPr>
          <w:p w14:paraId="2A98F3EB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General statements about safety without identifying a setting.</w:t>
            </w:r>
          </w:p>
        </w:tc>
        <w:tc>
          <w:tcPr>
            <w:tcW w:w="0" w:type="auto"/>
            <w:hideMark/>
          </w:tcPr>
          <w:p w14:paraId="48D24255" w14:textId="77777777" w:rsidR="004F3C18" w:rsidRPr="004F3C18" w:rsidRDefault="004F3C18" w:rsidP="004F3C18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kern w:val="0"/>
                <w14:ligatures w14:val="none"/>
              </w:rPr>
            </w:pPr>
            <w:r w:rsidRPr="004F3C18">
              <w:rPr>
                <w:rFonts w:asciiTheme="majorBidi" w:eastAsia="Times New Roman" w:hAnsiTheme="majorBidi" w:cstheme="majorBidi"/>
                <w:kern w:val="0"/>
                <w14:ligatures w14:val="none"/>
              </w:rPr>
              <w:t>"In the ICMR, it felt easier to ask because it was a discussion, not a test."</w:t>
            </w:r>
          </w:p>
        </w:tc>
      </w:tr>
    </w:tbl>
    <w:p w14:paraId="3E7191A9" w14:textId="77777777" w:rsidR="00080263" w:rsidRPr="004F3C18" w:rsidRDefault="00080263">
      <w:pPr>
        <w:rPr>
          <w:rFonts w:asciiTheme="majorBidi" w:hAnsiTheme="majorBidi" w:cstheme="majorBidi"/>
        </w:rPr>
      </w:pPr>
    </w:p>
    <w:sectPr w:rsidR="00080263" w:rsidRPr="004F3C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1B"/>
    <w:rsid w:val="00080263"/>
    <w:rsid w:val="004F3C18"/>
    <w:rsid w:val="007D261E"/>
    <w:rsid w:val="008D3DBD"/>
    <w:rsid w:val="00D757DF"/>
    <w:rsid w:val="00ED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4C9CEF2E-E516-46E1-B58B-43798787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3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3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30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3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30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30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30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30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30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30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30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30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30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30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30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30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30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30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30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3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30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3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30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30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3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30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0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301B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4F3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F3C18"/>
    <w:rPr>
      <w:b/>
      <w:bCs/>
    </w:rPr>
  </w:style>
  <w:style w:type="character" w:styleId="Emphasis">
    <w:name w:val="Emphasis"/>
    <w:basedOn w:val="DefaultParagraphFont"/>
    <w:uiPriority w:val="20"/>
    <w:qFormat/>
    <w:rsid w:val="004F3C18"/>
    <w:rPr>
      <w:i/>
      <w:iCs/>
    </w:rPr>
  </w:style>
  <w:style w:type="table" w:styleId="PlainTable2">
    <w:name w:val="Plain Table 2"/>
    <w:basedOn w:val="TableNormal"/>
    <w:uiPriority w:val="42"/>
    <w:rsid w:val="004F3C1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947</Words>
  <Characters>5400</Characters>
  <Application>Microsoft Office Word</Application>
  <DocSecurity>0</DocSecurity>
  <Lines>45</Lines>
  <Paragraphs>12</Paragraphs>
  <ScaleCrop>false</ScaleCrop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Movahedinia</dc:creator>
  <cp:keywords/>
  <dc:description/>
  <cp:lastModifiedBy>Mohammad Movahedinia</cp:lastModifiedBy>
  <cp:revision>2</cp:revision>
  <dcterms:created xsi:type="dcterms:W3CDTF">2026-08-21T21:00:00Z</dcterms:created>
  <dcterms:modified xsi:type="dcterms:W3CDTF">2026-08-21T21:01:00Z</dcterms:modified>
</cp:coreProperties>
</file>