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4D47ECE2" w:rsidRDefault="4D47ECE2" w14:paraId="0789C6E9" w14:textId="39AC5CD7">
      <w:r w:rsidR="4D47ECE2">
        <w:rPr/>
        <w:t>Additional file 4 Data extraction table</w:t>
      </w:r>
    </w:p>
    <w:tbl>
      <w:tblPr>
        <w:tblStyle w:val="TableGrid"/>
        <w:tblW w:w="14070" w:type="dxa"/>
        <w:tblLayout w:type="fixed"/>
        <w:tblLook w:val="04A0" w:firstRow="1" w:lastRow="0" w:firstColumn="1" w:lastColumn="0" w:noHBand="0" w:noVBand="1"/>
      </w:tblPr>
      <w:tblGrid>
        <w:gridCol w:w="1275"/>
        <w:gridCol w:w="3360"/>
        <w:gridCol w:w="1350"/>
        <w:gridCol w:w="3720"/>
        <w:gridCol w:w="4365"/>
      </w:tblGrid>
      <w:tr w:rsidRPr="00956C3D" w:rsidR="008F36B2" w:rsidTr="6119DFDC" w14:paraId="2325384B" w14:textId="77777777">
        <w:trPr>
          <w:trHeight w:val="300"/>
        </w:trPr>
        <w:tc>
          <w:tcPr>
            <w:tcW w:w="1275" w:type="dxa"/>
            <w:tcMar/>
          </w:tcPr>
          <w:p w:rsidRPr="00BF6548" w:rsidR="008F36B2" w:rsidP="1E03E899" w:rsidRDefault="008F36B2" w14:paraId="32C63263" w14:textId="154A2E37">
            <w:pPr>
              <w:rPr>
                <w:b w:val="1"/>
                <w:bCs w:val="1"/>
                <w:sz w:val="20"/>
                <w:szCs w:val="20"/>
                <w:lang w:val="en-US"/>
              </w:rPr>
            </w:pPr>
            <w:r w:rsidRPr="5A27B628" w:rsidR="4118A6F6">
              <w:rPr>
                <w:b w:val="1"/>
                <w:bCs w:val="1"/>
                <w:sz w:val="20"/>
                <w:szCs w:val="20"/>
              </w:rPr>
              <w:t>Author (Year and country of origin)</w:t>
            </w:r>
          </w:p>
        </w:tc>
        <w:tc>
          <w:tcPr>
            <w:tcW w:w="3360" w:type="dxa"/>
            <w:tcMar/>
          </w:tcPr>
          <w:p w:rsidRPr="00956C3D" w:rsidR="008F36B2" w:rsidP="1E03E899" w:rsidRDefault="008F36B2" w14:paraId="065B88A4" w14:textId="65576638">
            <w:pPr>
              <w:rPr>
                <w:b/>
                <w:bCs/>
                <w:sz w:val="20"/>
                <w:szCs w:val="20"/>
              </w:rPr>
            </w:pPr>
            <w:r w:rsidRPr="49FE81C8">
              <w:rPr>
                <w:b/>
                <w:bCs/>
                <w:sz w:val="20"/>
                <w:szCs w:val="20"/>
              </w:rPr>
              <w:t>Objective</w:t>
            </w:r>
          </w:p>
        </w:tc>
        <w:tc>
          <w:tcPr>
            <w:tcW w:w="1350" w:type="dxa"/>
            <w:tcMar/>
          </w:tcPr>
          <w:p w:rsidRPr="00956C3D" w:rsidR="008F36B2" w:rsidP="1E03E899" w:rsidRDefault="008F36B2" w14:paraId="0095BD12" w14:textId="77777777">
            <w:pPr>
              <w:rPr>
                <w:b/>
                <w:bCs/>
                <w:sz w:val="20"/>
                <w:szCs w:val="20"/>
              </w:rPr>
            </w:pPr>
            <w:r w:rsidRPr="49FE81C8">
              <w:rPr>
                <w:b/>
                <w:bCs/>
                <w:sz w:val="20"/>
                <w:szCs w:val="20"/>
              </w:rPr>
              <w:t>Methodology</w:t>
            </w:r>
          </w:p>
        </w:tc>
        <w:tc>
          <w:tcPr>
            <w:tcW w:w="3720" w:type="dxa"/>
            <w:tcMar/>
          </w:tcPr>
          <w:p w:rsidRPr="00956C3D" w:rsidR="008F36B2" w:rsidP="1E03E899" w:rsidRDefault="008F36B2" w14:paraId="07D44E04" w14:textId="20A68C63">
            <w:pPr>
              <w:rPr>
                <w:b/>
                <w:bCs/>
                <w:sz w:val="20"/>
                <w:szCs w:val="20"/>
              </w:rPr>
            </w:pPr>
            <w:r w:rsidRPr="49FE81C8">
              <w:rPr>
                <w:b/>
                <w:bCs/>
                <w:sz w:val="20"/>
                <w:szCs w:val="20"/>
              </w:rPr>
              <w:t>Participants / Information source</w:t>
            </w:r>
          </w:p>
        </w:tc>
        <w:tc>
          <w:tcPr>
            <w:tcW w:w="4365" w:type="dxa"/>
            <w:tcMar/>
          </w:tcPr>
          <w:p w:rsidRPr="00956C3D" w:rsidR="008F36B2" w:rsidP="1E03E899" w:rsidRDefault="008F36B2" w14:paraId="0B830594" w14:textId="769CB7E8">
            <w:pPr>
              <w:rPr>
                <w:b/>
                <w:bCs/>
                <w:sz w:val="20"/>
                <w:szCs w:val="20"/>
              </w:rPr>
            </w:pPr>
            <w:r>
              <w:rPr>
                <w:b/>
                <w:bCs/>
                <w:sz w:val="20"/>
                <w:szCs w:val="20"/>
              </w:rPr>
              <w:t>Main findings</w:t>
            </w:r>
          </w:p>
        </w:tc>
      </w:tr>
      <w:tr w:rsidRPr="00C7750C" w:rsidR="008F36B2" w:rsidTr="6119DFDC" w14:paraId="0398D08F" w14:textId="77777777">
        <w:trPr>
          <w:trHeight w:val="300"/>
        </w:trPr>
        <w:tc>
          <w:tcPr>
            <w:tcW w:w="1275" w:type="dxa"/>
            <w:tcMar/>
          </w:tcPr>
          <w:p w:rsidRPr="00BF6548" w:rsidR="008F36B2" w:rsidP="1B1FF365" w:rsidRDefault="008F36B2" w14:paraId="32E5A027" w14:textId="74FB5D3F">
            <w:pPr>
              <w:rPr>
                <w:sz w:val="20"/>
                <w:szCs w:val="20"/>
                <w:lang w:val="en-US"/>
              </w:rPr>
            </w:pPr>
            <w:r w:rsidRPr="49FE81C8">
              <w:rPr>
                <w:sz w:val="20"/>
                <w:szCs w:val="20"/>
              </w:rPr>
              <w:t>Davda et al.(2024, United Kingdom and Australia)</w:t>
            </w:r>
          </w:p>
        </w:tc>
        <w:tc>
          <w:tcPr>
            <w:tcW w:w="3360" w:type="dxa"/>
            <w:tcMar/>
          </w:tcPr>
          <w:p w:rsidRPr="00956C3D" w:rsidR="008F36B2" w:rsidP="1B1FF365" w:rsidRDefault="008F36B2" w14:paraId="14A30432" w14:textId="45792A77">
            <w:pPr>
              <w:rPr>
                <w:sz w:val="20"/>
                <w:szCs w:val="20"/>
                <w:lang w:val="en-US"/>
              </w:rPr>
            </w:pPr>
            <w:r w:rsidRPr="49FE81C8">
              <w:rPr>
                <w:sz w:val="20"/>
                <w:szCs w:val="20"/>
              </w:rPr>
              <w:t xml:space="preserve">To undertake a comparative analysis of the professional integration of migrant dentists in the UK and Australia, and health system responses, while explicating implications for future health workforce governance. To analyse the professional integration of migrant dentists through the lens of health workforce and migration governance. </w:t>
            </w:r>
          </w:p>
        </w:tc>
        <w:tc>
          <w:tcPr>
            <w:tcW w:w="1350" w:type="dxa"/>
            <w:tcMar/>
          </w:tcPr>
          <w:p w:rsidRPr="00956C3D" w:rsidR="008F36B2" w:rsidP="1B1FF365" w:rsidRDefault="3CD81518" w14:paraId="285FF5FF" w14:textId="255C7597">
            <w:pPr>
              <w:rPr>
                <w:sz w:val="20"/>
                <w:szCs w:val="20"/>
                <w:lang w:val="en-US"/>
              </w:rPr>
            </w:pPr>
            <w:r w:rsidRPr="3F7EE571">
              <w:rPr>
                <w:sz w:val="20"/>
                <w:szCs w:val="20"/>
              </w:rPr>
              <w:t>Mixed-methods case study</w:t>
            </w:r>
          </w:p>
        </w:tc>
        <w:tc>
          <w:tcPr>
            <w:tcW w:w="3720" w:type="dxa"/>
            <w:tcMar/>
          </w:tcPr>
          <w:p w:rsidR="008F36B2" w:rsidP="1B1FF365" w:rsidRDefault="008F36B2" w14:paraId="65DF87F3" w14:textId="4EC29D58">
            <w:pPr>
              <w:rPr>
                <w:sz w:val="20"/>
                <w:szCs w:val="20"/>
                <w:lang w:val="en-US"/>
              </w:rPr>
            </w:pPr>
            <w:r w:rsidRPr="49FE81C8">
              <w:rPr>
                <w:sz w:val="20"/>
                <w:szCs w:val="20"/>
              </w:rPr>
              <w:t>Semi-structured in-depth interviews with 38 overseas-trained dentists from 25 countries (UK) (2014-2017)</w:t>
            </w:r>
          </w:p>
          <w:p w:rsidR="008F36B2" w:rsidP="1B1FF365" w:rsidRDefault="008F36B2" w14:paraId="0B0C831D" w14:textId="77777777">
            <w:pPr>
              <w:rPr>
                <w:sz w:val="20"/>
                <w:szCs w:val="20"/>
                <w:lang w:val="en-US"/>
              </w:rPr>
            </w:pPr>
          </w:p>
          <w:p w:rsidRPr="00956C3D" w:rsidR="008F36B2" w:rsidP="1B1FF365" w:rsidRDefault="008F36B2" w14:paraId="62302D99" w14:textId="4B6F61EC">
            <w:pPr>
              <w:rPr>
                <w:sz w:val="20"/>
                <w:szCs w:val="20"/>
                <w:lang w:val="en-US"/>
              </w:rPr>
            </w:pPr>
            <w:r w:rsidRPr="49FE81C8">
              <w:rPr>
                <w:sz w:val="20"/>
                <w:szCs w:val="20"/>
              </w:rPr>
              <w:t xml:space="preserve">+ </w:t>
            </w:r>
          </w:p>
          <w:p w:rsidRPr="00B77FBB" w:rsidR="008F36B2" w:rsidP="002B08D8" w:rsidRDefault="008F36B2" w14:paraId="1EB5DA15" w14:textId="77777777">
            <w:pPr>
              <w:rPr>
                <w:sz w:val="20"/>
                <w:szCs w:val="20"/>
                <w:lang w:val="en-US"/>
              </w:rPr>
            </w:pPr>
          </w:p>
          <w:p w:rsidR="008F36B2" w:rsidP="002B08D8" w:rsidRDefault="008F36B2" w14:paraId="24657203" w14:textId="77777777">
            <w:pPr>
              <w:rPr>
                <w:sz w:val="20"/>
                <w:szCs w:val="20"/>
                <w:lang w:val="en-US"/>
              </w:rPr>
            </w:pPr>
            <w:r w:rsidRPr="49FE81C8">
              <w:rPr>
                <w:sz w:val="20"/>
                <w:szCs w:val="20"/>
              </w:rPr>
              <w:t xml:space="preserve">Secondary data: dental workforce, migration data, registrations, qualifications assessments and examinations data on overseas-trained dentists available from public sources / National systems registration and examination data and relevant policies, data from government and global datasets (2000-2022). </w:t>
            </w:r>
          </w:p>
          <w:p w:rsidR="008F36B2" w:rsidP="002B08D8" w:rsidRDefault="008F36B2" w14:paraId="173D5732" w14:textId="06B33784">
            <w:pPr>
              <w:rPr>
                <w:sz w:val="20"/>
                <w:szCs w:val="20"/>
                <w:lang w:val="en-US"/>
              </w:rPr>
            </w:pPr>
            <w:r w:rsidRPr="49FE81C8">
              <w:rPr>
                <w:sz w:val="20"/>
                <w:szCs w:val="20"/>
              </w:rPr>
              <w:t>OECD data on dentist population ratio (2023).</w:t>
            </w:r>
          </w:p>
          <w:p w:rsidRPr="00B77FBB" w:rsidR="008F36B2" w:rsidP="1B1FF365" w:rsidRDefault="008F36B2" w14:paraId="4BFD6EB2" w14:textId="2746E01F">
            <w:pPr>
              <w:rPr>
                <w:sz w:val="20"/>
                <w:szCs w:val="20"/>
                <w:lang w:val="en-US"/>
              </w:rPr>
            </w:pPr>
          </w:p>
        </w:tc>
        <w:tc>
          <w:tcPr>
            <w:tcW w:w="4365" w:type="dxa"/>
            <w:tcMar/>
          </w:tcPr>
          <w:p w:rsidRPr="008F36B2" w:rsidR="008F36B2" w:rsidP="02875AFB" w:rsidRDefault="008F36B2" w14:paraId="00F2FC57" w14:textId="5441E8C9">
            <w:pPr>
              <w:rPr>
                <w:rFonts w:eastAsia="Calibri" w:cstheme="minorHAnsi"/>
                <w:sz w:val="20"/>
                <w:szCs w:val="20"/>
                <w:lang w:val="en-US"/>
              </w:rPr>
            </w:pPr>
            <w:r w:rsidRPr="008F36B2">
              <w:rPr>
                <w:rFonts w:cstheme="minorHAnsi"/>
                <w:color w:val="000000"/>
                <w:sz w:val="20"/>
                <w:szCs w:val="20"/>
              </w:rPr>
              <w:t>Dentist migration is shaped by interacting micro- and macro-level systems, driven by strong push and pull factors, and creates both opportunities for workforce mobility and challenges for healthcare sustainability and equity. Key issues include barriers to professional integration, underutilisation of skills, and the need for improved workforce planning, harmonised education, and targeted support for migrant dentists.</w:t>
            </w:r>
          </w:p>
          <w:p w:rsidRPr="00956C3D" w:rsidR="008F36B2" w:rsidP="1B1FF365" w:rsidRDefault="008F36B2" w14:paraId="3F9B8087" w14:textId="3E18DB60">
            <w:pPr>
              <w:rPr>
                <w:rFonts w:ascii="Calibri" w:hAnsi="Calibri" w:eastAsia="Calibri" w:cs="Calibri"/>
                <w:sz w:val="20"/>
                <w:szCs w:val="20"/>
                <w:lang w:val="en-US"/>
              </w:rPr>
            </w:pPr>
            <w:r w:rsidRPr="49FE81C8">
              <w:rPr>
                <w:rFonts w:ascii="Calibri" w:hAnsi="Calibri" w:eastAsia="Calibri" w:cs="Calibri"/>
                <w:sz w:val="20"/>
                <w:szCs w:val="20"/>
              </w:rPr>
              <w:t xml:space="preserve"> </w:t>
            </w:r>
          </w:p>
        </w:tc>
      </w:tr>
      <w:tr w:rsidRPr="00C7750C" w:rsidR="008F36B2" w:rsidTr="6119DFDC" w14:paraId="10C2EC75" w14:textId="77777777">
        <w:trPr>
          <w:trHeight w:val="300"/>
        </w:trPr>
        <w:tc>
          <w:tcPr>
            <w:tcW w:w="1275" w:type="dxa"/>
            <w:tcMar/>
          </w:tcPr>
          <w:p w:rsidRPr="00BF6548" w:rsidR="008F36B2" w:rsidP="5346BA88" w:rsidRDefault="008F36B2" w14:paraId="5EF83CEC" w14:textId="65A313C6">
            <w:pPr>
              <w:rPr>
                <w:sz w:val="20"/>
                <w:szCs w:val="20"/>
                <w:lang w:val="en-US"/>
              </w:rPr>
            </w:pPr>
            <w:r w:rsidRPr="49FE81C8">
              <w:rPr>
                <w:sz w:val="20"/>
                <w:szCs w:val="20"/>
              </w:rPr>
              <w:t>Davda et al. (2024, United Kingdom)</w:t>
            </w:r>
          </w:p>
        </w:tc>
        <w:tc>
          <w:tcPr>
            <w:tcW w:w="3360" w:type="dxa"/>
            <w:tcMar/>
          </w:tcPr>
          <w:p w:rsidRPr="00956C3D" w:rsidR="008F36B2" w:rsidP="1B1FF365" w:rsidRDefault="008F36B2" w14:paraId="3922A718" w14:textId="71109356">
            <w:pPr>
              <w:rPr>
                <w:sz w:val="20"/>
                <w:szCs w:val="20"/>
                <w:lang w:val="en-US"/>
              </w:rPr>
            </w:pPr>
            <w:r w:rsidRPr="49FE81C8">
              <w:rPr>
                <w:sz w:val="20"/>
                <w:szCs w:val="20"/>
              </w:rPr>
              <w:t xml:space="preserve">To explore the migration motivations of internationally qualified dentists (IQDs) working in the UK and present a typology to understand the global migration of dentists in the context of oral health workforce. </w:t>
            </w:r>
          </w:p>
        </w:tc>
        <w:tc>
          <w:tcPr>
            <w:tcW w:w="1350" w:type="dxa"/>
            <w:tcMar/>
          </w:tcPr>
          <w:p w:rsidRPr="00956C3D" w:rsidR="008F36B2" w:rsidP="287CBB0C" w:rsidRDefault="3CD81518" w14:paraId="472D4E91" w14:textId="52370EE0">
            <w:pPr>
              <w:rPr>
                <w:sz w:val="20"/>
                <w:szCs w:val="20"/>
                <w:lang w:val="en-US"/>
              </w:rPr>
            </w:pPr>
            <w:r w:rsidRPr="3F7EE571">
              <w:rPr>
                <w:sz w:val="20"/>
                <w:szCs w:val="20"/>
              </w:rPr>
              <w:t>Qualitativ</w:t>
            </w:r>
            <w:r w:rsidRPr="3F7EE571" w:rsidR="21D0CB54">
              <w:rPr>
                <w:sz w:val="20"/>
                <w:szCs w:val="20"/>
              </w:rPr>
              <w:t>e</w:t>
            </w:r>
          </w:p>
        </w:tc>
        <w:tc>
          <w:tcPr>
            <w:tcW w:w="3720" w:type="dxa"/>
            <w:tcMar/>
          </w:tcPr>
          <w:p w:rsidRPr="00956C3D" w:rsidR="008F36B2" w:rsidP="1B1FF365" w:rsidRDefault="008F36B2" w14:paraId="01C22C6D" w14:textId="158B133A">
            <w:pPr>
              <w:rPr>
                <w:sz w:val="20"/>
                <w:szCs w:val="20"/>
              </w:rPr>
            </w:pPr>
            <w:r w:rsidRPr="49FE81C8">
              <w:rPr>
                <w:sz w:val="20"/>
                <w:szCs w:val="20"/>
              </w:rPr>
              <w:t xml:space="preserve">38 semi-structured interviews with IQDs working in the UK, of which 14 migrated from an EEA country. August 2014 to October 2017. </w:t>
            </w:r>
          </w:p>
        </w:tc>
        <w:tc>
          <w:tcPr>
            <w:tcW w:w="4365" w:type="dxa"/>
            <w:tcMar/>
          </w:tcPr>
          <w:p w:rsidRPr="00956C3D" w:rsidR="008F36B2" w:rsidP="1B1FF365" w:rsidRDefault="17A3B8ED" w14:paraId="728AAD64" w14:textId="301B3CFA">
            <w:r w:rsidRPr="3F7EE571">
              <w:rPr>
                <w:rFonts w:ascii="Calibri" w:hAnsi="Calibri" w:eastAsia="Calibri" w:cs="Calibri"/>
                <w:color w:val="000000" w:themeColor="text1"/>
                <w:sz w:val="20"/>
                <w:szCs w:val="20"/>
              </w:rPr>
              <w:t>A typology of migrant dentists, based on diverse and fluid motivations, provides a structured understanding of migration patterns and can inform more sustainable recruitment and retention policies. Migration is driven by a combination of push factors (e.g., limited training opportunities, high education costs, and unemployment) and individual circumstances, while global variation in dental education and a mobile workforce create ongoing challenges for professional integration and workforce planning.</w:t>
            </w:r>
          </w:p>
          <w:p w:rsidRPr="00956C3D" w:rsidR="008F36B2" w:rsidP="3F7EE571" w:rsidRDefault="008F36B2" w14:paraId="70992114" w14:textId="70FEA110"/>
        </w:tc>
      </w:tr>
      <w:tr w:rsidRPr="00C7750C" w:rsidR="008F36B2" w:rsidTr="6119DFDC" w14:paraId="790D2C0F" w14:textId="77777777">
        <w:trPr>
          <w:trHeight w:val="300"/>
        </w:trPr>
        <w:tc>
          <w:tcPr>
            <w:tcW w:w="1275" w:type="dxa"/>
            <w:tcMar/>
          </w:tcPr>
          <w:p w:rsidRPr="00BF6548" w:rsidR="008F36B2" w:rsidP="5346BA88" w:rsidRDefault="008F36B2" w14:paraId="5FCA3E8A" w14:textId="5500E6B3">
            <w:pPr>
              <w:rPr>
                <w:sz w:val="20"/>
                <w:szCs w:val="20"/>
                <w:lang w:val="en-US"/>
              </w:rPr>
            </w:pPr>
            <w:r w:rsidRPr="49FE81C8">
              <w:rPr>
                <w:sz w:val="20"/>
                <w:szCs w:val="20"/>
              </w:rPr>
              <w:t>Davda et al. (2022, United Kingdom)</w:t>
            </w:r>
          </w:p>
        </w:tc>
        <w:tc>
          <w:tcPr>
            <w:tcW w:w="3360" w:type="dxa"/>
            <w:tcMar/>
          </w:tcPr>
          <w:p w:rsidRPr="00956C3D" w:rsidR="008F36B2" w:rsidP="5016AC76" w:rsidRDefault="008F36B2" w14:paraId="6D19600D" w14:textId="0D407DB3">
            <w:pPr>
              <w:rPr>
                <w:sz w:val="20"/>
                <w:szCs w:val="20"/>
                <w:lang w:val="en-US"/>
              </w:rPr>
            </w:pPr>
            <w:r w:rsidRPr="49FE81C8">
              <w:rPr>
                <w:sz w:val="20"/>
                <w:szCs w:val="20"/>
              </w:rPr>
              <w:t>To explore the accreditation and professional integration experiences of internationally qualified dentists working in the UK.</w:t>
            </w:r>
          </w:p>
        </w:tc>
        <w:tc>
          <w:tcPr>
            <w:tcW w:w="1350" w:type="dxa"/>
            <w:tcMar/>
          </w:tcPr>
          <w:p w:rsidRPr="00956C3D" w:rsidR="008F36B2" w:rsidP="308BD15F" w:rsidRDefault="3CD81518" w14:paraId="4C4927D1" w14:textId="10454393">
            <w:pPr>
              <w:rPr>
                <w:sz w:val="20"/>
                <w:szCs w:val="20"/>
                <w:lang w:val="en-US"/>
              </w:rPr>
            </w:pPr>
            <w:r w:rsidRPr="3F7EE571">
              <w:rPr>
                <w:sz w:val="20"/>
                <w:szCs w:val="20"/>
              </w:rPr>
              <w:t>Qualitativ</w:t>
            </w:r>
            <w:r w:rsidRPr="3F7EE571" w:rsidR="31FB8523">
              <w:rPr>
                <w:sz w:val="20"/>
                <w:szCs w:val="20"/>
              </w:rPr>
              <w:t>e</w:t>
            </w:r>
          </w:p>
        </w:tc>
        <w:tc>
          <w:tcPr>
            <w:tcW w:w="3720" w:type="dxa"/>
            <w:tcMar/>
          </w:tcPr>
          <w:p w:rsidRPr="00B4365F" w:rsidR="008F36B2" w:rsidP="308BD15F" w:rsidRDefault="008F36B2" w14:paraId="3AA9D712" w14:textId="3AD06148">
            <w:pPr>
              <w:rPr>
                <w:sz w:val="20"/>
                <w:szCs w:val="20"/>
                <w:lang w:val="en-US"/>
              </w:rPr>
            </w:pPr>
            <w:r w:rsidRPr="49FE81C8">
              <w:rPr>
                <w:sz w:val="20"/>
                <w:szCs w:val="20"/>
              </w:rPr>
              <w:t>38 semi-structured interviews with IQDs working in the UK, of which 14 migrated from 9 EEA countries. August 2014 to October 2017.</w:t>
            </w:r>
          </w:p>
        </w:tc>
        <w:tc>
          <w:tcPr>
            <w:tcW w:w="4365" w:type="dxa"/>
            <w:tcMar/>
          </w:tcPr>
          <w:p w:rsidR="03661E73" w:rsidRDefault="03661E73" w14:paraId="492BCC0E" w14:textId="051D5D3B">
            <w:r w:rsidRPr="3F7EE571">
              <w:rPr>
                <w:rFonts w:ascii="Calibri" w:hAnsi="Calibri" w:eastAsia="Calibri" w:cs="Calibri"/>
                <w:color w:val="000000" w:themeColor="text1"/>
                <w:sz w:val="20"/>
                <w:szCs w:val="20"/>
              </w:rPr>
              <w:t xml:space="preserve">The professional integration of internationally qualified dentists is shaped by structural and relational factors, with unequal registration pathways and differences in training contributing </w:t>
            </w:r>
            <w:r w:rsidRPr="3F7EE571">
              <w:rPr>
                <w:rFonts w:ascii="Calibri" w:hAnsi="Calibri" w:eastAsia="Calibri" w:cs="Calibri"/>
                <w:color w:val="000000" w:themeColor="text1"/>
                <w:sz w:val="20"/>
                <w:szCs w:val="20"/>
              </w:rPr>
              <w:lastRenderedPageBreak/>
              <w:t>to inconsistencies in integration and preparedness for practice in the UK. Variations in education, skills mismatch, and limited familiarity with the NHS raise concerns about competence and patient safety, reflected in higher rates of certain complaints and sanctions among migrant dentists.</w:t>
            </w:r>
          </w:p>
          <w:p w:rsidR="3F7EE571" w:rsidP="3F7EE571" w:rsidRDefault="3F7EE571" w14:paraId="6D4B7DFF" w14:textId="76FF36B8"/>
          <w:p w:rsidRPr="00956C3D" w:rsidR="008F36B2" w:rsidP="308BD15F" w:rsidRDefault="008F36B2" w14:paraId="77866979" w14:textId="347E12B7">
            <w:pPr>
              <w:rPr>
                <w:rFonts w:ascii="Calibri" w:hAnsi="Calibri" w:eastAsia="Calibri" w:cs="Calibri"/>
                <w:sz w:val="20"/>
                <w:szCs w:val="20"/>
                <w:lang w:val="en-US"/>
              </w:rPr>
            </w:pPr>
          </w:p>
        </w:tc>
      </w:tr>
      <w:tr w:rsidRPr="00C7750C" w:rsidR="008F36B2" w:rsidTr="6119DFDC" w14:paraId="6AF5ED0A" w14:textId="77777777">
        <w:trPr>
          <w:trHeight w:val="300"/>
        </w:trPr>
        <w:tc>
          <w:tcPr>
            <w:tcW w:w="1275" w:type="dxa"/>
            <w:tcMar/>
          </w:tcPr>
          <w:p w:rsidRPr="00956C3D" w:rsidR="008F36B2" w:rsidP="02875AFB" w:rsidRDefault="000C5BF7" w14:paraId="23E190E4" w14:textId="6B7295B3">
            <w:pPr>
              <w:rPr>
                <w:sz w:val="20"/>
                <w:szCs w:val="20"/>
              </w:rPr>
            </w:pPr>
            <w:r w:rsidRPr="104EFBE6" w:rsidR="14628CD8">
              <w:rPr>
                <w:rFonts w:cs="Calibri" w:cstheme="minorAscii"/>
                <w:color w:val="000000" w:themeColor="text1"/>
                <w:sz w:val="20"/>
                <w:szCs w:val="20"/>
                <w:shd w:val="clear" w:color="auto" w:fill="FFFFFF"/>
              </w:rPr>
              <w:t>Domagała</w:t>
            </w:r>
            <w:r w:rsidR="14628CD8">
              <w:rPr>
                <w:rStyle w:val="author-sup-separator"/>
                <w:rFonts w:ascii="Segoe UI" w:hAnsi="Segoe UI" w:cs="Segoe UI"/>
                <w:color w:val="5B616B"/>
                <w:sz w:val="18"/>
                <w:szCs w:val="18"/>
                <w:shd w:val="clear" w:color="auto" w:fill="FFFFFF"/>
                <w:vertAlign w:val="superscript"/>
              </w:rPr>
              <w:t> </w:t>
            </w:r>
            <w:r w:rsidRPr="49FE81C8" w:rsidR="0F7F6427">
              <w:rPr>
                <w:sz w:val="20"/>
                <w:szCs w:val="20"/>
              </w:rPr>
              <w:t xml:space="preserve">et al. (2022, Poland)</w:t>
            </w:r>
          </w:p>
        </w:tc>
        <w:tc>
          <w:tcPr>
            <w:tcW w:w="3360" w:type="dxa"/>
            <w:tcMar/>
          </w:tcPr>
          <w:p w:rsidRPr="00956C3D" w:rsidR="008F36B2" w:rsidP="02875AFB" w:rsidRDefault="008F36B2" w14:paraId="428870E7" w14:textId="7847EE73">
            <w:pPr>
              <w:rPr>
                <w:sz w:val="20"/>
                <w:szCs w:val="20"/>
                <w:lang w:val="en-US"/>
              </w:rPr>
            </w:pPr>
            <w:r w:rsidRPr="49FE81C8">
              <w:rPr>
                <w:sz w:val="20"/>
                <w:szCs w:val="20"/>
              </w:rPr>
              <w:t>To explore the reasons and circumstances of the emigration of Polish health professionals with a qualitative approach.</w:t>
            </w:r>
          </w:p>
        </w:tc>
        <w:tc>
          <w:tcPr>
            <w:tcW w:w="1350" w:type="dxa"/>
            <w:tcMar/>
          </w:tcPr>
          <w:p w:rsidRPr="00956C3D" w:rsidR="008F36B2" w:rsidP="02875AFB" w:rsidRDefault="3CD81518" w14:paraId="5E5C679E" w14:textId="09628180">
            <w:pPr>
              <w:rPr>
                <w:sz w:val="20"/>
                <w:szCs w:val="20"/>
                <w:lang w:val="en-US"/>
              </w:rPr>
            </w:pPr>
            <w:r w:rsidRPr="3F7EE571">
              <w:rPr>
                <w:sz w:val="20"/>
                <w:szCs w:val="20"/>
              </w:rPr>
              <w:t>Qualitativ</w:t>
            </w:r>
            <w:r w:rsidRPr="3F7EE571" w:rsidR="3A6F6ADF">
              <w:rPr>
                <w:sz w:val="20"/>
                <w:szCs w:val="20"/>
              </w:rPr>
              <w:t>e</w:t>
            </w:r>
          </w:p>
        </w:tc>
        <w:tc>
          <w:tcPr>
            <w:tcW w:w="3720" w:type="dxa"/>
            <w:tcMar/>
          </w:tcPr>
          <w:p w:rsidRPr="00956C3D" w:rsidR="008F36B2" w:rsidP="02875AFB" w:rsidRDefault="008F36B2" w14:paraId="2C62DAB4" w14:textId="02E115B7">
            <w:pPr>
              <w:rPr>
                <w:sz w:val="20"/>
                <w:szCs w:val="20"/>
              </w:rPr>
            </w:pPr>
            <w:r w:rsidRPr="49FE81C8">
              <w:rPr>
                <w:sz w:val="20"/>
                <w:szCs w:val="20"/>
              </w:rPr>
              <w:t xml:space="preserve">Semi-structured interviews with 15 practicing health professionals, of which 2 were dentists. February to March 2022. </w:t>
            </w:r>
          </w:p>
        </w:tc>
        <w:tc>
          <w:tcPr>
            <w:tcW w:w="4365" w:type="dxa"/>
            <w:tcMar/>
          </w:tcPr>
          <w:p w:rsidR="53E43DA2" w:rsidRDefault="53E43DA2" w14:paraId="2B3170D2" w14:textId="674A60B3">
            <w:r w:rsidRPr="3F7EE571">
              <w:rPr>
                <w:rFonts w:ascii="Calibri" w:hAnsi="Calibri" w:eastAsia="Calibri" w:cs="Calibri"/>
                <w:color w:val="000000" w:themeColor="text1"/>
                <w:sz w:val="20"/>
                <w:szCs w:val="20"/>
              </w:rPr>
              <w:t>Health professionals, including dentists, migrate mainly due to heavy workloads, limited professional development opportunities, and inadequate support systems, with “brain drain” driven by the search for better working conditions, remuneration, and access to advanced technology. Improved opportunities for career development, mentoring, and access to modern resources in destination countries are key factors attracting especially younger professionals.</w:t>
            </w:r>
          </w:p>
          <w:p w:rsidR="3F7EE571" w:rsidP="3F7EE571" w:rsidRDefault="3F7EE571" w14:paraId="6F57D3F5" w14:textId="7C0587DF"/>
          <w:p w:rsidRPr="00260060" w:rsidR="008F36B2" w:rsidP="02875AFB" w:rsidRDefault="008F36B2" w14:paraId="11DAA281" w14:textId="77777777">
            <w:pPr>
              <w:rPr>
                <w:rFonts w:eastAsia="Calibri"/>
                <w:sz w:val="20"/>
                <w:szCs w:val="20"/>
                <w:lang w:val="en-US"/>
              </w:rPr>
            </w:pPr>
          </w:p>
          <w:p w:rsidRPr="00956C3D" w:rsidR="008F36B2" w:rsidP="02875AFB" w:rsidRDefault="008F36B2" w14:paraId="7134926E" w14:textId="73DA1435">
            <w:pPr>
              <w:rPr>
                <w:rFonts w:ascii="Calibri" w:hAnsi="Calibri" w:eastAsia="Calibri" w:cs="Calibri"/>
                <w:color w:val="000000" w:themeColor="text1"/>
                <w:sz w:val="20"/>
                <w:szCs w:val="20"/>
                <w:lang w:val="en-US"/>
              </w:rPr>
            </w:pPr>
          </w:p>
          <w:p w:rsidRPr="00956C3D" w:rsidR="008F36B2" w:rsidP="02875AFB" w:rsidRDefault="008F36B2" w14:paraId="54EAB504" w14:textId="3C36CFA2">
            <w:pPr>
              <w:rPr>
                <w:rFonts w:ascii="Calibri" w:hAnsi="Calibri" w:eastAsia="Calibri" w:cs="Calibri"/>
                <w:sz w:val="20"/>
                <w:szCs w:val="20"/>
                <w:lang w:val="en-US"/>
              </w:rPr>
            </w:pPr>
          </w:p>
        </w:tc>
      </w:tr>
      <w:tr w:rsidRPr="00C7750C" w:rsidR="008F36B2" w:rsidTr="6119DFDC" w14:paraId="470E4D5D" w14:textId="77777777">
        <w:trPr>
          <w:trHeight w:val="300"/>
        </w:trPr>
        <w:tc>
          <w:tcPr>
            <w:tcW w:w="1275" w:type="dxa"/>
            <w:tcMar/>
          </w:tcPr>
          <w:p w:rsidRPr="00956C3D" w:rsidR="008F36B2" w:rsidP="02875AFB" w:rsidRDefault="008F36B2" w14:paraId="139A2D46" w14:textId="3B083C10">
            <w:pPr>
              <w:rPr>
                <w:sz w:val="20"/>
                <w:szCs w:val="20"/>
              </w:rPr>
            </w:pPr>
            <w:r w:rsidRPr="49FE81C8">
              <w:rPr>
                <w:sz w:val="20"/>
                <w:szCs w:val="20"/>
              </w:rPr>
              <w:t>Koff (2021, EU)</w:t>
            </w:r>
          </w:p>
        </w:tc>
        <w:tc>
          <w:tcPr>
            <w:tcW w:w="3360" w:type="dxa"/>
            <w:tcMar/>
          </w:tcPr>
          <w:p w:rsidRPr="00956C3D" w:rsidR="008F36B2" w:rsidP="005E2FAA" w:rsidRDefault="008F36B2" w14:paraId="0173870A" w14:textId="2A228CB8">
            <w:pPr>
              <w:rPr>
                <w:sz w:val="20"/>
                <w:szCs w:val="20"/>
                <w:lang w:val="en-US"/>
              </w:rPr>
            </w:pPr>
            <w:r>
              <w:rPr>
                <w:sz w:val="20"/>
                <w:szCs w:val="20"/>
              </w:rPr>
              <w:t>A study of the dental team in the framework of the European Union.</w:t>
            </w:r>
            <w:r w:rsidRPr="49FE81C8">
              <w:rPr>
                <w:sz w:val="20"/>
                <w:szCs w:val="20"/>
              </w:rPr>
              <w:t xml:space="preserve"> </w:t>
            </w:r>
          </w:p>
        </w:tc>
        <w:tc>
          <w:tcPr>
            <w:tcW w:w="1350" w:type="dxa"/>
            <w:tcMar/>
          </w:tcPr>
          <w:p w:rsidRPr="00AF4CAA" w:rsidR="008F36B2" w:rsidP="046E7D7E" w:rsidRDefault="3CD81518" w14:paraId="444170BA" w14:textId="13AA5D94">
            <w:pPr>
              <w:rPr>
                <w:sz w:val="20"/>
                <w:szCs w:val="20"/>
                <w:lang w:val="en-US"/>
              </w:rPr>
            </w:pPr>
            <w:r w:rsidRPr="3F7EE571">
              <w:rPr>
                <w:sz w:val="20"/>
                <w:szCs w:val="20"/>
              </w:rPr>
              <w:t>Narrative literature review</w:t>
            </w:r>
          </w:p>
        </w:tc>
        <w:tc>
          <w:tcPr>
            <w:tcW w:w="3720" w:type="dxa"/>
            <w:tcMar/>
          </w:tcPr>
          <w:p w:rsidRPr="00956C3D" w:rsidR="008F36B2" w:rsidP="6E278FF5" w:rsidRDefault="008F36B2" w14:paraId="31D5E37C" w14:textId="6AD2062E">
            <w:pPr>
              <w:rPr>
                <w:sz w:val="20"/>
                <w:szCs w:val="20"/>
                <w:lang w:val="en-US"/>
              </w:rPr>
            </w:pPr>
            <w:r w:rsidRPr="046E7D7E">
              <w:rPr>
                <w:sz w:val="20"/>
                <w:szCs w:val="20"/>
              </w:rPr>
              <w:t>Conceptual analysis on secondary sources.</w:t>
            </w:r>
          </w:p>
        </w:tc>
        <w:tc>
          <w:tcPr>
            <w:tcW w:w="4365" w:type="dxa"/>
            <w:tcMar/>
          </w:tcPr>
          <w:p w:rsidRPr="00956C3D" w:rsidR="008F36B2" w:rsidP="046E7D7E" w:rsidRDefault="01F7461D" w14:paraId="2E5377B4" w14:textId="69B59746">
            <w:r w:rsidRPr="3F7EE571">
              <w:rPr>
                <w:rFonts w:ascii="Calibri" w:hAnsi="Calibri" w:eastAsia="Calibri" w:cs="Calibri"/>
                <w:color w:val="000000" w:themeColor="text1"/>
                <w:sz w:val="20"/>
                <w:szCs w:val="20"/>
              </w:rPr>
              <w:t xml:space="preserve">Regulatory frameworks for dental care professionals across the EU are highly diverse, with differences in recognition systems, licensing structures, and regulatory bodies influencing labour markets and professional mobility. Professional regulation, grounded in protecting patient safety, increasingly emphasizes continuous competence, making CPD an ethical and practical requirement for maintaining high standards of care. However, significant variation in CPD quality, requirements, and enforcement across Member States creates challenges for harmonization, which is necessary to support both patient safety and workforce mobility. While stronger regulation aims </w:t>
            </w:r>
            <w:r w:rsidRPr="3F7EE571">
              <w:rPr>
                <w:rFonts w:ascii="Calibri" w:hAnsi="Calibri" w:eastAsia="Calibri" w:cs="Calibri"/>
                <w:color w:val="000000" w:themeColor="text1"/>
                <w:sz w:val="20"/>
                <w:szCs w:val="20"/>
              </w:rPr>
              <w:lastRenderedPageBreak/>
              <w:t>to ensure quality and accountability, evidence suggests it may also increase costs without necessarily improving outcomes, highlighting the need for balanced, coordinated policy approaches.</w:t>
            </w:r>
          </w:p>
          <w:p w:rsidRPr="00956C3D" w:rsidR="008F36B2" w:rsidP="3F7EE571" w:rsidRDefault="008F36B2" w14:paraId="7780EC3C" w14:textId="4428C917"/>
        </w:tc>
      </w:tr>
      <w:tr w:rsidRPr="00C7750C" w:rsidR="008F36B2" w:rsidTr="6119DFDC" w14:paraId="75896240" w14:textId="77777777">
        <w:trPr>
          <w:trHeight w:val="300"/>
        </w:trPr>
        <w:tc>
          <w:tcPr>
            <w:tcW w:w="1275" w:type="dxa"/>
            <w:tcMar/>
          </w:tcPr>
          <w:p w:rsidRPr="00BF6548" w:rsidR="008F36B2" w:rsidP="5346BA88" w:rsidRDefault="008F36B2" w14:paraId="317C63F6" w14:textId="65D1294B">
            <w:pPr>
              <w:rPr>
                <w:sz w:val="20"/>
                <w:szCs w:val="20"/>
                <w:lang w:val="en-US"/>
              </w:rPr>
            </w:pPr>
            <w:r w:rsidRPr="49FE81C8">
              <w:rPr>
                <w:sz w:val="20"/>
                <w:szCs w:val="20"/>
              </w:rPr>
              <w:lastRenderedPageBreak/>
              <w:t>Davda et al. (2020, United Kingdom)</w:t>
            </w:r>
          </w:p>
        </w:tc>
        <w:tc>
          <w:tcPr>
            <w:tcW w:w="3360" w:type="dxa"/>
            <w:tcMar/>
          </w:tcPr>
          <w:p w:rsidRPr="00956C3D" w:rsidR="008F36B2" w:rsidP="308BD15F" w:rsidRDefault="008F36B2" w14:paraId="6C5B9CA6" w14:textId="2A3B7524">
            <w:pPr>
              <w:rPr>
                <w:sz w:val="20"/>
                <w:szCs w:val="20"/>
                <w:lang w:val="en-US"/>
              </w:rPr>
            </w:pPr>
            <w:r w:rsidRPr="49FE81C8">
              <w:rPr>
                <w:sz w:val="20"/>
                <w:szCs w:val="20"/>
              </w:rPr>
              <w:t>To examine trends in the profile of UK registered dentists in the context of key events and analyse the policy changes from 2000 to 2019/2020.</w:t>
            </w:r>
          </w:p>
        </w:tc>
        <w:tc>
          <w:tcPr>
            <w:tcW w:w="1350" w:type="dxa"/>
            <w:tcMar/>
          </w:tcPr>
          <w:p w:rsidRPr="00956C3D" w:rsidR="008F36B2" w:rsidP="308BD15F" w:rsidRDefault="3CD81518" w14:paraId="083D3070" w14:textId="4A2A5FCD">
            <w:pPr>
              <w:rPr>
                <w:sz w:val="20"/>
                <w:szCs w:val="20"/>
                <w:lang w:val="en-US"/>
              </w:rPr>
            </w:pPr>
            <w:r w:rsidRPr="3F7EE571">
              <w:rPr>
                <w:sz w:val="20"/>
                <w:szCs w:val="20"/>
              </w:rPr>
              <w:t>Quantitative</w:t>
            </w:r>
          </w:p>
        </w:tc>
        <w:tc>
          <w:tcPr>
            <w:tcW w:w="3720" w:type="dxa"/>
            <w:tcMar/>
          </w:tcPr>
          <w:p w:rsidR="008F36B2" w:rsidP="00A92739" w:rsidRDefault="008F36B2" w14:paraId="053B1D6B" w14:textId="77777777">
            <w:pPr>
              <w:rPr>
                <w:sz w:val="20"/>
                <w:szCs w:val="20"/>
                <w:lang w:val="en-US"/>
              </w:rPr>
            </w:pPr>
            <w:r w:rsidRPr="49FE81C8">
              <w:rPr>
                <w:sz w:val="20"/>
                <w:szCs w:val="20"/>
              </w:rPr>
              <w:t xml:space="preserve">General Dental Council Annual reports (2000-2017), and through ‘Freedom of Information’ requests to gain missing data and the latest figures (2000-2019). </w:t>
            </w:r>
          </w:p>
          <w:p w:rsidR="008F36B2" w:rsidP="00A92739" w:rsidRDefault="008F36B2" w14:paraId="1B7616CF" w14:textId="77777777">
            <w:pPr>
              <w:rPr>
                <w:sz w:val="20"/>
                <w:szCs w:val="20"/>
                <w:lang w:val="en-US"/>
              </w:rPr>
            </w:pPr>
          </w:p>
          <w:p w:rsidRPr="00956C3D" w:rsidR="008F36B2" w:rsidP="00A92739" w:rsidRDefault="008F36B2" w14:paraId="2FFC0699" w14:textId="47E4469F">
            <w:pPr>
              <w:rPr>
                <w:sz w:val="20"/>
                <w:szCs w:val="20"/>
                <w:lang w:val="en-US"/>
              </w:rPr>
            </w:pPr>
            <w:r w:rsidRPr="49FE81C8">
              <w:rPr>
                <w:sz w:val="20"/>
                <w:szCs w:val="20"/>
              </w:rPr>
              <w:t xml:space="preserve">Websites and archives of the UK Department of Health, the Home Office, the British Dental Association, the European Union and the Organisation for Economic and Commercial Development. </w:t>
            </w:r>
          </w:p>
        </w:tc>
        <w:tc>
          <w:tcPr>
            <w:tcW w:w="4365" w:type="dxa"/>
            <w:tcMar/>
          </w:tcPr>
          <w:p w:rsidRPr="00956C3D" w:rsidR="008F36B2" w:rsidP="308BD15F" w:rsidRDefault="278C602F" w14:paraId="3071D90E" w14:textId="7978B73C">
            <w:r w:rsidRPr="3F7EE571">
              <w:rPr>
                <w:rFonts w:ascii="Calibri" w:hAnsi="Calibri" w:eastAsia="Calibri" w:cs="Calibri"/>
                <w:color w:val="000000" w:themeColor="text1"/>
                <w:sz w:val="20"/>
                <w:szCs w:val="20"/>
              </w:rPr>
              <w:t>Dental workforce migration to the UK is primarily driven by health and immigration policies, as well as wider events such as EU expansion, economic changes, and Brexit, with trends also influenced by recruitment strategies and regulatory measures like language requirements. While migration has increased—including among female dentists—it raises concerns about workforce loss in source countries, challenges in professional integration, and the need to ensure patient safety through effective regulation and support.</w:t>
            </w:r>
          </w:p>
          <w:p w:rsidRPr="00956C3D" w:rsidR="008F36B2" w:rsidP="3F7EE571" w:rsidRDefault="008F36B2" w14:paraId="7BD38F1A" w14:textId="115ACEAC"/>
        </w:tc>
      </w:tr>
      <w:tr w:rsidRPr="00C7750C" w:rsidR="008F36B2" w:rsidTr="6119DFDC" w14:paraId="06790929" w14:textId="77777777">
        <w:trPr>
          <w:trHeight w:val="300"/>
        </w:trPr>
        <w:tc>
          <w:tcPr>
            <w:tcW w:w="1275" w:type="dxa"/>
            <w:tcMar/>
          </w:tcPr>
          <w:p w:rsidRPr="00F86969" w:rsidR="008F36B2" w:rsidP="5346BA88" w:rsidRDefault="008F36B2" w14:paraId="6133984E" w14:textId="5B561729">
            <w:pPr>
              <w:rPr>
                <w:sz w:val="20"/>
                <w:szCs w:val="20"/>
                <w:lang w:val="en-US"/>
              </w:rPr>
            </w:pPr>
            <w:r w:rsidRPr="49FE81C8">
              <w:rPr>
                <w:sz w:val="20"/>
                <w:szCs w:val="20"/>
              </w:rPr>
              <w:t>Cameron (2019, United Kingdom)</w:t>
            </w:r>
          </w:p>
        </w:tc>
        <w:tc>
          <w:tcPr>
            <w:tcW w:w="3360" w:type="dxa"/>
            <w:tcMar/>
          </w:tcPr>
          <w:p w:rsidR="008F36B2" w:rsidP="0055605F" w:rsidRDefault="008F36B2" w14:paraId="6BF2A40A" w14:textId="77777777">
            <w:pPr>
              <w:rPr>
                <w:sz w:val="20"/>
                <w:szCs w:val="20"/>
                <w:lang w:val="en-US"/>
              </w:rPr>
            </w:pPr>
            <w:r w:rsidRPr="49FE81C8">
              <w:rPr>
                <w:sz w:val="20"/>
                <w:szCs w:val="20"/>
              </w:rPr>
              <w:t xml:space="preserve">To provide valid and statistically reliable quantitative data and qualitative evidence of European qualified GDC registrants’ views and future intentions to help inform future GDC policy and strategy. </w:t>
            </w:r>
          </w:p>
          <w:p w:rsidR="008F36B2" w:rsidP="0055605F" w:rsidRDefault="008F36B2" w14:paraId="24265653" w14:textId="77777777">
            <w:pPr>
              <w:rPr>
                <w:sz w:val="20"/>
                <w:szCs w:val="20"/>
                <w:lang w:val="en-US"/>
              </w:rPr>
            </w:pPr>
            <w:r w:rsidRPr="49FE81C8">
              <w:rPr>
                <w:sz w:val="20"/>
                <w:szCs w:val="20"/>
              </w:rPr>
              <w:t xml:space="preserve">Future intentions in regards to the UK leaving the EU. </w:t>
            </w:r>
          </w:p>
          <w:p w:rsidR="008F36B2" w:rsidP="0055605F" w:rsidRDefault="008F36B2" w14:paraId="645FACFB" w14:textId="77777777">
            <w:pPr>
              <w:rPr>
                <w:sz w:val="20"/>
                <w:szCs w:val="20"/>
                <w:lang w:val="en-US"/>
              </w:rPr>
            </w:pPr>
            <w:r w:rsidRPr="49FE81C8">
              <w:rPr>
                <w:sz w:val="20"/>
                <w:szCs w:val="20"/>
              </w:rPr>
              <w:t xml:space="preserve">Insight into the impact of Brexit on workplace, dentistry and healthcare in general. Explore other key themes or issues emerging from results. </w:t>
            </w:r>
          </w:p>
          <w:p w:rsidR="008F36B2" w:rsidP="0055605F" w:rsidRDefault="008F36B2" w14:paraId="42689959" w14:textId="77777777">
            <w:pPr>
              <w:rPr>
                <w:sz w:val="20"/>
                <w:szCs w:val="20"/>
                <w:lang w:val="en-US"/>
              </w:rPr>
            </w:pPr>
          </w:p>
          <w:p w:rsidRPr="0055605F" w:rsidR="008F36B2" w:rsidP="0055605F" w:rsidRDefault="008F36B2" w14:paraId="1366D73C" w14:textId="735C9AD0">
            <w:pPr>
              <w:rPr>
                <w:sz w:val="20"/>
                <w:szCs w:val="20"/>
                <w:lang w:val="en-US"/>
              </w:rPr>
            </w:pPr>
            <w:r w:rsidRPr="49FE81C8">
              <w:rPr>
                <w:sz w:val="20"/>
                <w:szCs w:val="20"/>
              </w:rPr>
              <w:t>Understand the impact of the UK leaving the EU on dentistry (summary).</w:t>
            </w:r>
          </w:p>
        </w:tc>
        <w:tc>
          <w:tcPr>
            <w:tcW w:w="1350" w:type="dxa"/>
            <w:tcMar/>
          </w:tcPr>
          <w:p w:rsidRPr="563C982E" w:rsidR="008F36B2" w:rsidP="5346BA88" w:rsidRDefault="3CD81518" w14:paraId="6B5BC5AD" w14:textId="54BCC7C8">
            <w:pPr>
              <w:rPr>
                <w:sz w:val="20"/>
                <w:szCs w:val="20"/>
                <w:lang w:val="en-US"/>
              </w:rPr>
            </w:pPr>
            <w:r w:rsidRPr="3F7EE571">
              <w:rPr>
                <w:sz w:val="20"/>
                <w:szCs w:val="20"/>
              </w:rPr>
              <w:t>Mixed-methods</w:t>
            </w:r>
          </w:p>
        </w:tc>
        <w:tc>
          <w:tcPr>
            <w:tcW w:w="3720" w:type="dxa"/>
            <w:tcMar/>
          </w:tcPr>
          <w:p w:rsidRPr="00956C3D" w:rsidR="008F36B2" w:rsidP="00D82AF0" w:rsidRDefault="008F36B2" w14:paraId="3ABB767C" w14:textId="208D67F1">
            <w:pPr>
              <w:rPr>
                <w:sz w:val="20"/>
                <w:szCs w:val="20"/>
                <w:lang w:val="en-US"/>
              </w:rPr>
            </w:pPr>
            <w:r w:rsidRPr="49FE81C8">
              <w:rPr>
                <w:sz w:val="20"/>
                <w:szCs w:val="20"/>
              </w:rPr>
              <w:t>Online survey and in-depth telephone interviews (June-July 2018); European qualified dental professionals on the GDC register.</w:t>
            </w:r>
          </w:p>
        </w:tc>
        <w:tc>
          <w:tcPr>
            <w:tcW w:w="4365" w:type="dxa"/>
            <w:tcMar/>
          </w:tcPr>
          <w:p w:rsidRPr="00956C3D" w:rsidR="008F36B2" w:rsidP="308BD15F" w:rsidRDefault="5BDC3542" w14:paraId="17D8A26A" w14:textId="628D6970">
            <w:r w:rsidRPr="3F7EE571">
              <w:rPr>
                <w:rFonts w:ascii="Calibri" w:hAnsi="Calibri" w:eastAsia="Calibri" w:cs="Calibri"/>
                <w:color w:val="000000" w:themeColor="text1"/>
                <w:sz w:val="20"/>
                <w:szCs w:val="20"/>
              </w:rPr>
              <w:t>A substantial proportion of dentists in the UK are considering leaving within the next five years, largely driven by Brexit-related uncertainty, which is widely perceived to negatively impact the profession and contribute to workforce shortages. While most migrated to the UK primarily for work or personal reasons, recognition of qualifications and policy stability are key factors influencing retention.</w:t>
            </w:r>
          </w:p>
          <w:p w:rsidRPr="00956C3D" w:rsidR="008F36B2" w:rsidP="3F7EE571" w:rsidRDefault="008F36B2" w14:paraId="44BD379B" w14:textId="568BE6A7"/>
        </w:tc>
      </w:tr>
      <w:tr w:rsidRPr="00C7750C" w:rsidR="008F36B2" w:rsidTr="6119DFDC" w14:paraId="7B151B88" w14:textId="77777777">
        <w:trPr>
          <w:trHeight w:val="300"/>
        </w:trPr>
        <w:tc>
          <w:tcPr>
            <w:tcW w:w="1275" w:type="dxa"/>
            <w:tcMar/>
          </w:tcPr>
          <w:p w:rsidRPr="00956C3D" w:rsidR="008F36B2" w:rsidP="02875AFB" w:rsidRDefault="008F36B2" w14:paraId="219BBEC8" w14:textId="65AB1669">
            <w:pPr>
              <w:rPr>
                <w:sz w:val="20"/>
                <w:szCs w:val="20"/>
                <w:lang w:val="en-US"/>
              </w:rPr>
            </w:pPr>
            <w:r w:rsidRPr="49FE81C8">
              <w:rPr>
                <w:sz w:val="20"/>
                <w:szCs w:val="20"/>
              </w:rPr>
              <w:t>Glinos (2015, EU)</w:t>
            </w:r>
          </w:p>
        </w:tc>
        <w:tc>
          <w:tcPr>
            <w:tcW w:w="3360" w:type="dxa"/>
            <w:tcMar/>
          </w:tcPr>
          <w:p w:rsidRPr="00956C3D" w:rsidR="008F36B2" w:rsidP="5016AC76" w:rsidRDefault="008F36B2" w14:paraId="5E1B19B4" w14:textId="4DF0F9B7">
            <w:pPr>
              <w:rPr>
                <w:sz w:val="20"/>
                <w:szCs w:val="20"/>
                <w:lang w:val="en-US"/>
              </w:rPr>
            </w:pPr>
            <w:r w:rsidRPr="49FE81C8">
              <w:rPr>
                <w:sz w:val="20"/>
                <w:szCs w:val="20"/>
              </w:rPr>
              <w:t xml:space="preserve">To explore whether mobility contributes to “equitably strengthen health systems” in the EU.  of health </w:t>
            </w:r>
            <w:r w:rsidRPr="49FE81C8">
              <w:rPr>
                <w:sz w:val="20"/>
                <w:szCs w:val="20"/>
              </w:rPr>
              <w:lastRenderedPageBreak/>
              <w:t xml:space="preserve">professionals contributes to “equitably strengthen health systems” in the EU. </w:t>
            </w:r>
          </w:p>
          <w:p w:rsidRPr="00956C3D" w:rsidR="008F36B2" w:rsidP="5016AC76" w:rsidRDefault="008F36B2" w14:paraId="3FE0A7B3" w14:textId="1038B9F1">
            <w:pPr>
              <w:rPr>
                <w:sz w:val="20"/>
                <w:szCs w:val="20"/>
                <w:lang w:val="en-US"/>
              </w:rPr>
            </w:pPr>
          </w:p>
          <w:p w:rsidRPr="00956C3D" w:rsidR="008F36B2" w:rsidP="02875AFB" w:rsidRDefault="008F36B2" w14:paraId="547875B9" w14:textId="5BF79958">
            <w:pPr>
              <w:rPr>
                <w:sz w:val="20"/>
                <w:szCs w:val="20"/>
                <w:lang w:val="en-US"/>
              </w:rPr>
            </w:pPr>
            <w:r w:rsidRPr="49FE81C8">
              <w:rPr>
                <w:sz w:val="20"/>
                <w:szCs w:val="20"/>
              </w:rPr>
              <w:t>The article proposes an analytical tool structured as a matrix, which looks at the effects of health professional mobility in terms of efficiency and equity implications at three levels: for the EU, for destination countries and for source countries. In doing so, the framework seeks to capture the changing, contrasting, overlapping effects of health professional mobility, and to contribute to the debate on the relevance of the principles put forward by the WHO Code.</w:t>
            </w:r>
          </w:p>
        </w:tc>
        <w:tc>
          <w:tcPr>
            <w:tcW w:w="1350" w:type="dxa"/>
            <w:tcMar/>
          </w:tcPr>
          <w:p w:rsidRPr="00631705" w:rsidR="008F36B2" w:rsidP="287CBB0C" w:rsidRDefault="3CD81518" w14:paraId="2C492009" w14:textId="795F7F14">
            <w:pPr>
              <w:rPr>
                <w:sz w:val="20"/>
                <w:szCs w:val="20"/>
                <w:lang w:val="en-US"/>
              </w:rPr>
            </w:pPr>
            <w:r w:rsidRPr="3F7EE571">
              <w:rPr>
                <w:sz w:val="20"/>
                <w:szCs w:val="20"/>
              </w:rPr>
              <w:lastRenderedPageBreak/>
              <w:t>Mixed-methods</w:t>
            </w:r>
          </w:p>
        </w:tc>
        <w:tc>
          <w:tcPr>
            <w:tcW w:w="3720" w:type="dxa"/>
            <w:tcMar/>
          </w:tcPr>
          <w:p w:rsidRPr="00956C3D" w:rsidR="008F36B2" w:rsidP="02875AFB" w:rsidRDefault="008F36B2" w14:paraId="0C5ECD58" w14:textId="2BFB07C2">
            <w:pPr>
              <w:rPr>
                <w:sz w:val="20"/>
                <w:szCs w:val="20"/>
                <w:lang w:val="en-US"/>
              </w:rPr>
            </w:pPr>
            <w:r w:rsidRPr="49FE81C8">
              <w:rPr>
                <w:sz w:val="20"/>
                <w:szCs w:val="20"/>
              </w:rPr>
              <w:t xml:space="preserve">Qualitative data on the impact of mobility in 17 countries (Austria, Belgium, Estonia, Finland, France, Germany, Hungary, Italy, </w:t>
            </w:r>
            <w:r w:rsidRPr="49FE81C8">
              <w:rPr>
                <w:sz w:val="20"/>
                <w:szCs w:val="20"/>
              </w:rPr>
              <w:lastRenderedPageBreak/>
              <w:t>Lithuania, Poland, Romania, Serbia, Slovak Republic, Slovenia, Spain, Turkey and the United Kingdom) were collected in 2009–2010; a forthcoming policy brief; reviews of the impact of the economic crisis and of EU enlargements on health professional mobility carried out in 2012–2013; OECD data on recent trends in international migration of doctors and nurses; and work done by Thomson and colleagues on the impact of the economic crisis on health systems. To complement and update the material, evidence on the impact of health professional mobility in the EU was reviewed in 2014–2015.</w:t>
            </w:r>
          </w:p>
        </w:tc>
        <w:tc>
          <w:tcPr>
            <w:tcW w:w="4365" w:type="dxa"/>
            <w:tcMar/>
          </w:tcPr>
          <w:p w:rsidR="16599AB3" w:rsidRDefault="16599AB3" w14:paraId="0F4E9115" w14:textId="3E4D1EDC">
            <w:r w:rsidRPr="3F7EE571">
              <w:rPr>
                <w:rFonts w:ascii="Calibri" w:hAnsi="Calibri" w:eastAsia="Calibri" w:cs="Calibri"/>
                <w:color w:val="000000" w:themeColor="text1"/>
                <w:sz w:val="20"/>
                <w:szCs w:val="20"/>
              </w:rPr>
              <w:lastRenderedPageBreak/>
              <w:t xml:space="preserve">Health workforce mobility within the EU has complex and overlapping effects, with more evidence pointing to its drawbacks, including the </w:t>
            </w:r>
            <w:r w:rsidRPr="3F7EE571">
              <w:rPr>
                <w:rFonts w:ascii="Calibri" w:hAnsi="Calibri" w:eastAsia="Calibri" w:cs="Calibri"/>
                <w:color w:val="000000" w:themeColor="text1"/>
                <w:sz w:val="20"/>
                <w:szCs w:val="20"/>
              </w:rPr>
              <w:lastRenderedPageBreak/>
              <w:t>risk of increasing inequalities as resources shift from less advantaged to wealthier Member States. While mobility can enhance cultural diversity and skill development, inadequate support structures may lead to de-skilling and repeated migration, contributing to a “brain gain, waste, and drain” cycle.</w:t>
            </w:r>
          </w:p>
          <w:p w:rsidR="3F7EE571" w:rsidP="3F7EE571" w:rsidRDefault="3F7EE571" w14:paraId="0093E2C3" w14:textId="0214E1E6"/>
          <w:p w:rsidR="008F36B2" w:rsidP="02875AFB" w:rsidRDefault="008F36B2" w14:paraId="3ADE599F" w14:textId="77777777">
            <w:pPr>
              <w:rPr>
                <w:rFonts w:ascii="Calibri" w:hAnsi="Calibri" w:cs="Calibri"/>
                <w:sz w:val="20"/>
                <w:szCs w:val="20"/>
                <w:lang w:val="en-US"/>
              </w:rPr>
            </w:pPr>
          </w:p>
          <w:p w:rsidRPr="00C82CF3" w:rsidR="008F36B2" w:rsidP="02875AFB" w:rsidRDefault="008F36B2" w14:paraId="2BF854CE" w14:textId="15F8F930">
            <w:pPr>
              <w:rPr>
                <w:rFonts w:ascii="Calibri" w:hAnsi="Calibri" w:cs="Calibri"/>
                <w:sz w:val="20"/>
                <w:szCs w:val="20"/>
                <w:lang w:val="en-US"/>
              </w:rPr>
            </w:pPr>
          </w:p>
        </w:tc>
      </w:tr>
      <w:tr w:rsidRPr="00C7750C" w:rsidR="008F36B2" w:rsidTr="6119DFDC" w14:paraId="7EEC6F59" w14:textId="77777777">
        <w:trPr>
          <w:trHeight w:val="300"/>
        </w:trPr>
        <w:tc>
          <w:tcPr>
            <w:tcW w:w="1275" w:type="dxa"/>
            <w:tcMar/>
          </w:tcPr>
          <w:p w:rsidRPr="00956C3D" w:rsidR="008F36B2" w:rsidP="5346BA88" w:rsidRDefault="008F36B2" w14:paraId="22A1ADA0" w14:textId="73F626A1">
            <w:pPr>
              <w:rPr>
                <w:sz w:val="20"/>
                <w:szCs w:val="20"/>
                <w:lang w:val="en-US"/>
              </w:rPr>
            </w:pPr>
            <w:r w:rsidRPr="49FE81C8">
              <w:rPr>
                <w:sz w:val="20"/>
                <w:szCs w:val="20"/>
              </w:rPr>
              <w:lastRenderedPageBreak/>
              <w:t xml:space="preserve">Gallagher et al. (2015, </w:t>
            </w:r>
            <w:r w:rsidRPr="49FE81C8">
              <w:rPr>
                <w:rFonts w:ascii="Calibri" w:hAnsi="Calibri" w:eastAsia="Calibri" w:cs="Calibri"/>
                <w:sz w:val="19"/>
                <w:szCs w:val="19"/>
              </w:rPr>
              <w:t>England, within the wider context of the UK and Europe)</w:t>
            </w:r>
          </w:p>
        </w:tc>
        <w:tc>
          <w:tcPr>
            <w:tcW w:w="3360" w:type="dxa"/>
            <w:tcMar/>
          </w:tcPr>
          <w:p w:rsidRPr="00956C3D" w:rsidR="008F36B2" w:rsidP="5016AC76" w:rsidRDefault="008F36B2" w14:paraId="09D158CD" w14:textId="767D31ED">
            <w:pPr>
              <w:rPr>
                <w:sz w:val="20"/>
                <w:szCs w:val="20"/>
                <w:lang w:val="en-US"/>
              </w:rPr>
            </w:pPr>
            <w:r w:rsidRPr="49FE81C8">
              <w:rPr>
                <w:sz w:val="20"/>
                <w:szCs w:val="20"/>
              </w:rPr>
              <w:t>To examine human resources for oral health in Europe, within a health workforce governance framework, using England as a case study; and to inform policy debate.</w:t>
            </w:r>
          </w:p>
        </w:tc>
        <w:tc>
          <w:tcPr>
            <w:tcW w:w="1350" w:type="dxa"/>
            <w:tcMar/>
          </w:tcPr>
          <w:p w:rsidRPr="00956C3D" w:rsidR="008F36B2" w:rsidP="287CBB0C" w:rsidRDefault="3CD81518" w14:paraId="3F48538A" w14:textId="6877AC29">
            <w:pPr>
              <w:rPr>
                <w:sz w:val="20"/>
                <w:szCs w:val="20"/>
                <w:lang w:val="en-US"/>
              </w:rPr>
            </w:pPr>
            <w:r w:rsidRPr="3F7EE571">
              <w:rPr>
                <w:sz w:val="20"/>
                <w:szCs w:val="20"/>
              </w:rPr>
              <w:t>Mixed-methods case study</w:t>
            </w:r>
          </w:p>
        </w:tc>
        <w:tc>
          <w:tcPr>
            <w:tcW w:w="3720" w:type="dxa"/>
            <w:tcMar/>
          </w:tcPr>
          <w:p w:rsidRPr="00956C3D" w:rsidR="008F36B2" w:rsidP="02875AFB" w:rsidRDefault="008F36B2" w14:paraId="54B9AF45" w14:textId="78667CD2">
            <w:pPr>
              <w:rPr>
                <w:sz w:val="20"/>
                <w:szCs w:val="20"/>
                <w:lang w:val="en-US"/>
              </w:rPr>
            </w:pPr>
            <w:r w:rsidRPr="49FE81C8">
              <w:rPr>
                <w:sz w:val="20"/>
                <w:szCs w:val="20"/>
              </w:rPr>
              <w:t>Quantitative indicators (sources such as WHO), key policy documents (EU, UK), literature search, qualitative mapping (Kuhlmann et al.’s five dimensions of workforce governance).</w:t>
            </w:r>
          </w:p>
        </w:tc>
        <w:tc>
          <w:tcPr>
            <w:tcW w:w="4365" w:type="dxa"/>
            <w:tcMar/>
          </w:tcPr>
          <w:p w:rsidRPr="00956C3D" w:rsidR="008F36B2" w:rsidP="02875AFB" w:rsidRDefault="25F99A8C" w14:paraId="74B52C86" w14:textId="7FEB771C">
            <w:r w:rsidRPr="3F7EE571">
              <w:rPr>
                <w:rFonts w:ascii="Calibri" w:hAnsi="Calibri" w:eastAsia="Calibri" w:cs="Calibri"/>
                <w:color w:val="000000" w:themeColor="text1"/>
                <w:sz w:val="20"/>
                <w:szCs w:val="20"/>
              </w:rPr>
              <w:t>Despite strong transnational collaboration and policies supporting mobility, the distribution of dentists across Europe remains inequitable, highlighting challenges in workforce planning, governance, and alignment with population needs. Greater coordinated, data-driven governance at both national and EU levels is needed to manage migration, harmonize standards, and ensure equitable access to oral healthcare.</w:t>
            </w:r>
          </w:p>
          <w:p w:rsidRPr="00956C3D" w:rsidR="008F36B2" w:rsidP="3F7EE571" w:rsidRDefault="008F36B2" w14:paraId="7285D79C" w14:textId="47BE2EB7"/>
        </w:tc>
      </w:tr>
      <w:tr w:rsidRPr="00C7750C" w:rsidR="008F36B2" w:rsidTr="6119DFDC" w14:paraId="0AF55EA3" w14:textId="77777777">
        <w:trPr>
          <w:trHeight w:val="300"/>
        </w:trPr>
        <w:tc>
          <w:tcPr>
            <w:tcW w:w="1275" w:type="dxa"/>
            <w:tcMar/>
          </w:tcPr>
          <w:p w:rsidRPr="00956C3D" w:rsidR="008F36B2" w:rsidP="02875AFB" w:rsidRDefault="008F36B2" w14:paraId="777DC190" w14:textId="326D71FD">
            <w:pPr>
              <w:rPr>
                <w:sz w:val="20"/>
                <w:szCs w:val="20"/>
                <w:lang w:val="en-US"/>
              </w:rPr>
            </w:pPr>
            <w:r w:rsidRPr="49FE81C8">
              <w:rPr>
                <w:sz w:val="20"/>
                <w:szCs w:val="20"/>
              </w:rPr>
              <w:t>Ribeiro et al. (2014, Portugal)</w:t>
            </w:r>
          </w:p>
        </w:tc>
        <w:tc>
          <w:tcPr>
            <w:tcW w:w="3360" w:type="dxa"/>
            <w:tcMar/>
          </w:tcPr>
          <w:p w:rsidRPr="00956C3D" w:rsidR="008F36B2" w:rsidP="02875AFB" w:rsidRDefault="008F36B2" w14:paraId="4F5F36B6" w14:textId="69D99E17">
            <w:pPr>
              <w:rPr>
                <w:sz w:val="20"/>
                <w:szCs w:val="20"/>
                <w:lang w:val="en-US"/>
              </w:rPr>
            </w:pPr>
            <w:r w:rsidRPr="49FE81C8">
              <w:rPr>
                <w:sz w:val="20"/>
                <w:szCs w:val="20"/>
              </w:rPr>
              <w:t xml:space="preserve">Documenting the phenomenon of mobility of health professionals in Portugal and to better identify and understand its consequences in terms of planning and monitoring the health workforce and its implications for policy development. </w:t>
            </w:r>
          </w:p>
        </w:tc>
        <w:tc>
          <w:tcPr>
            <w:tcW w:w="1350" w:type="dxa"/>
            <w:tcMar/>
          </w:tcPr>
          <w:p w:rsidRPr="00956C3D" w:rsidR="008F36B2" w:rsidP="287CBB0C" w:rsidRDefault="3CD81518" w14:paraId="5D6ABEBE" w14:textId="30810F32">
            <w:pPr>
              <w:rPr>
                <w:sz w:val="20"/>
                <w:szCs w:val="20"/>
                <w:lang w:val="en-US"/>
              </w:rPr>
            </w:pPr>
            <w:r w:rsidRPr="3F7EE571">
              <w:rPr>
                <w:sz w:val="20"/>
                <w:szCs w:val="20"/>
              </w:rPr>
              <w:t>Mixed-methods case study</w:t>
            </w:r>
          </w:p>
        </w:tc>
        <w:tc>
          <w:tcPr>
            <w:tcW w:w="3720" w:type="dxa"/>
            <w:tcMar/>
          </w:tcPr>
          <w:p w:rsidRPr="00956C3D" w:rsidR="008F36B2" w:rsidP="02875AFB" w:rsidRDefault="008F36B2" w14:paraId="41A030D4" w14:textId="66535710">
            <w:pPr>
              <w:rPr>
                <w:sz w:val="20"/>
                <w:szCs w:val="20"/>
                <w:lang w:val="en-US"/>
              </w:rPr>
            </w:pPr>
            <w:r w:rsidRPr="49FE81C8">
              <w:rPr>
                <w:sz w:val="20"/>
                <w:szCs w:val="20"/>
              </w:rPr>
              <w:t xml:space="preserve">Inventory of statistical and other relevant information sources (2009). </w:t>
            </w:r>
          </w:p>
          <w:p w:rsidRPr="00956C3D" w:rsidR="008F36B2" w:rsidP="02875AFB" w:rsidRDefault="008F36B2" w14:paraId="33544E1D" w14:textId="17D07CC1">
            <w:pPr>
              <w:rPr>
                <w:sz w:val="20"/>
                <w:szCs w:val="20"/>
                <w:lang w:val="en-US"/>
              </w:rPr>
            </w:pPr>
          </w:p>
          <w:p w:rsidRPr="00956C3D" w:rsidR="008F36B2" w:rsidP="02875AFB" w:rsidRDefault="008F36B2" w14:paraId="0DB567E0" w14:textId="2EF116CB">
            <w:pPr>
              <w:rPr>
                <w:sz w:val="20"/>
                <w:szCs w:val="20"/>
                <w:lang w:val="en-US"/>
              </w:rPr>
            </w:pPr>
            <w:r w:rsidRPr="49FE81C8">
              <w:rPr>
                <w:sz w:val="20"/>
                <w:szCs w:val="20"/>
              </w:rPr>
              <w:t>Interviews (July-October 2009) with representatives of medical, nursing and dental councils, trade unions, Ministries of Health, Labour, Association of students of medicine abroad.</w:t>
            </w:r>
          </w:p>
          <w:p w:rsidR="008F36B2" w:rsidP="5016AC76" w:rsidRDefault="008F36B2" w14:paraId="75F53C78" w14:textId="02AEDA9B">
            <w:pPr>
              <w:rPr>
                <w:sz w:val="20"/>
                <w:szCs w:val="20"/>
                <w:lang w:val="en-US"/>
              </w:rPr>
            </w:pPr>
          </w:p>
          <w:p w:rsidRPr="00956C3D" w:rsidR="008F36B2" w:rsidP="02875AFB" w:rsidRDefault="008F36B2" w14:paraId="747263E8" w14:textId="4A0F8E19">
            <w:pPr>
              <w:rPr>
                <w:sz w:val="20"/>
                <w:szCs w:val="20"/>
                <w:lang w:val="en-US"/>
              </w:rPr>
            </w:pPr>
            <w:r w:rsidRPr="49FE81C8">
              <w:rPr>
                <w:sz w:val="20"/>
                <w:szCs w:val="20"/>
              </w:rPr>
              <w:lastRenderedPageBreak/>
              <w:t>Azores region: general statistical information; questionnaires to all health centres (n=17) (Nov 2010 to Jan 2011); interviews with key-informants (Nov 2010 to Feb 2011).</w:t>
            </w:r>
          </w:p>
          <w:p w:rsidRPr="00956C3D" w:rsidR="008F36B2" w:rsidP="02875AFB" w:rsidRDefault="008F36B2" w14:paraId="0D992E01" w14:textId="4D16EABC">
            <w:pPr>
              <w:rPr>
                <w:sz w:val="20"/>
                <w:szCs w:val="20"/>
                <w:lang w:val="en-US"/>
              </w:rPr>
            </w:pPr>
          </w:p>
          <w:p w:rsidRPr="00810658" w:rsidR="008F36B2" w:rsidP="5016AC76" w:rsidRDefault="008F36B2" w14:paraId="1B023FC7" w14:textId="2A956B3D">
            <w:pPr>
              <w:rPr>
                <w:sz w:val="20"/>
                <w:szCs w:val="20"/>
                <w:lang w:val="en-US"/>
              </w:rPr>
            </w:pPr>
            <w:r w:rsidRPr="49FE81C8">
              <w:rPr>
                <w:sz w:val="20"/>
                <w:szCs w:val="20"/>
              </w:rPr>
              <w:t xml:space="preserve">Interviews foreign and national recruitment agencies (Dec 2010 to Jan 2011). </w:t>
            </w:r>
          </w:p>
        </w:tc>
        <w:tc>
          <w:tcPr>
            <w:tcW w:w="4365" w:type="dxa"/>
            <w:tcMar/>
          </w:tcPr>
          <w:p w:rsidR="7AD15624" w:rsidRDefault="7AD15624" w14:paraId="1123553F" w14:textId="26E64ABD">
            <w:r w:rsidRPr="3F7EE571">
              <w:rPr>
                <w:rFonts w:ascii="Calibri" w:hAnsi="Calibri" w:eastAsia="Calibri" w:cs="Calibri"/>
                <w:color w:val="000000" w:themeColor="text1"/>
                <w:sz w:val="20"/>
                <w:szCs w:val="20"/>
              </w:rPr>
              <w:lastRenderedPageBreak/>
              <w:t>Foreign professionals are attracted to Portugal, and Portuguese health workers emigrate, largely due to better work conditions, higher pay, and training opportunities, while limited access to continuing education and poor career prospects push local professionals abroad. Strategic investment in workforce planning, professional development, and information systems is needed to improve healthcare quality and accessibility in Portugal.</w:t>
            </w:r>
          </w:p>
          <w:p w:rsidR="3F7EE571" w:rsidP="3F7EE571" w:rsidRDefault="3F7EE571" w14:paraId="279D6155" w14:textId="11400542">
            <w:pPr>
              <w:spacing w:line="259" w:lineRule="auto"/>
            </w:pPr>
          </w:p>
          <w:p w:rsidRPr="00B77FBB" w:rsidR="008F36B2" w:rsidP="02875AFB" w:rsidRDefault="008F36B2" w14:paraId="17ED444A" w14:textId="0211BB5D">
            <w:pPr>
              <w:rPr>
                <w:rStyle w:val="normaltextrun"/>
                <w:rFonts w:ascii="Calibri" w:hAnsi="Calibri" w:cs="Calibri"/>
                <w:color w:val="000000" w:themeColor="text1"/>
                <w:sz w:val="20"/>
                <w:szCs w:val="20"/>
                <w:lang w:val="en-US"/>
              </w:rPr>
            </w:pPr>
          </w:p>
        </w:tc>
      </w:tr>
      <w:tr w:rsidRPr="00C7750C" w:rsidR="008F36B2" w:rsidTr="6119DFDC" w14:paraId="5C764917" w14:textId="77777777">
        <w:trPr>
          <w:trHeight w:val="300"/>
        </w:trPr>
        <w:tc>
          <w:tcPr>
            <w:tcW w:w="1275" w:type="dxa"/>
            <w:tcMar/>
          </w:tcPr>
          <w:p w:rsidRPr="00956C3D" w:rsidR="008F36B2" w:rsidP="1E03E899" w:rsidRDefault="008F36B2" w14:paraId="1D1CFBD7" w14:textId="067ED402">
            <w:pPr>
              <w:rPr>
                <w:sz w:val="20"/>
                <w:szCs w:val="20"/>
                <w:lang w:val="en-US"/>
              </w:rPr>
            </w:pPr>
            <w:r w:rsidRPr="49FE81C8">
              <w:rPr>
                <w:sz w:val="20"/>
                <w:szCs w:val="20"/>
              </w:rPr>
              <w:lastRenderedPageBreak/>
              <w:t>Buchan et al. (2014, Europe)</w:t>
            </w:r>
          </w:p>
        </w:tc>
        <w:tc>
          <w:tcPr>
            <w:tcW w:w="3360" w:type="dxa"/>
            <w:tcMar/>
          </w:tcPr>
          <w:p w:rsidRPr="00956C3D" w:rsidR="008F36B2" w:rsidP="5016AC76" w:rsidRDefault="008F36B2" w14:paraId="71CD8CF5" w14:textId="52F0DFB1">
            <w:pPr>
              <w:rPr>
                <w:sz w:val="20"/>
                <w:szCs w:val="20"/>
                <w:lang w:val="en-US"/>
              </w:rPr>
            </w:pPr>
            <w:r w:rsidRPr="49FE81C8">
              <w:rPr>
                <w:sz w:val="20"/>
                <w:szCs w:val="20"/>
              </w:rPr>
              <w:t>This volume builds on and extends the analysis conducted in the first volume of the PROMeTHEUS study, it takes account of this changing context by looking in detail at the motivations and experiences of mobile health professionals, and by examining the characteristics, impact and potential of policies aimed at “managing” aspects of mobility.</w:t>
            </w:r>
          </w:p>
          <w:p w:rsidRPr="00956C3D" w:rsidR="008F36B2" w:rsidP="5016AC76" w:rsidRDefault="008F36B2" w14:paraId="717F6692" w14:textId="2AEBB338">
            <w:pPr>
              <w:rPr>
                <w:sz w:val="20"/>
                <w:szCs w:val="20"/>
                <w:lang w:val="en-US"/>
              </w:rPr>
            </w:pPr>
          </w:p>
          <w:p w:rsidRPr="00956C3D" w:rsidR="008F36B2" w:rsidP="5016AC76" w:rsidRDefault="008F36B2" w14:paraId="747F3AC2" w14:textId="05B4AF09">
            <w:pPr>
              <w:rPr>
                <w:rStyle w:val="normaltextrun"/>
                <w:rFonts w:ascii="Calibri" w:hAnsi="Calibri" w:cs="Calibri"/>
                <w:sz w:val="20"/>
                <w:szCs w:val="20"/>
                <w:lang w:val="en-US"/>
              </w:rPr>
            </w:pPr>
            <w:r w:rsidRPr="49FE81C8">
              <w:rPr>
                <w:rFonts w:ascii="Calibri" w:hAnsi="Calibri" w:cs="Calibri"/>
                <w:sz w:val="20"/>
                <w:szCs w:val="20"/>
              </w:rPr>
              <w:t>In this volume, aspects of both efficiency and ethics will be examined from a health system perspective, looking at the impact on, and integration of, international health workers, their effective management and retention, and policy responses and policy instruments in use at national and international level.</w:t>
            </w:r>
          </w:p>
          <w:p w:rsidRPr="00956C3D" w:rsidR="008F36B2" w:rsidP="1E03E899" w:rsidRDefault="008F36B2" w14:paraId="0433F186" w14:textId="34FBB373">
            <w:pPr>
              <w:rPr>
                <w:sz w:val="20"/>
                <w:szCs w:val="20"/>
                <w:lang w:val="en-US"/>
              </w:rPr>
            </w:pPr>
          </w:p>
        </w:tc>
        <w:tc>
          <w:tcPr>
            <w:tcW w:w="1350" w:type="dxa"/>
            <w:tcMar/>
          </w:tcPr>
          <w:p w:rsidRPr="00063FC4" w:rsidR="008F36B2" w:rsidP="287CBB0C" w:rsidRDefault="3CD81518" w14:paraId="57C5474B" w14:textId="758C6450">
            <w:pPr>
              <w:rPr>
                <w:sz w:val="20"/>
                <w:szCs w:val="20"/>
                <w:lang w:val="en-US"/>
              </w:rPr>
            </w:pPr>
            <w:r w:rsidRPr="3F7EE571">
              <w:rPr>
                <w:sz w:val="20"/>
                <w:szCs w:val="20"/>
              </w:rPr>
              <w:t>Mixed-methods</w:t>
            </w:r>
          </w:p>
        </w:tc>
        <w:tc>
          <w:tcPr>
            <w:tcW w:w="3720" w:type="dxa"/>
            <w:tcMar/>
          </w:tcPr>
          <w:p w:rsidRPr="00063FC4" w:rsidR="008F36B2" w:rsidP="00211B3B" w:rsidRDefault="008F36B2" w14:paraId="792F21CF" w14:textId="77777777">
            <w:pPr>
              <w:rPr>
                <w:sz w:val="20"/>
                <w:szCs w:val="20"/>
                <w:lang w:val="en-US"/>
              </w:rPr>
            </w:pPr>
            <w:r w:rsidRPr="49FE81C8">
              <w:rPr>
                <w:sz w:val="20"/>
                <w:szCs w:val="20"/>
              </w:rPr>
              <w:t>A range of methodologies are employed in the volume: • the scoping review on the conceptual underpinnings of health professional mobility;</w:t>
            </w:r>
          </w:p>
          <w:p w:rsidRPr="00063FC4" w:rsidR="008F36B2" w:rsidP="00211B3B" w:rsidRDefault="008F36B2" w14:paraId="2030F631" w14:textId="77777777">
            <w:pPr>
              <w:rPr>
                <w:sz w:val="20"/>
                <w:szCs w:val="20"/>
                <w:lang w:val="en-US"/>
              </w:rPr>
            </w:pPr>
            <w:r w:rsidRPr="49FE81C8">
              <w:rPr>
                <w:sz w:val="20"/>
                <w:szCs w:val="20"/>
              </w:rPr>
              <w:t xml:space="preserve">• a critical analysis of health workforce data, indicators and register methodologies; </w:t>
            </w:r>
          </w:p>
          <w:p w:rsidRPr="00063FC4" w:rsidR="008F36B2" w:rsidP="00211B3B" w:rsidRDefault="008F36B2" w14:paraId="1161702C" w14:textId="77777777">
            <w:pPr>
              <w:rPr>
                <w:sz w:val="20"/>
                <w:szCs w:val="20"/>
                <w:lang w:val="en-US"/>
              </w:rPr>
            </w:pPr>
            <w:r w:rsidRPr="49FE81C8">
              <w:rPr>
                <w:sz w:val="20"/>
                <w:szCs w:val="20"/>
              </w:rPr>
              <w:t xml:space="preserve">• a literature review of the impact of the global financial crisis on health professional mobility; </w:t>
            </w:r>
          </w:p>
          <w:p w:rsidRPr="00063FC4" w:rsidR="008F36B2" w:rsidP="00211B3B" w:rsidRDefault="008F36B2" w14:paraId="62190E91" w14:textId="77777777">
            <w:pPr>
              <w:rPr>
                <w:sz w:val="20"/>
                <w:szCs w:val="20"/>
                <w:lang w:val="en-US"/>
              </w:rPr>
            </w:pPr>
            <w:r w:rsidRPr="49FE81C8">
              <w:rPr>
                <w:sz w:val="20"/>
                <w:szCs w:val="20"/>
              </w:rPr>
              <w:t xml:space="preserve">• quantitative and qualitative methodologies on the experiences and motivations of the mobile health professional; </w:t>
            </w:r>
          </w:p>
          <w:p w:rsidRPr="00956C3D" w:rsidR="008F36B2" w:rsidP="00211B3B" w:rsidRDefault="008F36B2" w14:paraId="464CE921" w14:textId="7650AE8F">
            <w:pPr>
              <w:rPr>
                <w:sz w:val="20"/>
                <w:szCs w:val="20"/>
                <w:lang w:val="en-US"/>
              </w:rPr>
            </w:pPr>
            <w:r w:rsidRPr="49FE81C8">
              <w:rPr>
                <w:sz w:val="20"/>
                <w:szCs w:val="20"/>
              </w:rPr>
              <w:t>• expert interviews to capture the perspective of health care managers; and • literature analysis and expert interviews on the impact of policy instruments. These methodologies are explained in more detail in the individual chapters.</w:t>
            </w:r>
          </w:p>
        </w:tc>
        <w:tc>
          <w:tcPr>
            <w:tcW w:w="4365" w:type="dxa"/>
            <w:tcMar/>
          </w:tcPr>
          <w:p w:rsidR="56461BC9" w:rsidRDefault="56461BC9" w14:paraId="2CDCF61E" w14:textId="0E352B41">
            <w:r w:rsidRPr="3F7EE571">
              <w:rPr>
                <w:rFonts w:ascii="Calibri" w:hAnsi="Calibri" w:eastAsia="Calibri" w:cs="Calibri"/>
                <w:color w:val="000000" w:themeColor="text1"/>
                <w:sz w:val="20"/>
                <w:szCs w:val="20"/>
              </w:rPr>
              <w:t>Health professional mobility will remain a key feature of European healthcare labo</w:t>
            </w:r>
            <w:r w:rsidRPr="3F7EE571" w:rsidR="0DE926CD">
              <w:rPr>
                <w:rFonts w:ascii="Calibri" w:hAnsi="Calibri" w:eastAsia="Calibri" w:cs="Calibri"/>
                <w:color w:val="000000" w:themeColor="text1"/>
                <w:sz w:val="20"/>
                <w:szCs w:val="20"/>
              </w:rPr>
              <w:t>u</w:t>
            </w:r>
            <w:r w:rsidRPr="3F7EE571">
              <w:rPr>
                <w:rFonts w:ascii="Calibri" w:hAnsi="Calibri" w:eastAsia="Calibri" w:cs="Calibri"/>
                <w:color w:val="000000" w:themeColor="text1"/>
                <w:sz w:val="20"/>
                <w:szCs w:val="20"/>
              </w:rPr>
              <w:t>r markets, offering benefits like international education, knowledge exchange, and faster adoption of medical practices, but also posing challenges for regulators in ensuring professional competence and implementing voluntary codes. Effective policy responses require adaptable strategies, better information sharing, and research on the impact and feasibility of instruments like CPD recognition and professional standards.</w:t>
            </w:r>
          </w:p>
          <w:p w:rsidR="3F7EE571" w:rsidP="3F7EE571" w:rsidRDefault="3F7EE571" w14:paraId="742A868D" w14:textId="7D7E8448"/>
          <w:p w:rsidRPr="00956C3D" w:rsidR="008F36B2" w:rsidP="5016AC76" w:rsidRDefault="008F36B2" w14:paraId="0F986B83" w14:textId="635FF0BA">
            <w:pPr>
              <w:rPr>
                <w:rFonts w:ascii="Calibri" w:hAnsi="Calibri" w:cs="Calibri"/>
                <w:sz w:val="20"/>
                <w:szCs w:val="20"/>
                <w:lang w:val="en-US"/>
              </w:rPr>
            </w:pPr>
          </w:p>
        </w:tc>
      </w:tr>
      <w:tr w:rsidRPr="00C7750C" w:rsidR="008F36B2" w:rsidTr="6119DFDC" w14:paraId="3B771ED8" w14:textId="77777777">
        <w:trPr>
          <w:trHeight w:val="300"/>
        </w:trPr>
        <w:tc>
          <w:tcPr>
            <w:tcW w:w="1275" w:type="dxa"/>
            <w:tcMar/>
          </w:tcPr>
          <w:p w:rsidRPr="00956C3D" w:rsidR="008F36B2" w:rsidP="5346BA88" w:rsidRDefault="008F36B2" w14:paraId="53265690" w14:textId="4F1867EC">
            <w:pPr>
              <w:rPr>
                <w:sz w:val="20"/>
                <w:szCs w:val="20"/>
                <w:lang w:val="en-US"/>
              </w:rPr>
            </w:pPr>
            <w:r w:rsidRPr="49FE81C8">
              <w:rPr>
                <w:sz w:val="20"/>
                <w:szCs w:val="20"/>
              </w:rPr>
              <w:t>Bullock et al. (2013, 30 EU member and candidate countries)</w:t>
            </w:r>
          </w:p>
        </w:tc>
        <w:tc>
          <w:tcPr>
            <w:tcW w:w="3360" w:type="dxa"/>
            <w:tcMar/>
          </w:tcPr>
          <w:p w:rsidRPr="00956C3D" w:rsidR="008F36B2" w:rsidP="1E03E899" w:rsidRDefault="008F36B2" w14:paraId="1B33A89C" w14:textId="5F069339">
            <w:pPr>
              <w:rPr>
                <w:sz w:val="20"/>
                <w:szCs w:val="20"/>
                <w:lang w:val="en-US"/>
              </w:rPr>
            </w:pPr>
            <w:r w:rsidRPr="49FE81C8">
              <w:rPr>
                <w:sz w:val="20"/>
                <w:szCs w:val="20"/>
              </w:rPr>
              <w:t xml:space="preserve">One aim of the 'DentCPD’ project was to identify and agree essential CPD requirements for EU dentists. As part of the process, data were collected on existing approaches to CPD for EU </w:t>
            </w:r>
            <w:r w:rsidRPr="49FE81C8">
              <w:rPr>
                <w:sz w:val="20"/>
                <w:szCs w:val="20"/>
              </w:rPr>
              <w:lastRenderedPageBreak/>
              <w:t xml:space="preserve">dentists. This paper reports those findings. </w:t>
            </w:r>
          </w:p>
        </w:tc>
        <w:tc>
          <w:tcPr>
            <w:tcW w:w="1350" w:type="dxa"/>
            <w:tcMar/>
          </w:tcPr>
          <w:p w:rsidRPr="00956C3D" w:rsidR="008F36B2" w:rsidP="1E03E899" w:rsidRDefault="3CD81518" w14:paraId="76474319" w14:textId="0A277354">
            <w:pPr>
              <w:rPr>
                <w:sz w:val="20"/>
                <w:szCs w:val="20"/>
                <w:lang w:val="en-US"/>
              </w:rPr>
            </w:pPr>
            <w:r w:rsidRPr="3F7EE571">
              <w:rPr>
                <w:sz w:val="20"/>
                <w:szCs w:val="20"/>
              </w:rPr>
              <w:lastRenderedPageBreak/>
              <w:t>Quantitative</w:t>
            </w:r>
          </w:p>
        </w:tc>
        <w:tc>
          <w:tcPr>
            <w:tcW w:w="3720" w:type="dxa"/>
            <w:tcMar/>
          </w:tcPr>
          <w:p w:rsidR="008F36B2" w:rsidP="1E03E899" w:rsidRDefault="008F36B2" w14:paraId="35251801" w14:textId="77777777">
            <w:pPr>
              <w:rPr>
                <w:sz w:val="20"/>
                <w:szCs w:val="20"/>
                <w:lang w:val="en-US"/>
              </w:rPr>
            </w:pPr>
            <w:r w:rsidRPr="49FE81C8">
              <w:rPr>
                <w:sz w:val="20"/>
                <w:szCs w:val="20"/>
              </w:rPr>
              <w:t xml:space="preserve">Informed by a review of the literature and internet search, the CPD for graduate dentists questionnaire gathered data from dental educators on CPD systems, requirements, provision and accreditation </w:t>
            </w:r>
            <w:r w:rsidRPr="49FE81C8">
              <w:rPr>
                <w:sz w:val="20"/>
                <w:szCs w:val="20"/>
              </w:rPr>
              <w:lastRenderedPageBreak/>
              <w:t xml:space="preserve">in Europe. It sought opinion on mandatory CPD and e-learning. </w:t>
            </w:r>
          </w:p>
          <w:p w:rsidR="008F36B2" w:rsidP="1E03E899" w:rsidRDefault="008F36B2" w14:paraId="5E75194A" w14:textId="77777777">
            <w:pPr>
              <w:rPr>
                <w:sz w:val="20"/>
                <w:szCs w:val="20"/>
                <w:lang w:val="en-US"/>
              </w:rPr>
            </w:pPr>
          </w:p>
          <w:p w:rsidRPr="00956C3D" w:rsidR="008F36B2" w:rsidP="1E03E899" w:rsidRDefault="008F36B2" w14:paraId="6D3DAE92" w14:textId="6B16A2EC">
            <w:pPr>
              <w:rPr>
                <w:sz w:val="20"/>
                <w:szCs w:val="20"/>
                <w:lang w:val="en-US"/>
              </w:rPr>
            </w:pPr>
            <w:r w:rsidRPr="49FE81C8">
              <w:rPr>
                <w:sz w:val="20"/>
                <w:szCs w:val="20"/>
              </w:rPr>
              <w:t>Questionnaire: responses from 143 individuals from 30 EU countries.</w:t>
            </w:r>
          </w:p>
        </w:tc>
        <w:tc>
          <w:tcPr>
            <w:tcW w:w="4365" w:type="dxa"/>
            <w:tcMar/>
          </w:tcPr>
          <w:p w:rsidRPr="006C6F17" w:rsidR="008F36B2" w:rsidP="1E03E899" w:rsidRDefault="2A267626" w14:paraId="12B08D0C" w14:textId="682331EF">
            <w:r w:rsidRPr="3F7EE571">
              <w:rPr>
                <w:rFonts w:ascii="Calibri" w:hAnsi="Calibri" w:eastAsia="Calibri" w:cs="Calibri"/>
                <w:color w:val="000000" w:themeColor="text1"/>
                <w:sz w:val="20"/>
                <w:szCs w:val="20"/>
              </w:rPr>
              <w:lastRenderedPageBreak/>
              <w:t xml:space="preserve">CPD requirements for dentists vary widely across the EU, with less than half of countries having compulsory systems, highlighting a need for harmonization to improve dentist mobility, patient safety, and support appraisal and revalidation processes. Despite strong support for mandatory, </w:t>
            </w:r>
            <w:r w:rsidRPr="3F7EE571">
              <w:rPr>
                <w:rFonts w:ascii="Calibri" w:hAnsi="Calibri" w:eastAsia="Calibri" w:cs="Calibri"/>
                <w:color w:val="000000" w:themeColor="text1"/>
                <w:sz w:val="20"/>
                <w:szCs w:val="20"/>
              </w:rPr>
              <w:lastRenderedPageBreak/>
              <w:t>accredited CPD, many professionals lack clarity on accreditation criteria, indicating gaps in understanding and implementation.</w:t>
            </w:r>
          </w:p>
          <w:p w:rsidRPr="006C6F17" w:rsidR="008F36B2" w:rsidP="3F7EE571" w:rsidRDefault="008F36B2" w14:paraId="078B24E7" w14:textId="246A0EC4"/>
        </w:tc>
      </w:tr>
      <w:tr w:rsidRPr="00C7750C" w:rsidR="008F36B2" w:rsidTr="6119DFDC" w14:paraId="36E11FBE" w14:textId="77777777">
        <w:trPr>
          <w:trHeight w:val="300"/>
        </w:trPr>
        <w:tc>
          <w:tcPr>
            <w:tcW w:w="1275" w:type="dxa"/>
            <w:tcMar/>
          </w:tcPr>
          <w:p w:rsidRPr="00956C3D" w:rsidR="008F36B2" w:rsidP="02875AFB" w:rsidRDefault="008F36B2" w14:paraId="60D5C80E" w14:textId="1A981822">
            <w:pPr>
              <w:rPr>
                <w:sz w:val="20"/>
                <w:szCs w:val="20"/>
                <w:lang w:val="en-US"/>
              </w:rPr>
            </w:pPr>
            <w:r w:rsidRPr="49FE81C8">
              <w:rPr>
                <w:sz w:val="20"/>
                <w:szCs w:val="20"/>
              </w:rPr>
              <w:lastRenderedPageBreak/>
              <w:t>Barnes et al. (2012, Europe)</w:t>
            </w:r>
          </w:p>
        </w:tc>
        <w:tc>
          <w:tcPr>
            <w:tcW w:w="3360" w:type="dxa"/>
            <w:tcMar/>
          </w:tcPr>
          <w:p w:rsidRPr="00F9285C" w:rsidR="008F36B2" w:rsidP="007B0375" w:rsidRDefault="008F36B2" w14:paraId="4F085332" w14:textId="4EC76A24">
            <w:pPr>
              <w:rPr>
                <w:rFonts w:cs="AdvMINION-R"/>
                <w:kern w:val="0"/>
                <w:sz w:val="20"/>
                <w:szCs w:val="20"/>
                <w:lang w:val="en-US"/>
              </w:rPr>
            </w:pPr>
            <w:r w:rsidRPr="00F9285C">
              <w:rPr>
                <w:rFonts w:cs="AdvMINION-R"/>
                <w:kern w:val="0"/>
                <w:sz w:val="20"/>
                <w:szCs w:val="20"/>
                <w:lang w:val="en-US"/>
              </w:rPr>
              <w:t>To report dentists’ engagement in CPD, focused on Europe,</w:t>
            </w:r>
          </w:p>
          <w:p w:rsidRPr="00F9285C" w:rsidR="008F36B2" w:rsidP="007B0375" w:rsidRDefault="008F36B2" w14:paraId="0D6C83CD" w14:textId="77777777">
            <w:pPr>
              <w:rPr>
                <w:rFonts w:cs="AdvMINION-R"/>
                <w:kern w:val="0"/>
                <w:sz w:val="20"/>
                <w:szCs w:val="20"/>
                <w:lang w:val="en-US"/>
              </w:rPr>
            </w:pPr>
            <w:r w:rsidRPr="00F9285C">
              <w:rPr>
                <w:rFonts w:cs="AdvMINION-R"/>
                <w:kern w:val="0"/>
                <w:sz w:val="20"/>
                <w:szCs w:val="20"/>
                <w:lang w:val="en-US"/>
              </w:rPr>
              <w:t>and its effects on the oral health care for patients. This</w:t>
            </w:r>
          </w:p>
          <w:p w:rsidRPr="00F9285C" w:rsidR="008F36B2" w:rsidP="007B0375" w:rsidRDefault="008F36B2" w14:paraId="52217AA9" w14:textId="23BE1229">
            <w:pPr>
              <w:rPr>
                <w:rFonts w:cs="AdvMINION-R"/>
                <w:kern w:val="0"/>
                <w:sz w:val="20"/>
                <w:szCs w:val="20"/>
                <w:lang w:val="en-US"/>
              </w:rPr>
            </w:pPr>
            <w:r w:rsidRPr="00F9285C">
              <w:rPr>
                <w:rFonts w:cs="AdvMINION-R"/>
                <w:kern w:val="0"/>
                <w:sz w:val="20"/>
                <w:szCs w:val="20"/>
                <w:lang w:val="en-US"/>
              </w:rPr>
              <w:t>involved reviewing:</w:t>
            </w:r>
            <w:r>
              <w:rPr>
                <w:rFonts w:cs="AdvMINION-R"/>
                <w:kern w:val="0"/>
                <w:sz w:val="20"/>
                <w:szCs w:val="20"/>
                <w:lang w:val="en-US"/>
              </w:rPr>
              <w:t xml:space="preserve"> </w:t>
            </w:r>
            <w:r w:rsidRPr="00F9285C">
              <w:rPr>
                <w:rFonts w:cs="AdvMINION-R"/>
                <w:kern w:val="0"/>
                <w:sz w:val="20"/>
                <w:szCs w:val="20"/>
                <w:lang w:val="en-US"/>
              </w:rPr>
              <w:t>the volume of CPD undertaken, factors associated with</w:t>
            </w:r>
          </w:p>
          <w:p w:rsidRPr="00F9285C" w:rsidR="008F36B2" w:rsidP="007B0375" w:rsidRDefault="008F36B2" w14:paraId="2550FEF2" w14:textId="0A9CD7BB">
            <w:pPr>
              <w:rPr>
                <w:rFonts w:cs="AdvMINION-R"/>
                <w:kern w:val="0"/>
                <w:sz w:val="20"/>
                <w:szCs w:val="20"/>
                <w:lang w:val="en-US"/>
              </w:rPr>
            </w:pPr>
            <w:r w:rsidRPr="00F9285C">
              <w:rPr>
                <w:rFonts w:cs="AdvMINION-R"/>
                <w:kern w:val="0"/>
                <w:sz w:val="20"/>
                <w:szCs w:val="20"/>
                <w:lang w:val="en-US"/>
              </w:rPr>
              <w:t>uptake and barriers to participation;</w:t>
            </w:r>
            <w:r>
              <w:rPr>
                <w:rFonts w:cs="AdvMINION-R"/>
                <w:kern w:val="0"/>
                <w:sz w:val="20"/>
                <w:szCs w:val="20"/>
                <w:lang w:val="en-US"/>
              </w:rPr>
              <w:t xml:space="preserve"> </w:t>
            </w:r>
            <w:r w:rsidRPr="00F9285C">
              <w:rPr>
                <w:rFonts w:cs="AdvMINION-R"/>
                <w:kern w:val="0"/>
                <w:sz w:val="20"/>
                <w:szCs w:val="20"/>
                <w:lang w:val="en-US"/>
              </w:rPr>
              <w:t>the range of CPD delivery methods;</w:t>
            </w:r>
            <w:r>
              <w:rPr>
                <w:rFonts w:cs="AdvMINION-R"/>
                <w:kern w:val="0"/>
                <w:sz w:val="20"/>
                <w:szCs w:val="20"/>
                <w:lang w:val="en-US"/>
              </w:rPr>
              <w:t xml:space="preserve"> </w:t>
            </w:r>
            <w:r w:rsidRPr="00F9285C">
              <w:rPr>
                <w:rFonts w:cs="AdvMINION-R"/>
                <w:kern w:val="0"/>
                <w:sz w:val="20"/>
                <w:szCs w:val="20"/>
                <w:lang w:val="en-US"/>
              </w:rPr>
              <w:t>CPD topic preferences</w:t>
            </w:r>
            <w:r>
              <w:rPr>
                <w:rFonts w:cs="AdvMINION-R"/>
                <w:kern w:val="0"/>
                <w:sz w:val="20"/>
                <w:szCs w:val="20"/>
                <w:lang w:val="en-US"/>
              </w:rPr>
              <w:t>;</w:t>
            </w:r>
            <w:r w:rsidRPr="00F9285C">
              <w:rPr>
                <w:rFonts w:cs="AdvMINION-R"/>
                <w:kern w:val="0"/>
                <w:sz w:val="20"/>
                <w:szCs w:val="20"/>
                <w:lang w:val="en-US"/>
              </w:rPr>
              <w:t xml:space="preserve"> and</w:t>
            </w:r>
          </w:p>
          <w:p w:rsidRPr="00956C3D" w:rsidR="008F36B2" w:rsidP="007B0375" w:rsidRDefault="008F36B2" w14:paraId="579E6D6D" w14:textId="5C39DA55">
            <w:pPr>
              <w:rPr>
                <w:sz w:val="20"/>
                <w:szCs w:val="20"/>
                <w:lang w:val="en-US"/>
              </w:rPr>
            </w:pPr>
            <w:r w:rsidRPr="00F9285C">
              <w:rPr>
                <w:rFonts w:cs="AdvMINION-R"/>
                <w:kern w:val="0"/>
                <w:sz w:val="20"/>
                <w:szCs w:val="20"/>
                <w:lang w:val="en-US"/>
              </w:rPr>
              <w:t>what is known about CPD effectiveness and impact-on-</w:t>
            </w:r>
            <w:r w:rsidRPr="005B0EA9">
              <w:rPr>
                <w:rFonts w:cs="AdvMINION-R"/>
                <w:kern w:val="0"/>
                <w:sz w:val="20"/>
                <w:szCs w:val="20"/>
                <w:lang w:val="en-US"/>
              </w:rPr>
              <w:t>practice.</w:t>
            </w:r>
          </w:p>
        </w:tc>
        <w:tc>
          <w:tcPr>
            <w:tcW w:w="1350" w:type="dxa"/>
            <w:tcMar/>
          </w:tcPr>
          <w:p w:rsidRPr="00956C3D" w:rsidR="008F36B2" w:rsidP="6119DFDC" w:rsidRDefault="3CD81518" w14:paraId="73D8DA0B" w14:textId="71FF2AED">
            <w:pPr>
              <w:pStyle w:val="Normal"/>
              <w:suppressLineNumbers w:val="0"/>
              <w:bidi w:val="0"/>
              <w:spacing w:before="0" w:beforeAutospacing="off" w:after="0" w:afterAutospacing="off" w:line="240" w:lineRule="auto"/>
              <w:ind w:left="0" w:right="0"/>
              <w:jc w:val="left"/>
            </w:pPr>
            <w:r w:rsidRPr="6119DFDC" w:rsidR="4F61B51E">
              <w:rPr>
                <w:sz w:val="20"/>
                <w:szCs w:val="20"/>
              </w:rPr>
              <w:t>Evidence synthesis</w:t>
            </w:r>
          </w:p>
        </w:tc>
        <w:tc>
          <w:tcPr>
            <w:tcW w:w="3720" w:type="dxa"/>
            <w:tcMar/>
          </w:tcPr>
          <w:p w:rsidRPr="00956C3D" w:rsidR="008F36B2" w:rsidP="00895ECE" w:rsidRDefault="008F36B2" w14:paraId="15DC9DD6" w14:textId="4621CB07">
            <w:pPr>
              <w:autoSpaceDE w:val="0"/>
              <w:autoSpaceDN w:val="0"/>
              <w:adjustRightInd w:val="0"/>
              <w:rPr>
                <w:rFonts w:cs="AdvMINION-R"/>
                <w:kern w:val="0"/>
                <w:sz w:val="20"/>
                <w:szCs w:val="20"/>
                <w:lang w:val="en-US"/>
              </w:rPr>
            </w:pPr>
            <w:r w:rsidRPr="00956C3D">
              <w:rPr>
                <w:rFonts w:cs="AdvMINION-R"/>
                <w:kern w:val="0"/>
                <w:sz w:val="20"/>
                <w:szCs w:val="20"/>
                <w:lang w:val="en-US"/>
              </w:rPr>
              <w:t>The search strategy used key terms in a range of databases and an academic</w:t>
            </w:r>
          </w:p>
          <w:p w:rsidRPr="00956C3D" w:rsidR="008F36B2" w:rsidP="00895ECE" w:rsidRDefault="008F36B2" w14:paraId="6131C3F7" w14:textId="4B9FCE4B">
            <w:pPr>
              <w:rPr>
                <w:sz w:val="20"/>
                <w:szCs w:val="20"/>
                <w:lang w:val="en-US"/>
              </w:rPr>
            </w:pPr>
            <w:r w:rsidRPr="00956C3D">
              <w:rPr>
                <w:rFonts w:cs="AdvMINION-R"/>
                <w:kern w:val="0"/>
                <w:sz w:val="20"/>
                <w:szCs w:val="20"/>
                <w:lang w:val="en-US"/>
              </w:rPr>
              <w:t>literature search engine, complemented by hand searching and citation follow-up.</w:t>
            </w:r>
          </w:p>
        </w:tc>
        <w:tc>
          <w:tcPr>
            <w:tcW w:w="4365" w:type="dxa"/>
            <w:tcMar/>
          </w:tcPr>
          <w:p w:rsidRPr="00E72D34" w:rsidR="008F36B2" w:rsidP="00E72D34" w:rsidRDefault="2A42116F" w14:paraId="0BF6ECC9" w14:textId="3CD9C675">
            <w:pPr>
              <w:autoSpaceDE w:val="0"/>
              <w:autoSpaceDN w:val="0"/>
              <w:adjustRightInd w:val="0"/>
            </w:pPr>
            <w:r w:rsidRPr="3F7EE571">
              <w:rPr>
                <w:rFonts w:ascii="Calibri" w:hAnsi="Calibri" w:eastAsia="Calibri" w:cs="Calibri"/>
                <w:color w:val="000000" w:themeColor="text1"/>
                <w:sz w:val="20"/>
                <w:szCs w:val="20"/>
                <w:lang w:val="en-US"/>
              </w:rPr>
              <w:t>CPD participation among dentists varies across Europe, and differences in requirements mean patient care standards can differ by country. Harmonizing CPD—focusing on core topics, patient safety, and effective learning—would support dentist mobility and ensure consistently high-quality care, though it must balance regulation with flexibility to maintain engagement and innovation.</w:t>
            </w:r>
          </w:p>
          <w:p w:rsidRPr="00E72D34" w:rsidR="008F36B2" w:rsidP="3F7EE571" w:rsidRDefault="008F36B2" w14:paraId="4D37D131" w14:textId="1FA28069">
            <w:pPr>
              <w:autoSpaceDE w:val="0"/>
              <w:autoSpaceDN w:val="0"/>
              <w:adjustRightInd w:val="0"/>
            </w:pPr>
          </w:p>
        </w:tc>
      </w:tr>
      <w:tr w:rsidRPr="00C7750C" w:rsidR="008F36B2" w:rsidTr="6119DFDC" w14:paraId="26978310" w14:textId="77777777">
        <w:trPr>
          <w:trHeight w:val="300"/>
        </w:trPr>
        <w:tc>
          <w:tcPr>
            <w:tcW w:w="1275" w:type="dxa"/>
            <w:tcMar/>
          </w:tcPr>
          <w:p w:rsidRPr="00956C3D" w:rsidR="008F36B2" w:rsidP="02875AFB" w:rsidRDefault="008F36B2" w14:paraId="6492B0AF" w14:textId="6322B797">
            <w:pPr>
              <w:rPr>
                <w:sz w:val="20"/>
                <w:szCs w:val="20"/>
                <w:lang w:val="en-US"/>
              </w:rPr>
            </w:pPr>
            <w:r w:rsidRPr="49FE81C8">
              <w:rPr>
                <w:sz w:val="20"/>
                <w:szCs w:val="20"/>
              </w:rPr>
              <w:t>Bailey et al. (2012, EU)</w:t>
            </w:r>
          </w:p>
        </w:tc>
        <w:tc>
          <w:tcPr>
            <w:tcW w:w="3360" w:type="dxa"/>
            <w:tcMar/>
          </w:tcPr>
          <w:p w:rsidRPr="00956C3D" w:rsidR="008F36B2" w:rsidP="02875AFB" w:rsidRDefault="008F36B2" w14:paraId="42EBF746" w14:textId="248748CE">
            <w:pPr>
              <w:rPr>
                <w:sz w:val="20"/>
                <w:szCs w:val="20"/>
                <w:lang w:val="en-US"/>
              </w:rPr>
            </w:pPr>
            <w:r w:rsidRPr="49FE81C8">
              <w:rPr>
                <w:sz w:val="20"/>
                <w:szCs w:val="20"/>
              </w:rPr>
              <w:t xml:space="preserve">To set out the agreement process and outcomes of one aim of the ‘DentCPD’ project: to identify and agree on core compulsory and core recommended CPD topics for graduate dentists in Europe. </w:t>
            </w:r>
          </w:p>
        </w:tc>
        <w:tc>
          <w:tcPr>
            <w:tcW w:w="1350" w:type="dxa"/>
            <w:tcMar/>
          </w:tcPr>
          <w:p w:rsidRPr="00956C3D" w:rsidR="008F36B2" w:rsidP="287CBB0C" w:rsidRDefault="3CD81518" w14:paraId="717A13C4" w14:textId="4232BA23">
            <w:pPr>
              <w:rPr>
                <w:sz w:val="20"/>
                <w:szCs w:val="20"/>
                <w:lang w:val="en-US"/>
              </w:rPr>
            </w:pPr>
            <w:r w:rsidRPr="3F7EE571">
              <w:rPr>
                <w:sz w:val="20"/>
                <w:szCs w:val="20"/>
              </w:rPr>
              <w:t>Mixed-methods</w:t>
            </w:r>
          </w:p>
        </w:tc>
        <w:tc>
          <w:tcPr>
            <w:tcW w:w="3720" w:type="dxa"/>
            <w:tcMar/>
          </w:tcPr>
          <w:p w:rsidRPr="00956C3D" w:rsidR="008F36B2" w:rsidP="3FC49D27" w:rsidRDefault="008F36B2" w14:paraId="67DF245A" w14:textId="560C9D16">
            <w:pPr>
              <w:rPr>
                <w:sz w:val="20"/>
                <w:szCs w:val="20"/>
                <w:lang w:val="en-US"/>
              </w:rPr>
            </w:pPr>
            <w:r w:rsidRPr="49FE81C8">
              <w:rPr>
                <w:sz w:val="20"/>
                <w:szCs w:val="20"/>
              </w:rPr>
              <w:t xml:space="preserve">Three stage process: online survey of dental educators across Europe (30 countries), paper-based </w:t>
            </w:r>
            <w:r w:rsidRPr="49FE81C8">
              <w:rPr>
                <w:i/>
                <w:iCs/>
                <w:sz w:val="20"/>
                <w:szCs w:val="20"/>
              </w:rPr>
              <w:t xml:space="preserve">CPD Core Topics </w:t>
            </w:r>
            <w:r w:rsidRPr="49FE81C8">
              <w:rPr>
                <w:sz w:val="20"/>
                <w:szCs w:val="20"/>
              </w:rPr>
              <w:t>questionnaire to groups of dental practitioners in four European countries (convenience sample), proposal discussed at ADEE Lifelong Learning special interest group (SIG).</w:t>
            </w:r>
          </w:p>
          <w:p w:rsidRPr="00956C3D" w:rsidR="008F36B2" w:rsidP="02875AFB" w:rsidRDefault="008F36B2" w14:paraId="73553026" w14:textId="24FAD579">
            <w:pPr>
              <w:rPr>
                <w:sz w:val="20"/>
                <w:szCs w:val="20"/>
                <w:lang w:val="en-US"/>
              </w:rPr>
            </w:pPr>
          </w:p>
        </w:tc>
        <w:tc>
          <w:tcPr>
            <w:tcW w:w="4365" w:type="dxa"/>
            <w:tcMar/>
          </w:tcPr>
          <w:p w:rsidRPr="00956C3D" w:rsidR="008F36B2" w:rsidP="3FC49D27" w:rsidRDefault="4CC2CC19" w14:paraId="75ECF6AD" w14:textId="1508AA98">
            <w:r w:rsidRPr="3F7EE571">
              <w:rPr>
                <w:rFonts w:ascii="Calibri" w:hAnsi="Calibri" w:eastAsia="Calibri" w:cs="Calibri"/>
                <w:color w:val="000000" w:themeColor="text1"/>
                <w:sz w:val="20"/>
                <w:szCs w:val="20"/>
              </w:rPr>
              <w:t>A consensus recommends four core compulsory CPD topics—medical emergencies, infection control, the medically compromised patient, and radiation protection—supported by evidence-based dentistry, to ensure dentists maintain key skills and enhance patient safety across Europe. Establishing these core topics and quality-approved CPD programs would promote workforce mobility, standardize care, and support revalidation while balancing effectiveness and cultural differences in training interpretation.</w:t>
            </w:r>
          </w:p>
          <w:p w:rsidRPr="00956C3D" w:rsidR="008F36B2" w:rsidP="3F7EE571" w:rsidRDefault="008F36B2" w14:paraId="26251C04" w14:textId="255ACFE3"/>
        </w:tc>
      </w:tr>
      <w:tr w:rsidRPr="00C7750C" w:rsidR="008F36B2" w:rsidTr="6119DFDC" w14:paraId="5181F797" w14:textId="77777777">
        <w:trPr>
          <w:trHeight w:val="300"/>
        </w:trPr>
        <w:tc>
          <w:tcPr>
            <w:tcW w:w="1275" w:type="dxa"/>
            <w:tcMar/>
          </w:tcPr>
          <w:p w:rsidRPr="00956C3D" w:rsidR="008F36B2" w:rsidP="02875AFB" w:rsidRDefault="008F36B2" w14:paraId="17D0D8E7" w14:textId="3D878871">
            <w:pPr>
              <w:rPr>
                <w:sz w:val="20"/>
                <w:szCs w:val="20"/>
              </w:rPr>
            </w:pPr>
            <w:r w:rsidRPr="49FE81C8">
              <w:rPr>
                <w:sz w:val="20"/>
                <w:szCs w:val="20"/>
              </w:rPr>
              <w:t>Ognyanova et al. (2012, EU Member States)</w:t>
            </w:r>
          </w:p>
        </w:tc>
        <w:tc>
          <w:tcPr>
            <w:tcW w:w="3360" w:type="dxa"/>
            <w:tcMar/>
          </w:tcPr>
          <w:p w:rsidRPr="00956C3D" w:rsidR="008F36B2" w:rsidP="02875AFB" w:rsidRDefault="008F36B2" w14:paraId="4F6D656A" w14:textId="4AAA4BCB">
            <w:pPr>
              <w:rPr>
                <w:sz w:val="20"/>
                <w:szCs w:val="20"/>
                <w:lang w:val="en-US"/>
              </w:rPr>
            </w:pPr>
            <w:r w:rsidRPr="49FE81C8">
              <w:rPr>
                <w:sz w:val="20"/>
                <w:szCs w:val="20"/>
              </w:rPr>
              <w:t xml:space="preserve">To assess the scale of mobility of health professionals from the new to the old EU Member States pre and post 2004 and 2007 EU enlargements. </w:t>
            </w:r>
          </w:p>
        </w:tc>
        <w:tc>
          <w:tcPr>
            <w:tcW w:w="1350" w:type="dxa"/>
            <w:tcMar/>
          </w:tcPr>
          <w:p w:rsidR="008F36B2" w:rsidP="5346BA88" w:rsidRDefault="3CD81518" w14:paraId="5B1CB9C6" w14:textId="7F1E2403">
            <w:pPr>
              <w:rPr>
                <w:sz w:val="20"/>
                <w:szCs w:val="20"/>
                <w:lang w:val="en-US"/>
              </w:rPr>
            </w:pPr>
            <w:r w:rsidRPr="3F7EE571">
              <w:rPr>
                <w:sz w:val="20"/>
                <w:szCs w:val="20"/>
              </w:rPr>
              <w:t>Mixed-methods</w:t>
            </w:r>
          </w:p>
          <w:p w:rsidR="008F36B2" w:rsidP="3FC49D27" w:rsidRDefault="008F36B2" w14:paraId="45FE1F69" w14:textId="1A5DEB1D">
            <w:pPr>
              <w:rPr>
                <w:sz w:val="20"/>
                <w:szCs w:val="20"/>
                <w:lang w:val="en-US"/>
              </w:rPr>
            </w:pPr>
          </w:p>
          <w:p w:rsidRPr="00956C3D" w:rsidR="008F36B2" w:rsidP="02875AFB" w:rsidRDefault="008F36B2" w14:paraId="0EA7BD2F" w14:textId="1F8FAFBA">
            <w:pPr>
              <w:rPr>
                <w:sz w:val="20"/>
                <w:szCs w:val="20"/>
                <w:lang w:val="en-US"/>
              </w:rPr>
            </w:pPr>
          </w:p>
        </w:tc>
        <w:tc>
          <w:tcPr>
            <w:tcW w:w="3720" w:type="dxa"/>
            <w:tcMar/>
          </w:tcPr>
          <w:p w:rsidRPr="00956C3D" w:rsidR="008F36B2" w:rsidP="3FC49D27" w:rsidRDefault="008F36B2" w14:paraId="0DE5794E" w14:textId="177CEBEB">
            <w:pPr>
              <w:rPr>
                <w:sz w:val="20"/>
                <w:szCs w:val="20"/>
                <w:lang w:val="en-US"/>
              </w:rPr>
            </w:pPr>
            <w:r w:rsidRPr="49FE81C8">
              <w:rPr>
                <w:sz w:val="20"/>
                <w:szCs w:val="20"/>
              </w:rPr>
              <w:t xml:space="preserve">Secondary data collection (Aug 2009 – Feb 2010) and in-depth case studies for selected countries. </w:t>
            </w:r>
          </w:p>
          <w:p w:rsidRPr="00956C3D" w:rsidR="008F36B2" w:rsidP="3FC49D27" w:rsidRDefault="008F36B2" w14:paraId="5E437643" w14:textId="7D2482EE">
            <w:pPr>
              <w:rPr>
                <w:sz w:val="20"/>
                <w:szCs w:val="20"/>
                <w:lang w:val="en-US"/>
              </w:rPr>
            </w:pPr>
          </w:p>
          <w:p w:rsidRPr="00956C3D" w:rsidR="008F36B2" w:rsidP="02875AFB" w:rsidRDefault="008F36B2" w14:paraId="1742883C" w14:textId="74A829F0">
            <w:pPr>
              <w:rPr>
                <w:sz w:val="20"/>
                <w:szCs w:val="20"/>
                <w:lang w:val="en-US"/>
              </w:rPr>
            </w:pPr>
            <w:r w:rsidRPr="49FE81C8">
              <w:rPr>
                <w:sz w:val="20"/>
                <w:szCs w:val="20"/>
              </w:rPr>
              <w:t xml:space="preserve">Registries of national authorities and professional bodies, labour market statistics, census data, work permit data and other relevant sources. Country </w:t>
            </w:r>
            <w:r w:rsidRPr="49FE81C8">
              <w:rPr>
                <w:sz w:val="20"/>
                <w:szCs w:val="20"/>
              </w:rPr>
              <w:lastRenderedPageBreak/>
              <w:t>coverage includes 28 EEA countries plus Norway.</w:t>
            </w:r>
          </w:p>
          <w:p w:rsidR="008F36B2" w:rsidP="3FC49D27" w:rsidRDefault="008F36B2" w14:paraId="3184F8EA" w14:textId="11506AD9">
            <w:pPr>
              <w:rPr>
                <w:sz w:val="20"/>
                <w:szCs w:val="20"/>
                <w:lang w:val="en-US"/>
              </w:rPr>
            </w:pPr>
          </w:p>
          <w:p w:rsidRPr="00956C3D" w:rsidR="008F36B2" w:rsidP="02875AFB" w:rsidRDefault="008F36B2" w14:paraId="00C44103" w14:textId="16B15C14">
            <w:pPr>
              <w:rPr>
                <w:sz w:val="20"/>
                <w:szCs w:val="20"/>
                <w:lang w:val="en-US"/>
              </w:rPr>
            </w:pPr>
            <w:r w:rsidRPr="49FE81C8">
              <w:rPr>
                <w:sz w:val="20"/>
                <w:szCs w:val="20"/>
              </w:rPr>
              <w:t xml:space="preserve">15 EU Member States in-depth country case-study. </w:t>
            </w:r>
          </w:p>
        </w:tc>
        <w:tc>
          <w:tcPr>
            <w:tcW w:w="4365" w:type="dxa"/>
            <w:tcMar/>
          </w:tcPr>
          <w:p w:rsidRPr="00956C3D" w:rsidR="008F36B2" w:rsidP="3FC49D27" w:rsidRDefault="6DBA9E9C" w14:paraId="62E7DAF5" w14:textId="1C589434">
            <w:r w:rsidRPr="3F7EE571">
              <w:rPr>
                <w:rFonts w:ascii="Calibri" w:hAnsi="Calibri" w:eastAsia="Calibri" w:cs="Calibri"/>
                <w:color w:val="000000" w:themeColor="text1"/>
                <w:sz w:val="20"/>
                <w:szCs w:val="20"/>
                <w:lang w:val="en-US"/>
              </w:rPr>
              <w:lastRenderedPageBreak/>
              <w:t xml:space="preserve">Since EU enlargement, the number of health professionals, especially medical doctors and dentists, from EU-12 countries working in EU-15 states has increased, though overall mobility remains moderate and concentrated in regions with staff shortages. Migration is driven by better pay, working conditions, and training opportunities. The free movement poses </w:t>
            </w:r>
            <w:r w:rsidRPr="3F7EE571">
              <w:rPr>
                <w:rFonts w:ascii="Calibri" w:hAnsi="Calibri" w:eastAsia="Calibri" w:cs="Calibri"/>
                <w:color w:val="000000" w:themeColor="text1"/>
                <w:sz w:val="20"/>
                <w:szCs w:val="20"/>
                <w:lang w:val="en-US"/>
              </w:rPr>
              <w:lastRenderedPageBreak/>
              <w:t>challenges, but also benefits through skills exchange, international education, and improved healthcare quality.</w:t>
            </w:r>
          </w:p>
          <w:p w:rsidRPr="00956C3D" w:rsidR="008F36B2" w:rsidP="3F7EE571" w:rsidRDefault="008F36B2" w14:paraId="30FC5B1D" w14:textId="07BF6582"/>
        </w:tc>
      </w:tr>
      <w:tr w:rsidRPr="00C7750C" w:rsidR="008F36B2" w:rsidTr="6119DFDC" w14:paraId="70BB6683" w14:textId="77777777">
        <w:trPr>
          <w:trHeight w:val="300"/>
        </w:trPr>
        <w:tc>
          <w:tcPr>
            <w:tcW w:w="1275" w:type="dxa"/>
            <w:tcMar/>
          </w:tcPr>
          <w:p w:rsidRPr="00956C3D" w:rsidR="008F36B2" w:rsidP="02875AFB" w:rsidRDefault="008F36B2" w14:paraId="4A0F1493" w14:textId="442BB5C3">
            <w:pPr>
              <w:rPr>
                <w:sz w:val="20"/>
                <w:szCs w:val="20"/>
              </w:rPr>
            </w:pPr>
            <w:r w:rsidRPr="49FE81C8">
              <w:rPr>
                <w:sz w:val="20"/>
                <w:szCs w:val="20"/>
              </w:rPr>
              <w:lastRenderedPageBreak/>
              <w:t>Wang et al. (2012, Scotland-United Kingom)</w:t>
            </w:r>
          </w:p>
        </w:tc>
        <w:tc>
          <w:tcPr>
            <w:tcW w:w="3360" w:type="dxa"/>
            <w:tcMar/>
          </w:tcPr>
          <w:p w:rsidRPr="3FC49D27" w:rsidR="008F36B2" w:rsidP="3FC49D27" w:rsidRDefault="008F36B2" w14:paraId="6B3E0736" w14:textId="266BF48C">
            <w:pPr>
              <w:rPr>
                <w:sz w:val="20"/>
                <w:szCs w:val="20"/>
                <w:lang w:val="en-US"/>
              </w:rPr>
            </w:pPr>
            <w:r w:rsidRPr="49FE81C8">
              <w:rPr>
                <w:sz w:val="20"/>
                <w:szCs w:val="20"/>
              </w:rPr>
              <w:t>To examine differences in the amount of treatment provided by UK and non-UK trained dentists in the Scottish National Health Service.</w:t>
            </w:r>
          </w:p>
        </w:tc>
        <w:tc>
          <w:tcPr>
            <w:tcW w:w="1350" w:type="dxa"/>
            <w:tcMar/>
          </w:tcPr>
          <w:p w:rsidRPr="3FC49D27" w:rsidR="008F36B2" w:rsidP="3FC49D27" w:rsidRDefault="3CD81518" w14:paraId="45A79E8C" w14:textId="409DC5B3">
            <w:pPr>
              <w:rPr>
                <w:sz w:val="20"/>
                <w:szCs w:val="20"/>
                <w:lang w:val="en-US"/>
              </w:rPr>
            </w:pPr>
            <w:r w:rsidRPr="3F7EE571">
              <w:rPr>
                <w:sz w:val="20"/>
                <w:szCs w:val="20"/>
              </w:rPr>
              <w:t>Quantitativ</w:t>
            </w:r>
            <w:r w:rsidRPr="3F7EE571" w:rsidR="249764D1">
              <w:rPr>
                <w:sz w:val="20"/>
                <w:szCs w:val="20"/>
              </w:rPr>
              <w:t>e</w:t>
            </w:r>
          </w:p>
        </w:tc>
        <w:tc>
          <w:tcPr>
            <w:tcW w:w="3720" w:type="dxa"/>
            <w:tcMar/>
          </w:tcPr>
          <w:p w:rsidR="008F36B2" w:rsidP="3FC49D27" w:rsidRDefault="008F36B2" w14:paraId="0531E1DC" w14:textId="48A5EE61">
            <w:pPr>
              <w:rPr>
                <w:sz w:val="20"/>
                <w:szCs w:val="20"/>
                <w:lang w:val="en-US"/>
              </w:rPr>
            </w:pPr>
            <w:r w:rsidRPr="49FE81C8">
              <w:rPr>
                <w:sz w:val="20"/>
                <w:szCs w:val="20"/>
              </w:rPr>
              <w:t>Management Information and Dental Accounting System (records all GDS treatments paid for in Scotland).</w:t>
            </w:r>
          </w:p>
          <w:p w:rsidR="008F36B2" w:rsidP="3FC49D27" w:rsidRDefault="008F36B2" w14:paraId="26C5AC30" w14:textId="75CBA4E5">
            <w:pPr>
              <w:rPr>
                <w:sz w:val="20"/>
                <w:szCs w:val="20"/>
                <w:lang w:val="en-US"/>
              </w:rPr>
            </w:pPr>
            <w:r w:rsidRPr="49FE81C8">
              <w:rPr>
                <w:sz w:val="20"/>
                <w:szCs w:val="20"/>
              </w:rPr>
              <w:t xml:space="preserve">Non-UK dentists who began treatment after Jan 2006 until Sep 2008. </w:t>
            </w:r>
          </w:p>
          <w:p w:rsidRPr="3FC49D27" w:rsidR="008F36B2" w:rsidP="3FC49D27" w:rsidRDefault="008F36B2" w14:paraId="4A7A4B7B" w14:textId="4CE86C0C">
            <w:pPr>
              <w:rPr>
                <w:sz w:val="20"/>
                <w:szCs w:val="20"/>
                <w:lang w:val="en-US"/>
              </w:rPr>
            </w:pPr>
            <w:r w:rsidRPr="49FE81C8">
              <w:rPr>
                <w:sz w:val="20"/>
                <w:szCs w:val="20"/>
              </w:rPr>
              <w:t>UK-trained dentists who completed VT in 2006.</w:t>
            </w:r>
          </w:p>
        </w:tc>
        <w:tc>
          <w:tcPr>
            <w:tcW w:w="4365" w:type="dxa"/>
            <w:tcMar/>
          </w:tcPr>
          <w:p w:rsidRPr="00956C3D" w:rsidR="008F36B2" w:rsidP="02875AFB" w:rsidRDefault="45C3C97E" w14:paraId="1343DDCD" w14:textId="5C2B13F3">
            <w:r w:rsidRPr="3F7EE571">
              <w:rPr>
                <w:rFonts w:ascii="Calibri" w:hAnsi="Calibri" w:eastAsia="Calibri" w:cs="Calibri"/>
                <w:color w:val="000000" w:themeColor="text1"/>
                <w:sz w:val="20"/>
                <w:szCs w:val="20"/>
              </w:rPr>
              <w:t>Non-UK trained dentists initially provide more treatment than UK-trained dentists, particularly for prosthetics and male patients, but their practice levels converge after about two years, with overall differences being modest and transitory. They also tend to work in more deprived areas, highlighting variations influenced by training background, practice experience, and patient demographics.</w:t>
            </w:r>
          </w:p>
          <w:p w:rsidRPr="00956C3D" w:rsidR="008F36B2" w:rsidP="3F7EE571" w:rsidRDefault="008F36B2" w14:paraId="50AE99BB" w14:textId="449FAF44"/>
        </w:tc>
      </w:tr>
      <w:tr w:rsidRPr="00C7750C" w:rsidR="008F36B2" w:rsidTr="6119DFDC" w14:paraId="068E7432" w14:textId="77777777">
        <w:trPr>
          <w:trHeight w:val="300"/>
        </w:trPr>
        <w:tc>
          <w:tcPr>
            <w:tcW w:w="1275" w:type="dxa"/>
            <w:tcMar/>
          </w:tcPr>
          <w:p w:rsidRPr="009A4BFD" w:rsidR="008F36B2" w:rsidP="02875AFB" w:rsidRDefault="008F36B2" w14:paraId="09AF18BE" w14:textId="4A09261B">
            <w:pPr>
              <w:rPr>
                <w:sz w:val="20"/>
                <w:szCs w:val="20"/>
                <w:lang w:val="en-US"/>
              </w:rPr>
            </w:pPr>
            <w:r w:rsidRPr="49FE81C8">
              <w:rPr>
                <w:sz w:val="20"/>
                <w:szCs w:val="20"/>
              </w:rPr>
              <w:t>Patel et al. (2011, United Kingdom)</w:t>
            </w:r>
          </w:p>
        </w:tc>
        <w:tc>
          <w:tcPr>
            <w:tcW w:w="3360" w:type="dxa"/>
            <w:tcMar/>
          </w:tcPr>
          <w:p w:rsidRPr="004D3EBD" w:rsidR="008F36B2" w:rsidP="3FC49D27" w:rsidRDefault="008F36B2" w14:paraId="0B893EBA" w14:textId="63B2B1C1">
            <w:pPr>
              <w:rPr>
                <w:sz w:val="20"/>
                <w:szCs w:val="20"/>
                <w:lang w:val="en-US"/>
              </w:rPr>
            </w:pPr>
            <w:r w:rsidRPr="49FE81C8">
              <w:rPr>
                <w:sz w:val="20"/>
                <w:szCs w:val="20"/>
              </w:rPr>
              <w:t xml:space="preserve">To explore the number of non-UK EEA qualified dentists by member state and year of first GDC registration. </w:t>
            </w:r>
          </w:p>
          <w:p w:rsidRPr="004D3EBD" w:rsidR="008F36B2" w:rsidP="004D3EBD" w:rsidRDefault="008F36B2" w14:paraId="4BF794DA" w14:textId="399D725F">
            <w:pPr>
              <w:rPr>
                <w:sz w:val="20"/>
                <w:szCs w:val="20"/>
                <w:lang w:val="en-US"/>
              </w:rPr>
            </w:pPr>
            <w:r w:rsidRPr="49FE81C8">
              <w:rPr>
                <w:sz w:val="20"/>
                <w:szCs w:val="20"/>
              </w:rPr>
              <w:t xml:space="preserve">To review systems for the provision of oral healthcare in the non-UK EEA member states with the highest numbers of GDC registrants and identify differences in practice. </w:t>
            </w:r>
          </w:p>
        </w:tc>
        <w:tc>
          <w:tcPr>
            <w:tcW w:w="1350" w:type="dxa"/>
            <w:tcMar/>
          </w:tcPr>
          <w:p w:rsidRPr="00956C3D" w:rsidR="008F36B2" w:rsidP="287CBB0C" w:rsidRDefault="3CD81518" w14:paraId="7EF683CE" w14:textId="1093E499">
            <w:pPr>
              <w:rPr>
                <w:sz w:val="20"/>
                <w:szCs w:val="20"/>
                <w:lang w:val="en-US"/>
              </w:rPr>
            </w:pPr>
            <w:r w:rsidRPr="3F7EE571">
              <w:rPr>
                <w:sz w:val="20"/>
                <w:szCs w:val="20"/>
              </w:rPr>
              <w:t>Mixed-methods</w:t>
            </w:r>
          </w:p>
        </w:tc>
        <w:tc>
          <w:tcPr>
            <w:tcW w:w="3720" w:type="dxa"/>
            <w:tcMar/>
          </w:tcPr>
          <w:p w:rsidR="008F36B2" w:rsidP="3FC49D27" w:rsidRDefault="008F36B2" w14:paraId="082A8408" w14:textId="54B13508">
            <w:pPr>
              <w:rPr>
                <w:sz w:val="20"/>
                <w:szCs w:val="20"/>
                <w:lang w:val="en-US"/>
              </w:rPr>
            </w:pPr>
            <w:r w:rsidRPr="49FE81C8">
              <w:rPr>
                <w:sz w:val="20"/>
                <w:szCs w:val="20"/>
              </w:rPr>
              <w:t>GDC data on non-UK EEA qualified dentists who had registered in 2007, 2008 and 2009 (2010 except result section).</w:t>
            </w:r>
          </w:p>
          <w:p w:rsidR="008F36B2" w:rsidP="3FC49D27" w:rsidRDefault="008F36B2" w14:paraId="3CAC6C72" w14:textId="0E1543AA">
            <w:pPr>
              <w:rPr>
                <w:sz w:val="20"/>
                <w:szCs w:val="20"/>
                <w:lang w:val="en-US"/>
              </w:rPr>
            </w:pPr>
          </w:p>
          <w:p w:rsidRPr="00956C3D" w:rsidR="008F36B2" w:rsidP="02875AFB" w:rsidRDefault="008F36B2" w14:paraId="1690366B" w14:textId="448E90E9">
            <w:pPr>
              <w:rPr>
                <w:sz w:val="20"/>
                <w:szCs w:val="20"/>
                <w:lang w:val="en-US"/>
              </w:rPr>
            </w:pPr>
          </w:p>
          <w:p w:rsidRPr="00956C3D" w:rsidR="008F36B2" w:rsidP="02875AFB" w:rsidRDefault="008F36B2" w14:paraId="158AFC1B" w14:textId="6E558540">
            <w:pPr>
              <w:rPr>
                <w:sz w:val="20"/>
                <w:szCs w:val="20"/>
                <w:lang w:val="en-US"/>
              </w:rPr>
            </w:pPr>
            <w:r w:rsidRPr="49FE81C8">
              <w:rPr>
                <w:sz w:val="20"/>
                <w:szCs w:val="20"/>
              </w:rPr>
              <w:t>Literature review (all available literature, including unpublished grey literature).</w:t>
            </w:r>
          </w:p>
          <w:p w:rsidRPr="00956C3D" w:rsidR="008F36B2" w:rsidP="02875AFB" w:rsidRDefault="008F36B2" w14:paraId="72C57977" w14:textId="4E7E91FB">
            <w:pPr>
              <w:rPr>
                <w:sz w:val="20"/>
                <w:szCs w:val="20"/>
                <w:lang w:val="en-US"/>
              </w:rPr>
            </w:pPr>
          </w:p>
          <w:p w:rsidRPr="00956C3D" w:rsidR="008F36B2" w:rsidP="3FC49D27" w:rsidRDefault="008F36B2" w14:paraId="34AF3606" w14:textId="4AFE24B6">
            <w:pPr>
              <w:rPr>
                <w:sz w:val="20"/>
                <w:szCs w:val="20"/>
                <w:lang w:val="en-US"/>
              </w:rPr>
            </w:pPr>
            <w:r w:rsidRPr="49FE81C8">
              <w:rPr>
                <w:sz w:val="20"/>
                <w:szCs w:val="20"/>
              </w:rPr>
              <w:t>Interviews with/consultation of representatives of national dental associations, European Chief Dental Officers and other stakeholders.</w:t>
            </w:r>
          </w:p>
          <w:p w:rsidRPr="00956C3D" w:rsidR="008F36B2" w:rsidP="3FC49D27" w:rsidRDefault="008F36B2" w14:paraId="4F16B5B0" w14:textId="348366E6">
            <w:pPr>
              <w:rPr>
                <w:sz w:val="20"/>
                <w:szCs w:val="20"/>
                <w:lang w:val="en-US"/>
              </w:rPr>
            </w:pPr>
          </w:p>
          <w:p w:rsidRPr="009A4BFD" w:rsidR="008F36B2" w:rsidP="02875AFB" w:rsidRDefault="008F36B2" w14:paraId="1A66CDAB" w14:textId="030018E3">
            <w:pPr>
              <w:rPr>
                <w:lang w:val="en-US"/>
              </w:rPr>
            </w:pPr>
            <w:r w:rsidRPr="49FE81C8">
              <w:rPr>
                <w:rFonts w:ascii="Calibri" w:hAnsi="Calibri" w:eastAsia="Calibri" w:cs="Calibri"/>
                <w:sz w:val="19"/>
                <w:szCs w:val="19"/>
              </w:rPr>
              <w:t>Part of wider project: National Clinical Assessment Service (NCAS)</w:t>
            </w:r>
          </w:p>
        </w:tc>
        <w:tc>
          <w:tcPr>
            <w:tcW w:w="4365" w:type="dxa"/>
            <w:tcMar/>
          </w:tcPr>
          <w:p w:rsidR="0B42839E" w:rsidRDefault="0B42839E" w14:paraId="78AA4746" w14:textId="142444C6">
            <w:r w:rsidRPr="3F7EE571">
              <w:rPr>
                <w:rFonts w:ascii="Calibri" w:hAnsi="Calibri" w:eastAsia="Calibri" w:cs="Calibri"/>
                <w:color w:val="000000" w:themeColor="text1"/>
                <w:sz w:val="20"/>
                <w:szCs w:val="20"/>
              </w:rPr>
              <w:t>The number of non-UK qualified dentists, particularly from the EEA, has risen sharply in the UK, but wide variations in undergraduate training and lack of mandatory foundation training have led to gaps in clinical experience, understanding of UK dental practice, and awareness of concepts like clinical governance. Enhanced induction and training programs aligned with a competency framework are needed to support EEA dentists in providing safe, effective care and reduce potential patient complaints.</w:t>
            </w:r>
          </w:p>
          <w:p w:rsidR="3F7EE571" w:rsidP="3F7EE571" w:rsidRDefault="3F7EE571" w14:paraId="69361196" w14:textId="5EA03E17">
            <w:pPr>
              <w:spacing w:after="160" w:line="259" w:lineRule="auto"/>
            </w:pPr>
          </w:p>
          <w:p w:rsidRPr="00956C3D" w:rsidR="008F36B2" w:rsidP="02875AFB" w:rsidRDefault="008F36B2" w14:paraId="5FF991BC" w14:textId="4A16CD02">
            <w:pPr>
              <w:spacing w:after="160" w:line="259" w:lineRule="auto"/>
              <w:rPr>
                <w:rFonts w:ascii="Calibri" w:hAnsi="Calibri" w:eastAsia="Calibri" w:cs="Calibri"/>
                <w:color w:val="000000" w:themeColor="text1"/>
                <w:sz w:val="20"/>
                <w:szCs w:val="20"/>
                <w:lang w:val="en-US"/>
              </w:rPr>
            </w:pPr>
          </w:p>
          <w:p w:rsidRPr="00956C3D" w:rsidR="008F36B2" w:rsidP="02875AFB" w:rsidRDefault="008F36B2" w14:paraId="3199E37E" w14:textId="35197368">
            <w:pPr>
              <w:rPr>
                <w:rFonts w:ascii="Calibri" w:hAnsi="Calibri" w:eastAsia="Calibri" w:cs="Calibri"/>
                <w:sz w:val="20"/>
                <w:szCs w:val="20"/>
                <w:lang w:val="en-US"/>
              </w:rPr>
            </w:pPr>
          </w:p>
        </w:tc>
      </w:tr>
      <w:tr w:rsidRPr="00C7750C" w:rsidR="005E4C1A" w:rsidTr="6119DFDC" w14:paraId="064639C4" w14:textId="77777777">
        <w:trPr>
          <w:trHeight w:val="300"/>
        </w:trPr>
        <w:tc>
          <w:tcPr>
            <w:tcW w:w="1275" w:type="dxa"/>
            <w:tcMar/>
          </w:tcPr>
          <w:p w:rsidRPr="00956C3D" w:rsidR="005E4C1A" w:rsidP="005E4C1A" w:rsidRDefault="005E4C1A" w14:paraId="79DDB90E" w14:textId="2DDBF07A">
            <w:pPr>
              <w:rPr>
                <w:sz w:val="20"/>
                <w:szCs w:val="20"/>
              </w:rPr>
            </w:pPr>
            <w:r w:rsidRPr="49FE81C8">
              <w:rPr>
                <w:sz w:val="20"/>
                <w:szCs w:val="20"/>
              </w:rPr>
              <w:t>Patel et al. (20</w:t>
            </w:r>
            <w:r>
              <w:rPr>
                <w:sz w:val="20"/>
                <w:szCs w:val="20"/>
              </w:rPr>
              <w:t>1</w:t>
            </w:r>
            <w:r w:rsidRPr="49FE81C8">
              <w:rPr>
                <w:sz w:val="20"/>
                <w:szCs w:val="20"/>
              </w:rPr>
              <w:t>1, United Kingdom based)</w:t>
            </w:r>
          </w:p>
        </w:tc>
        <w:tc>
          <w:tcPr>
            <w:tcW w:w="3360" w:type="dxa"/>
            <w:tcMar/>
          </w:tcPr>
          <w:p w:rsidRPr="00956C3D" w:rsidR="005E4C1A" w:rsidP="005E4C1A" w:rsidRDefault="005E4C1A" w14:paraId="05FD4431" w14:textId="77777777">
            <w:pPr>
              <w:autoSpaceDE w:val="0"/>
              <w:autoSpaceDN w:val="0"/>
              <w:adjustRightInd w:val="0"/>
              <w:rPr>
                <w:kern w:val="0"/>
                <w:sz w:val="20"/>
                <w:szCs w:val="20"/>
                <w:lang w:val="en-US"/>
              </w:rPr>
            </w:pPr>
            <w:r w:rsidRPr="71C92754">
              <w:rPr>
                <w:kern w:val="0"/>
                <w:sz w:val="20"/>
                <w:szCs w:val="20"/>
                <w:lang w:val="en-US"/>
              </w:rPr>
              <w:t>To perform a literature review of the factors that impact upon dentists’ performance, to identify gaps</w:t>
            </w:r>
          </w:p>
          <w:p w:rsidRPr="009A4BFD" w:rsidR="005E4C1A" w:rsidP="005E4C1A" w:rsidRDefault="005E4C1A" w14:paraId="44DD6AAF" w14:textId="602DBF20">
            <w:pPr>
              <w:rPr>
                <w:sz w:val="20"/>
                <w:szCs w:val="20"/>
                <w:highlight w:val="magenta"/>
                <w:lang w:val="en-US"/>
              </w:rPr>
            </w:pPr>
            <w:r w:rsidRPr="71C92754">
              <w:rPr>
                <w:kern w:val="0"/>
                <w:sz w:val="20"/>
                <w:szCs w:val="20"/>
                <w:lang w:val="en-US"/>
              </w:rPr>
              <w:t>in the literature, and suggest areas of further research.</w:t>
            </w:r>
          </w:p>
        </w:tc>
        <w:tc>
          <w:tcPr>
            <w:tcW w:w="1350" w:type="dxa"/>
            <w:tcMar/>
          </w:tcPr>
          <w:p w:rsidRPr="00956C3D" w:rsidR="005E4C1A" w:rsidP="6119DFDC" w:rsidRDefault="005E4C1A" w14:paraId="030AA94C" w14:textId="51D07B4B">
            <w:pPr>
              <w:pStyle w:val="Normal"/>
              <w:suppressLineNumbers w:val="0"/>
              <w:bidi w:val="0"/>
              <w:spacing w:before="0" w:beforeAutospacing="off" w:after="0" w:afterAutospacing="off" w:line="240" w:lineRule="auto"/>
              <w:ind w:left="0" w:right="0"/>
              <w:jc w:val="left"/>
            </w:pPr>
            <w:r w:rsidRPr="6119DFDC" w:rsidR="38AC13DE">
              <w:rPr>
                <w:sz w:val="20"/>
                <w:szCs w:val="20"/>
              </w:rPr>
              <w:t>Evidence synthesis</w:t>
            </w:r>
          </w:p>
        </w:tc>
        <w:tc>
          <w:tcPr>
            <w:tcW w:w="3720" w:type="dxa"/>
            <w:tcMar/>
          </w:tcPr>
          <w:p w:rsidRPr="00956C3D" w:rsidR="005E4C1A" w:rsidP="005E4C1A" w:rsidRDefault="005E4C1A" w14:paraId="34C159ED" w14:textId="77777777">
            <w:pPr>
              <w:rPr>
                <w:sz w:val="20"/>
                <w:szCs w:val="20"/>
                <w:lang w:val="en-US"/>
              </w:rPr>
            </w:pPr>
            <w:r w:rsidRPr="49FE81C8">
              <w:rPr>
                <w:sz w:val="20"/>
                <w:szCs w:val="20"/>
              </w:rPr>
              <w:t>PubMed Medline up to 30</w:t>
            </w:r>
            <w:r w:rsidRPr="49FE81C8">
              <w:rPr>
                <w:sz w:val="20"/>
                <w:szCs w:val="20"/>
                <w:vertAlign w:val="superscript"/>
              </w:rPr>
              <w:t>th</w:t>
            </w:r>
            <w:r w:rsidRPr="49FE81C8">
              <w:rPr>
                <w:sz w:val="20"/>
                <w:szCs w:val="20"/>
              </w:rPr>
              <w:t xml:space="preserve"> June 2010, references cited in the papers, government and other reports, grey literature. </w:t>
            </w:r>
          </w:p>
          <w:p w:rsidRPr="00956C3D" w:rsidR="005E4C1A" w:rsidP="005E4C1A" w:rsidRDefault="005E4C1A" w14:paraId="78A3A7EB" w14:textId="77777777">
            <w:pPr>
              <w:rPr>
                <w:sz w:val="20"/>
                <w:szCs w:val="20"/>
                <w:lang w:val="en-US"/>
              </w:rPr>
            </w:pPr>
          </w:p>
          <w:p w:rsidRPr="00956C3D" w:rsidR="005E4C1A" w:rsidP="005E4C1A" w:rsidRDefault="005E4C1A" w14:paraId="584F12FC" w14:textId="396DE5DF">
            <w:pPr>
              <w:rPr>
                <w:sz w:val="20"/>
                <w:szCs w:val="20"/>
                <w:lang w:val="en-US"/>
              </w:rPr>
            </w:pPr>
            <w:r w:rsidRPr="49FE81C8">
              <w:rPr>
                <w:sz w:val="20"/>
                <w:szCs w:val="20"/>
              </w:rPr>
              <w:t xml:space="preserve">Directors, senior managers and clinicians from 12 UK organisations (GDC, British Dental Association’s Sick Dentists Scheme, </w:t>
            </w:r>
            <w:r w:rsidRPr="49FE81C8">
              <w:rPr>
                <w:sz w:val="20"/>
                <w:szCs w:val="20"/>
              </w:rPr>
              <w:lastRenderedPageBreak/>
              <w:t>dental indemnity insurance providers, dental health insurers, other groups)</w:t>
            </w:r>
          </w:p>
        </w:tc>
        <w:tc>
          <w:tcPr>
            <w:tcW w:w="4365" w:type="dxa"/>
            <w:tcMar/>
          </w:tcPr>
          <w:p w:rsidR="005E4C1A" w:rsidP="005E4C1A" w:rsidRDefault="005E4C1A" w14:paraId="48186D75" w14:textId="77777777">
            <w:r w:rsidRPr="3F7EE571">
              <w:rPr>
                <w:rFonts w:ascii="Calibri" w:hAnsi="Calibri" w:eastAsia="Calibri" w:cs="Calibri"/>
                <w:color w:val="000000" w:themeColor="text1"/>
                <w:sz w:val="20"/>
                <w:szCs w:val="20"/>
                <w:lang w:val="en-US"/>
              </w:rPr>
              <w:lastRenderedPageBreak/>
              <w:t xml:space="preserve">Dental practitioner performance is influenced by a complex mix of factors, including demographics (gender, ethnicity, overseas training), health, workload, work-life balance, communication skills, personality, values, and professional isolation. Education, lifelong learning, CPD, postgraduate training, and participation in professional networks </w:t>
            </w:r>
            <w:r w:rsidRPr="3F7EE571">
              <w:rPr>
                <w:rFonts w:ascii="Calibri" w:hAnsi="Calibri" w:eastAsia="Calibri" w:cs="Calibri"/>
                <w:color w:val="000000" w:themeColor="text1"/>
                <w:sz w:val="20"/>
                <w:szCs w:val="20"/>
                <w:lang w:val="en-US"/>
              </w:rPr>
              <w:lastRenderedPageBreak/>
              <w:t>are crucial for maintaining and enhancing skills, adapting to change, and preventing poor performance.</w:t>
            </w:r>
          </w:p>
          <w:p w:rsidR="005E4C1A" w:rsidP="005E4C1A" w:rsidRDefault="005E4C1A" w14:paraId="6C2C0C59" w14:textId="77777777"/>
          <w:p w:rsidRPr="00956C3D" w:rsidR="005E4C1A" w:rsidP="005E4C1A" w:rsidRDefault="005E4C1A" w14:paraId="5FB91C97" w14:textId="5A111FFB">
            <w:pPr>
              <w:rPr>
                <w:rFonts w:ascii="Calibri" w:hAnsi="Calibri" w:cs="Calibri"/>
                <w:color w:val="000000" w:themeColor="text1"/>
                <w:sz w:val="20"/>
                <w:szCs w:val="20"/>
                <w:lang w:val="en-US"/>
              </w:rPr>
            </w:pPr>
          </w:p>
        </w:tc>
      </w:tr>
      <w:tr w:rsidRPr="00C7750C" w:rsidR="005E4C1A" w:rsidTr="6119DFDC" w14:paraId="35F84366" w14:textId="77777777">
        <w:trPr>
          <w:trHeight w:val="300"/>
        </w:trPr>
        <w:tc>
          <w:tcPr>
            <w:tcW w:w="1275" w:type="dxa"/>
            <w:tcMar/>
          </w:tcPr>
          <w:p w:rsidRPr="00956C3D" w:rsidR="005E4C1A" w:rsidP="005E4C1A" w:rsidRDefault="005E4C1A" w14:paraId="1AD158DF" w14:textId="4B9E345D">
            <w:pPr>
              <w:rPr>
                <w:color w:val="000000" w:themeColor="text1"/>
                <w:sz w:val="20"/>
                <w:szCs w:val="20"/>
                <w:lang w:val="en-US"/>
              </w:rPr>
            </w:pPr>
            <w:r w:rsidRPr="49FE81C8">
              <w:rPr>
                <w:color w:val="000000" w:themeColor="text1"/>
                <w:sz w:val="20"/>
                <w:szCs w:val="20"/>
              </w:rPr>
              <w:lastRenderedPageBreak/>
              <w:t>Wismar et al. (2011, Europe)</w:t>
            </w:r>
          </w:p>
        </w:tc>
        <w:tc>
          <w:tcPr>
            <w:tcW w:w="3360" w:type="dxa"/>
            <w:tcMar/>
          </w:tcPr>
          <w:p w:rsidRPr="00956C3D" w:rsidR="005E4C1A" w:rsidP="005E4C1A" w:rsidRDefault="005E4C1A" w14:paraId="25F48C1C" w14:textId="7153549B">
            <w:pPr>
              <w:autoSpaceDE w:val="0"/>
              <w:autoSpaceDN w:val="0"/>
              <w:adjustRightInd w:val="0"/>
              <w:rPr>
                <w:rFonts w:cs="Plantin"/>
                <w:color w:val="292526"/>
                <w:kern w:val="0"/>
                <w:sz w:val="20"/>
                <w:szCs w:val="20"/>
                <w:lang w:val="en-US"/>
              </w:rPr>
            </w:pPr>
            <w:r w:rsidRPr="00956C3D">
              <w:rPr>
                <w:rFonts w:cs="Plantin"/>
                <w:color w:val="292526"/>
                <w:kern w:val="0"/>
                <w:sz w:val="20"/>
                <w:szCs w:val="20"/>
                <w:lang w:val="en-US"/>
              </w:rPr>
              <w:t xml:space="preserve">This volume aims to enhance knowledge on the nature and extent of health professional mobility in the EU, assess its impact on country health systems and outline some major policy strategies to address mobility. The book seeks to provide not only a rigorous and systematic analysis of the mobility patterns in Europe but also a series of evidence-based and policy-relevant lessons that contribute to the policy debate in the EU. </w:t>
            </w:r>
          </w:p>
        </w:tc>
        <w:tc>
          <w:tcPr>
            <w:tcW w:w="1350" w:type="dxa"/>
            <w:tcMar/>
          </w:tcPr>
          <w:p w:rsidRPr="00956C3D" w:rsidR="005E4C1A" w:rsidP="005E4C1A" w:rsidRDefault="005E4C1A" w14:paraId="31AFE670" w14:textId="38E8EA73">
            <w:pPr>
              <w:rPr>
                <w:sz w:val="20"/>
                <w:szCs w:val="20"/>
                <w:lang w:val="en-US"/>
              </w:rPr>
            </w:pPr>
            <w:r w:rsidRPr="3F7EE571">
              <w:rPr>
                <w:sz w:val="20"/>
                <w:szCs w:val="20"/>
              </w:rPr>
              <w:t>Mixed-methods</w:t>
            </w:r>
          </w:p>
        </w:tc>
        <w:tc>
          <w:tcPr>
            <w:tcW w:w="3720" w:type="dxa"/>
            <w:tcMar/>
          </w:tcPr>
          <w:p w:rsidRPr="00956C3D" w:rsidR="005E4C1A" w:rsidP="005E4C1A" w:rsidRDefault="005E4C1A" w14:paraId="0598B28A" w14:textId="2653D3F5">
            <w:pPr>
              <w:rPr>
                <w:rFonts w:ascii="Calibri" w:hAnsi="Calibri" w:cs="Calibri"/>
                <w:sz w:val="20"/>
                <w:szCs w:val="20"/>
                <w:lang w:val="en-US"/>
              </w:rPr>
            </w:pPr>
            <w:r w:rsidRPr="49FE81C8">
              <w:rPr>
                <w:rFonts w:ascii="Calibri" w:hAnsi="Calibri" w:cs="Calibri"/>
                <w:sz w:val="20"/>
                <w:szCs w:val="20"/>
              </w:rPr>
              <w:t xml:space="preserve">Country case studies by case study authors. Literature reviews (International and national publications, different databases, World Wide Web. Secondary data) (every year from 2000). </w:t>
            </w:r>
          </w:p>
          <w:p w:rsidRPr="00956C3D" w:rsidR="005E4C1A" w:rsidP="005E4C1A" w:rsidRDefault="005E4C1A" w14:paraId="44282F7A" w14:textId="4BAF0193">
            <w:pPr>
              <w:rPr>
                <w:rFonts w:ascii="Calibri" w:hAnsi="Calibri" w:cs="Calibri"/>
                <w:sz w:val="20"/>
                <w:szCs w:val="20"/>
                <w:lang w:val="en-US"/>
              </w:rPr>
            </w:pPr>
            <w:r w:rsidRPr="49FE81C8">
              <w:rPr>
                <w:rFonts w:ascii="Calibri" w:hAnsi="Calibri" w:cs="Calibri"/>
                <w:sz w:val="20"/>
                <w:szCs w:val="20"/>
              </w:rPr>
              <w:t xml:space="preserve">Interviews with individual mobile health professionals and with experts. </w:t>
            </w:r>
          </w:p>
        </w:tc>
        <w:tc>
          <w:tcPr>
            <w:tcW w:w="4365" w:type="dxa"/>
            <w:tcMar/>
          </w:tcPr>
          <w:p w:rsidRPr="00956C3D" w:rsidR="005E4C1A" w:rsidP="005E4C1A" w:rsidRDefault="005E4C1A" w14:paraId="3EE155AE" w14:textId="5DF91C3D">
            <w:pPr>
              <w:autoSpaceDE w:val="0"/>
              <w:autoSpaceDN w:val="0"/>
              <w:adjustRightInd w:val="0"/>
            </w:pPr>
            <w:r w:rsidRPr="3F7EE571">
              <w:rPr>
                <w:rFonts w:ascii="Calibri" w:hAnsi="Calibri" w:eastAsia="Calibri" w:cs="Calibri"/>
                <w:color w:val="000000" w:themeColor="text1"/>
                <w:sz w:val="20"/>
                <w:szCs w:val="20"/>
                <w:lang w:val="en-US"/>
              </w:rPr>
              <w:t>Health professional mobility in Europe varies widely and affects health system performance indirectly by altering workforce composition, skill mix, and geographic distribution, with motivations including income, working conditions, and career advancement. While it can alleviate or worsen workforce shortages, impacts on quality of care and patient safety depend on integration, language proficiency, training equivalence, and support for foreign professionals, highlighting the need for continuous workforce planning.</w:t>
            </w:r>
          </w:p>
          <w:p w:rsidRPr="00956C3D" w:rsidR="005E4C1A" w:rsidP="005E4C1A" w:rsidRDefault="005E4C1A" w14:paraId="54B23E86" w14:textId="4C4DF766">
            <w:pPr>
              <w:autoSpaceDE w:val="0"/>
              <w:autoSpaceDN w:val="0"/>
              <w:adjustRightInd w:val="0"/>
            </w:pPr>
          </w:p>
        </w:tc>
      </w:tr>
      <w:tr w:rsidRPr="00C7750C" w:rsidR="00CB29C4" w:rsidTr="6119DFDC" w14:paraId="0A5A8281" w14:textId="77777777">
        <w:trPr>
          <w:trHeight w:val="300"/>
        </w:trPr>
        <w:tc>
          <w:tcPr>
            <w:tcW w:w="1275" w:type="dxa"/>
            <w:tcMar/>
          </w:tcPr>
          <w:p w:rsidRPr="49FE81C8" w:rsidR="00CB29C4" w:rsidP="009021DF" w:rsidRDefault="00CB29C4" w14:paraId="08B0DA93" w14:textId="1CA4EE5D">
            <w:pPr>
              <w:rPr>
                <w:sz w:val="20"/>
                <w:szCs w:val="20"/>
              </w:rPr>
            </w:pPr>
            <w:r>
              <w:rPr>
                <w:sz w:val="20"/>
                <w:szCs w:val="20"/>
              </w:rPr>
              <w:t>Janulyte</w:t>
            </w:r>
            <w:r w:rsidR="002C124B">
              <w:rPr>
                <w:sz w:val="20"/>
                <w:szCs w:val="20"/>
              </w:rPr>
              <w:t xml:space="preserve"> et al. (2011, Lithuania)</w:t>
            </w:r>
          </w:p>
        </w:tc>
        <w:tc>
          <w:tcPr>
            <w:tcW w:w="3360" w:type="dxa"/>
            <w:tcMar/>
          </w:tcPr>
          <w:p w:rsidRPr="49FE81C8" w:rsidR="00CB29C4" w:rsidP="009021DF" w:rsidRDefault="0056074D" w14:paraId="03BDEADC" w14:textId="1F63CEF3">
            <w:pPr>
              <w:autoSpaceDE w:val="0"/>
              <w:autoSpaceDN w:val="0"/>
              <w:adjustRightInd w:val="0"/>
              <w:rPr>
                <w:sz w:val="20"/>
                <w:szCs w:val="20"/>
              </w:rPr>
            </w:pPr>
            <w:r w:rsidRPr="49FE81C8">
              <w:rPr>
                <w:sz w:val="20"/>
                <w:szCs w:val="20"/>
              </w:rPr>
              <w:t>To assess the intentions of general dentists, dental specialists, dental hygienists, assistants and technicians to engage in professional practice outside of Lithuania after graduation in 2010.</w:t>
            </w:r>
          </w:p>
        </w:tc>
        <w:tc>
          <w:tcPr>
            <w:tcW w:w="1350" w:type="dxa"/>
            <w:tcMar/>
          </w:tcPr>
          <w:p w:rsidRPr="3F7EE571" w:rsidR="00CB29C4" w:rsidP="009021DF" w:rsidRDefault="00615934" w14:paraId="27E7A8E7" w14:textId="00E17434">
            <w:pPr>
              <w:rPr>
                <w:sz w:val="20"/>
                <w:szCs w:val="20"/>
              </w:rPr>
            </w:pPr>
            <w:r>
              <w:rPr>
                <w:sz w:val="20"/>
                <w:szCs w:val="20"/>
              </w:rPr>
              <w:t>Quantitative</w:t>
            </w:r>
          </w:p>
        </w:tc>
        <w:tc>
          <w:tcPr>
            <w:tcW w:w="3720" w:type="dxa"/>
            <w:tcMar/>
          </w:tcPr>
          <w:p w:rsidR="00CB29C4" w:rsidP="009021DF" w:rsidRDefault="00EF11A3" w14:paraId="047C4BFC" w14:textId="32A605AA">
            <w:pPr>
              <w:rPr>
                <w:sz w:val="20"/>
                <w:szCs w:val="20"/>
              </w:rPr>
            </w:pPr>
            <w:r>
              <w:rPr>
                <w:sz w:val="20"/>
                <w:szCs w:val="20"/>
              </w:rPr>
              <w:t>Questionnaire survey</w:t>
            </w:r>
            <w:r w:rsidR="00BB1A84">
              <w:rPr>
                <w:sz w:val="20"/>
                <w:szCs w:val="20"/>
              </w:rPr>
              <w:t xml:space="preserve"> among all graduates in Lithuania</w:t>
            </w:r>
            <w:r w:rsidR="0056074D">
              <w:rPr>
                <w:sz w:val="20"/>
                <w:szCs w:val="20"/>
              </w:rPr>
              <w:t xml:space="preserve"> in May and June </w:t>
            </w:r>
            <w:r w:rsidR="00BB1A84">
              <w:rPr>
                <w:sz w:val="20"/>
                <w:szCs w:val="20"/>
              </w:rPr>
              <w:t>2010</w:t>
            </w:r>
            <w:r w:rsidR="00026CCB">
              <w:rPr>
                <w:sz w:val="20"/>
                <w:szCs w:val="20"/>
              </w:rPr>
              <w:t xml:space="preserve"> (N=347).</w:t>
            </w:r>
          </w:p>
          <w:p w:rsidRPr="49FE81C8" w:rsidR="00EC74B3" w:rsidP="009021DF" w:rsidRDefault="00026CCB" w14:paraId="7D477B7C" w14:textId="34D0BC11">
            <w:pPr>
              <w:rPr>
                <w:sz w:val="20"/>
                <w:szCs w:val="20"/>
              </w:rPr>
            </w:pPr>
            <w:r>
              <w:rPr>
                <w:sz w:val="20"/>
                <w:szCs w:val="20"/>
              </w:rPr>
              <w:t xml:space="preserve">287 respondents: </w:t>
            </w:r>
            <w:r w:rsidR="00EC74B3">
              <w:rPr>
                <w:sz w:val="20"/>
                <w:szCs w:val="20"/>
              </w:rPr>
              <w:t>103 general dentists, 22 dental specialists.</w:t>
            </w:r>
          </w:p>
        </w:tc>
        <w:tc>
          <w:tcPr>
            <w:tcW w:w="4365" w:type="dxa"/>
            <w:tcMar/>
          </w:tcPr>
          <w:p w:rsidRPr="00A34F2B" w:rsidR="00CB29C4" w:rsidP="009021DF" w:rsidRDefault="00A34F2B" w14:paraId="3A592E85" w14:textId="333D77FD">
            <w:r w:rsidRPr="3F7EE571">
              <w:rPr>
                <w:rFonts w:ascii="Calibri" w:hAnsi="Calibri" w:eastAsia="Calibri" w:cs="Calibri"/>
                <w:color w:val="000000" w:themeColor="text1"/>
                <w:sz w:val="20"/>
                <w:szCs w:val="20"/>
              </w:rPr>
              <w:t>Lithuania is a major source of migrating dentists, with about 27% of graduates intending to work abroad, motivated by higher salaries, better living and working conditions, and professional growth, while refusing positions below their qualification level. Emigration, compounded by a shortage of dental assistants—especially in remote areas—threatens care quality, highlighting the need for research and coordinated policy responses to safeguard access to oral healthcare.</w:t>
            </w:r>
          </w:p>
        </w:tc>
      </w:tr>
      <w:tr w:rsidRPr="00C7750C" w:rsidR="009021DF" w:rsidTr="6119DFDC" w14:paraId="59FFFC8F" w14:textId="77777777">
        <w:trPr>
          <w:trHeight w:val="300"/>
        </w:trPr>
        <w:tc>
          <w:tcPr>
            <w:tcW w:w="1275" w:type="dxa"/>
            <w:tcMar/>
          </w:tcPr>
          <w:p w:rsidRPr="49FE81C8" w:rsidR="009021DF" w:rsidP="009021DF" w:rsidRDefault="009021DF" w14:paraId="408E82CA" w14:textId="61C78B0E">
            <w:pPr>
              <w:rPr>
                <w:color w:val="000000" w:themeColor="text1"/>
                <w:sz w:val="20"/>
                <w:szCs w:val="20"/>
              </w:rPr>
            </w:pPr>
            <w:r w:rsidRPr="49FE81C8">
              <w:rPr>
                <w:sz w:val="20"/>
                <w:szCs w:val="20"/>
              </w:rPr>
              <w:t>McKenna et al. (20</w:t>
            </w:r>
            <w:r>
              <w:rPr>
                <w:sz w:val="20"/>
                <w:szCs w:val="20"/>
              </w:rPr>
              <w:t>09</w:t>
            </w:r>
            <w:r w:rsidRPr="49FE81C8">
              <w:rPr>
                <w:sz w:val="20"/>
                <w:szCs w:val="20"/>
              </w:rPr>
              <w:t>, Ireland)</w:t>
            </w:r>
          </w:p>
        </w:tc>
        <w:tc>
          <w:tcPr>
            <w:tcW w:w="3360" w:type="dxa"/>
            <w:tcMar/>
          </w:tcPr>
          <w:p w:rsidRPr="00956C3D" w:rsidR="009021DF" w:rsidP="009021DF" w:rsidRDefault="009021DF" w14:paraId="363C539A" w14:textId="68E258C7">
            <w:pPr>
              <w:autoSpaceDE w:val="0"/>
              <w:autoSpaceDN w:val="0"/>
              <w:adjustRightInd w:val="0"/>
              <w:rPr>
                <w:rFonts w:cs="Plantin"/>
                <w:color w:val="292526"/>
                <w:kern w:val="0"/>
                <w:sz w:val="20"/>
                <w:szCs w:val="20"/>
                <w:lang w:val="en-US"/>
              </w:rPr>
            </w:pPr>
            <w:r w:rsidRPr="49FE81C8">
              <w:rPr>
                <w:sz w:val="20"/>
                <w:szCs w:val="20"/>
              </w:rPr>
              <w:t xml:space="preserve">To record the career profiles of recent dental graduates from UCC. To measure the uptake of VT among a sample of Irish dental graduates and map their employment locations. </w:t>
            </w:r>
          </w:p>
        </w:tc>
        <w:tc>
          <w:tcPr>
            <w:tcW w:w="1350" w:type="dxa"/>
            <w:tcMar/>
          </w:tcPr>
          <w:p w:rsidRPr="3F7EE571" w:rsidR="009021DF" w:rsidP="009021DF" w:rsidRDefault="009021DF" w14:paraId="43601B14" w14:textId="408C0F94">
            <w:pPr>
              <w:rPr>
                <w:sz w:val="20"/>
                <w:szCs w:val="20"/>
              </w:rPr>
            </w:pPr>
            <w:r w:rsidRPr="3F7EE571">
              <w:rPr>
                <w:sz w:val="20"/>
                <w:szCs w:val="20"/>
              </w:rPr>
              <w:t>Quantitative</w:t>
            </w:r>
          </w:p>
        </w:tc>
        <w:tc>
          <w:tcPr>
            <w:tcW w:w="3720" w:type="dxa"/>
            <w:tcMar/>
          </w:tcPr>
          <w:p w:rsidRPr="00956C3D" w:rsidR="009021DF" w:rsidP="009021DF" w:rsidRDefault="009021DF" w14:paraId="710554F5" w14:textId="77777777">
            <w:pPr>
              <w:rPr>
                <w:sz w:val="20"/>
                <w:szCs w:val="20"/>
                <w:lang w:val="en-US"/>
              </w:rPr>
            </w:pPr>
            <w:r w:rsidRPr="49FE81C8">
              <w:rPr>
                <w:sz w:val="20"/>
                <w:szCs w:val="20"/>
              </w:rPr>
              <w:t xml:space="preserve">Self-completion questionnaire to recent graduates from UCC. </w:t>
            </w:r>
          </w:p>
          <w:p w:rsidRPr="49FE81C8" w:rsidR="009021DF" w:rsidP="009021DF" w:rsidRDefault="009021DF" w14:paraId="58FBA9D4" w14:textId="74992985">
            <w:pPr>
              <w:rPr>
                <w:rFonts w:ascii="Calibri" w:hAnsi="Calibri" w:cs="Calibri"/>
                <w:sz w:val="20"/>
                <w:szCs w:val="20"/>
              </w:rPr>
            </w:pPr>
            <w:r w:rsidRPr="49FE81C8">
              <w:rPr>
                <w:sz w:val="20"/>
                <w:szCs w:val="20"/>
              </w:rPr>
              <w:t>142 completed (224 distributed).</w:t>
            </w:r>
          </w:p>
        </w:tc>
        <w:tc>
          <w:tcPr>
            <w:tcW w:w="4365" w:type="dxa"/>
            <w:tcMar/>
          </w:tcPr>
          <w:p w:rsidRPr="009021DF" w:rsidR="009021DF" w:rsidP="009021DF" w:rsidRDefault="009021DF" w14:paraId="49AF0281" w14:textId="7C63A48D">
            <w:r w:rsidRPr="3F7EE571">
              <w:rPr>
                <w:rFonts w:ascii="Calibri" w:hAnsi="Calibri" w:eastAsia="Calibri" w:cs="Calibri"/>
                <w:color w:val="000000" w:themeColor="text1"/>
                <w:sz w:val="20"/>
                <w:szCs w:val="20"/>
              </w:rPr>
              <w:t>Since 2004, an increasing proportion of UCC graduates have undertaken 12-month vocational training (VT), often initially moving abroad for experience before returning to Ireland. VT helps young dentists build confidence, gain practical exposure, plan their careers, and meet employer preferences for experienced candidates.</w:t>
            </w:r>
          </w:p>
        </w:tc>
      </w:tr>
      <w:tr w:rsidRPr="00956C3D" w:rsidR="009021DF" w:rsidTr="6119DFDC" w14:paraId="286C06AB" w14:textId="77777777">
        <w:trPr>
          <w:trHeight w:val="300"/>
        </w:trPr>
        <w:tc>
          <w:tcPr>
            <w:tcW w:w="1275" w:type="dxa"/>
            <w:tcMar/>
          </w:tcPr>
          <w:p w:rsidRPr="00956C3D" w:rsidR="009021DF" w:rsidP="009021DF" w:rsidRDefault="009021DF" w14:paraId="4C802991" w14:textId="387718F6">
            <w:pPr>
              <w:rPr>
                <w:sz w:val="20"/>
                <w:szCs w:val="20"/>
                <w:lang w:val="en-US"/>
              </w:rPr>
            </w:pPr>
            <w:r w:rsidRPr="49FE81C8">
              <w:rPr>
                <w:sz w:val="20"/>
                <w:szCs w:val="20"/>
              </w:rPr>
              <w:lastRenderedPageBreak/>
              <w:t>Best et al. (2005, 17 countries in Asia, Australia, Europe (Denmark, England, Latvia, the Netherlands, Norway, Sweden) and North America)</w:t>
            </w:r>
          </w:p>
        </w:tc>
        <w:tc>
          <w:tcPr>
            <w:tcW w:w="3360" w:type="dxa"/>
            <w:tcMar/>
          </w:tcPr>
          <w:p w:rsidRPr="00956C3D" w:rsidR="009021DF" w:rsidP="009021DF" w:rsidRDefault="009021DF" w14:paraId="67F1D4B9" w14:textId="45049378">
            <w:pPr>
              <w:rPr>
                <w:sz w:val="20"/>
                <w:szCs w:val="20"/>
                <w:lang w:val="en-US"/>
              </w:rPr>
            </w:pPr>
            <w:r w:rsidRPr="49FE81C8">
              <w:rPr>
                <w:sz w:val="20"/>
                <w:szCs w:val="20"/>
              </w:rPr>
              <w:t>This paper identifies organisational issues for CPD, including access and funding, participation patterns and the range of different types of CPD provided.</w:t>
            </w:r>
          </w:p>
        </w:tc>
        <w:tc>
          <w:tcPr>
            <w:tcW w:w="1350" w:type="dxa"/>
            <w:tcMar/>
          </w:tcPr>
          <w:p w:rsidRPr="00956C3D" w:rsidR="009021DF" w:rsidP="009021DF" w:rsidRDefault="009021DF" w14:paraId="51C32D01" w14:textId="71D0C892">
            <w:pPr>
              <w:rPr>
                <w:sz w:val="20"/>
                <w:szCs w:val="20"/>
                <w:lang w:val="en-US"/>
              </w:rPr>
            </w:pPr>
            <w:r w:rsidRPr="3F7EE571">
              <w:rPr>
                <w:sz w:val="20"/>
                <w:szCs w:val="20"/>
              </w:rPr>
              <w:t>Quantitative</w:t>
            </w:r>
          </w:p>
          <w:p w:rsidRPr="00956C3D" w:rsidR="009021DF" w:rsidP="009021DF" w:rsidRDefault="009021DF" w14:paraId="437AB53E" w14:textId="72826B86">
            <w:pPr>
              <w:rPr>
                <w:sz w:val="20"/>
                <w:szCs w:val="20"/>
                <w:lang w:val="en-US"/>
              </w:rPr>
            </w:pPr>
          </w:p>
        </w:tc>
        <w:tc>
          <w:tcPr>
            <w:tcW w:w="3720" w:type="dxa"/>
            <w:tcMar/>
          </w:tcPr>
          <w:p w:rsidRPr="00956C3D" w:rsidR="009021DF" w:rsidP="009021DF" w:rsidRDefault="009021DF" w14:paraId="7F4DBEDA" w14:textId="2F1C48DA">
            <w:pPr>
              <w:rPr>
                <w:sz w:val="20"/>
                <w:szCs w:val="20"/>
                <w:lang w:val="en-US"/>
              </w:rPr>
            </w:pPr>
            <w:r w:rsidRPr="49FE81C8">
              <w:rPr>
                <w:sz w:val="20"/>
                <w:szCs w:val="20"/>
              </w:rPr>
              <w:t xml:space="preserve">Questionnaire on CPD (types and availability; mandatory or not; accreditation; needs, demands and uptake; effects on performance; outcomes for patients). </w:t>
            </w:r>
          </w:p>
          <w:p w:rsidRPr="00956C3D" w:rsidR="009021DF" w:rsidP="009021DF" w:rsidRDefault="009021DF" w14:paraId="1992DC9A" w14:textId="78694B10">
            <w:pPr>
              <w:rPr>
                <w:sz w:val="20"/>
                <w:szCs w:val="20"/>
                <w:lang w:val="en-US"/>
              </w:rPr>
            </w:pPr>
          </w:p>
          <w:p w:rsidRPr="00956C3D" w:rsidR="009021DF" w:rsidP="009021DF" w:rsidRDefault="009021DF" w14:paraId="3204C186" w14:textId="747E7573">
            <w:pPr>
              <w:rPr>
                <w:sz w:val="20"/>
                <w:szCs w:val="20"/>
                <w:lang w:val="en-US"/>
              </w:rPr>
            </w:pPr>
            <w:r w:rsidRPr="49FE81C8">
              <w:rPr>
                <w:sz w:val="20"/>
                <w:szCs w:val="20"/>
              </w:rPr>
              <w:t>Completed either personally by the authors of this article or in collaboration with colleagues from key organizations and registering authorities.</w:t>
            </w:r>
          </w:p>
        </w:tc>
        <w:tc>
          <w:tcPr>
            <w:tcW w:w="4365" w:type="dxa"/>
            <w:tcMar/>
          </w:tcPr>
          <w:p w:rsidR="009021DF" w:rsidP="009021DF" w:rsidRDefault="009021DF" w14:paraId="070C8006" w14:textId="79FF4AA7">
            <w:r w:rsidRPr="3F7EE571">
              <w:rPr>
                <w:rFonts w:ascii="Calibri" w:hAnsi="Calibri" w:eastAsia="Calibri" w:cs="Calibri"/>
                <w:color w:val="000000" w:themeColor="text1"/>
                <w:sz w:val="20"/>
                <w:szCs w:val="20"/>
                <w:lang w:val="en-US"/>
              </w:rPr>
              <w:t>European countries show wide variation in CPD access, funding—often partially or fully paid by dentists—and participation patterns, reflecting differences in healthcare systems, culture, and policy. Across contexts, learning outcomes are more important than mere participation, highlighting the need for research into effective CPD engagement.</w:t>
            </w:r>
          </w:p>
          <w:p w:rsidR="009021DF" w:rsidP="009021DF" w:rsidRDefault="009021DF" w14:paraId="6DE34CF2" w14:textId="3D398827"/>
          <w:p w:rsidRPr="00956C3D" w:rsidR="009021DF" w:rsidP="009021DF" w:rsidRDefault="009021DF" w14:paraId="2D99D08D" w14:textId="234217A4">
            <w:pPr>
              <w:rPr>
                <w:rStyle w:val="normaltextrun"/>
                <w:rFonts w:ascii="Calibri" w:hAnsi="Calibri" w:cs="Calibri"/>
                <w:color w:val="000000" w:themeColor="text1"/>
                <w:sz w:val="20"/>
                <w:szCs w:val="20"/>
                <w:lang w:val="en-US"/>
              </w:rPr>
            </w:pPr>
          </w:p>
        </w:tc>
      </w:tr>
      <w:tr w:rsidRPr="00956C3D" w:rsidR="009021DF" w:rsidTr="6119DFDC" w14:paraId="7426AB11" w14:textId="77777777">
        <w:trPr>
          <w:trHeight w:val="300"/>
        </w:trPr>
        <w:tc>
          <w:tcPr>
            <w:tcW w:w="1275" w:type="dxa"/>
            <w:tcMar/>
          </w:tcPr>
          <w:p w:rsidRPr="00956C3D" w:rsidR="009021DF" w:rsidP="009021DF" w:rsidRDefault="009021DF" w14:paraId="6F68974D" w14:textId="51F16C66">
            <w:pPr>
              <w:rPr>
                <w:sz w:val="20"/>
                <w:szCs w:val="20"/>
                <w:lang w:val="en-US"/>
              </w:rPr>
            </w:pPr>
            <w:r w:rsidRPr="49FE81C8">
              <w:rPr>
                <w:sz w:val="20"/>
                <w:szCs w:val="20"/>
              </w:rPr>
              <w:t>Best et al. (2005, 17 countries in Asia, Australia, Europe (Denmark, England, Latvia, the Netherlands, Norway, Sweden) and North America)</w:t>
            </w:r>
          </w:p>
        </w:tc>
        <w:tc>
          <w:tcPr>
            <w:tcW w:w="3360" w:type="dxa"/>
            <w:tcMar/>
          </w:tcPr>
          <w:p w:rsidRPr="00956C3D" w:rsidR="009021DF" w:rsidP="009021DF" w:rsidRDefault="009021DF" w14:paraId="76F57ECB" w14:textId="6B125756">
            <w:pPr>
              <w:rPr>
                <w:rFonts w:ascii="Calibri" w:hAnsi="Calibri" w:eastAsia="Calibri" w:cs="Calibri"/>
                <w:sz w:val="20"/>
                <w:szCs w:val="20"/>
                <w:lang w:val="en-US"/>
              </w:rPr>
            </w:pPr>
            <w:r w:rsidRPr="49FE81C8">
              <w:rPr>
                <w:sz w:val="20"/>
                <w:szCs w:val="20"/>
              </w:rPr>
              <w:t xml:space="preserve">This paper describes regulatory frameworks, accreditation systems for CPD activities, data on effectiveness of CPD in improving the performance of the oral health team, and identifies areas for future research. </w:t>
            </w:r>
          </w:p>
        </w:tc>
        <w:tc>
          <w:tcPr>
            <w:tcW w:w="1350" w:type="dxa"/>
            <w:tcMar/>
          </w:tcPr>
          <w:p w:rsidRPr="00956C3D" w:rsidR="009021DF" w:rsidP="009021DF" w:rsidRDefault="009021DF" w14:paraId="430E2D74" w14:textId="75442B21">
            <w:pPr>
              <w:rPr>
                <w:sz w:val="20"/>
                <w:szCs w:val="20"/>
                <w:lang w:val="en-US"/>
              </w:rPr>
            </w:pPr>
            <w:r w:rsidRPr="3F7EE571">
              <w:rPr>
                <w:sz w:val="20"/>
                <w:szCs w:val="20"/>
              </w:rPr>
              <w:t>Quantitative</w:t>
            </w:r>
          </w:p>
        </w:tc>
        <w:tc>
          <w:tcPr>
            <w:tcW w:w="3720" w:type="dxa"/>
            <w:tcMar/>
          </w:tcPr>
          <w:p w:rsidR="009021DF" w:rsidP="009021DF" w:rsidRDefault="009021DF" w14:paraId="64C71707" w14:textId="2F1C48DA">
            <w:pPr>
              <w:rPr>
                <w:sz w:val="20"/>
                <w:szCs w:val="20"/>
                <w:lang w:val="en-US"/>
              </w:rPr>
            </w:pPr>
            <w:r w:rsidRPr="49FE81C8">
              <w:rPr>
                <w:sz w:val="20"/>
                <w:szCs w:val="20"/>
              </w:rPr>
              <w:t xml:space="preserve">Questionnaire on CPD (types and availability; mandatory or not; accreditation; needs, demands and uptake; effects on performance; outcomes for patients). </w:t>
            </w:r>
          </w:p>
          <w:p w:rsidR="009021DF" w:rsidP="009021DF" w:rsidRDefault="009021DF" w14:paraId="758DBC40" w14:textId="78694B10">
            <w:pPr>
              <w:rPr>
                <w:sz w:val="20"/>
                <w:szCs w:val="20"/>
                <w:lang w:val="en-US"/>
              </w:rPr>
            </w:pPr>
          </w:p>
          <w:p w:rsidR="009021DF" w:rsidP="009021DF" w:rsidRDefault="009021DF" w14:paraId="1A3184A6" w14:textId="2FDA6A34">
            <w:pPr>
              <w:rPr>
                <w:sz w:val="20"/>
                <w:szCs w:val="20"/>
                <w:lang w:val="en-US"/>
              </w:rPr>
            </w:pPr>
            <w:r w:rsidRPr="49FE81C8">
              <w:rPr>
                <w:sz w:val="20"/>
                <w:szCs w:val="20"/>
              </w:rPr>
              <w:t>Completed either personally by the authors of this article or in collaboration with colleagues from key organizations and registering authorities</w:t>
            </w:r>
          </w:p>
          <w:p w:rsidRPr="00956C3D" w:rsidR="009021DF" w:rsidP="009021DF" w:rsidRDefault="009021DF" w14:paraId="3743E9B2" w14:textId="7C60BDA7">
            <w:pPr>
              <w:rPr>
                <w:sz w:val="20"/>
                <w:szCs w:val="20"/>
                <w:lang w:val="en-US"/>
              </w:rPr>
            </w:pPr>
          </w:p>
        </w:tc>
        <w:tc>
          <w:tcPr>
            <w:tcW w:w="4365" w:type="dxa"/>
            <w:tcMar/>
          </w:tcPr>
          <w:p w:rsidRPr="00956C3D" w:rsidR="009021DF" w:rsidP="009021DF" w:rsidRDefault="009021DF" w14:paraId="2AB8933F" w14:textId="148D7EBB">
            <w:r w:rsidRPr="3F7EE571">
              <w:rPr>
                <w:rFonts w:ascii="Calibri" w:hAnsi="Calibri" w:eastAsia="Calibri" w:cs="Calibri"/>
                <w:color w:val="000000" w:themeColor="text1"/>
                <w:sz w:val="20"/>
                <w:szCs w:val="20"/>
              </w:rPr>
              <w:t>There is limited evidence that CPD effectively improves the performance of the oral health team, highlighting the need for a systematic review of its impact on clinical practice and patient outcomes. Research is also needed on how to align CPD with clinicians’ needs and on consistent criteria for evaluating its effectiveness across countries.</w:t>
            </w:r>
          </w:p>
          <w:p w:rsidRPr="00956C3D" w:rsidR="009021DF" w:rsidP="009021DF" w:rsidRDefault="009021DF" w14:paraId="11F290C9" w14:textId="7B4A14A4"/>
        </w:tc>
      </w:tr>
      <w:tr w:rsidRPr="00C7750C" w:rsidR="009021DF" w:rsidTr="6119DFDC" w14:paraId="63240CC6" w14:textId="77777777">
        <w:trPr>
          <w:trHeight w:val="300"/>
        </w:trPr>
        <w:tc>
          <w:tcPr>
            <w:tcW w:w="1275" w:type="dxa"/>
            <w:tcMar/>
          </w:tcPr>
          <w:p w:rsidRPr="00956C3D" w:rsidR="009021DF" w:rsidP="009021DF" w:rsidRDefault="009021DF" w14:paraId="15516ADE" w14:textId="40E75738">
            <w:pPr>
              <w:rPr>
                <w:sz w:val="20"/>
                <w:szCs w:val="20"/>
                <w:lang w:val="en-US"/>
              </w:rPr>
            </w:pPr>
            <w:r w:rsidRPr="49FE81C8">
              <w:rPr>
                <w:sz w:val="20"/>
                <w:szCs w:val="20"/>
              </w:rPr>
              <w:t>Lucarotti et al. (2005, England and Wales-United Kingdom)</w:t>
            </w:r>
          </w:p>
        </w:tc>
        <w:tc>
          <w:tcPr>
            <w:tcW w:w="3360" w:type="dxa"/>
            <w:tcMar/>
          </w:tcPr>
          <w:p w:rsidRPr="00956C3D" w:rsidR="009021DF" w:rsidP="009021DF" w:rsidRDefault="009021DF" w14:paraId="1E3ED586" w14:textId="32049659">
            <w:pPr>
              <w:rPr>
                <w:sz w:val="20"/>
                <w:szCs w:val="20"/>
                <w:lang w:val="en-US"/>
              </w:rPr>
            </w:pPr>
            <w:r w:rsidRPr="49FE81C8">
              <w:rPr>
                <w:sz w:val="20"/>
                <w:szCs w:val="20"/>
              </w:rPr>
              <w:t xml:space="preserve">To investigate the outcome of direct-placement restorations provided within the General Dental Services in England and Wales, and to identify and quantify the dentist factors which may affect this. </w:t>
            </w:r>
          </w:p>
        </w:tc>
        <w:tc>
          <w:tcPr>
            <w:tcW w:w="1350" w:type="dxa"/>
            <w:tcMar/>
          </w:tcPr>
          <w:p w:rsidR="009021DF" w:rsidP="009021DF" w:rsidRDefault="009021DF" w14:paraId="6234E0A0" w14:textId="2DB10034">
            <w:pPr>
              <w:rPr>
                <w:sz w:val="20"/>
                <w:szCs w:val="20"/>
                <w:lang w:val="en-US"/>
              </w:rPr>
            </w:pPr>
            <w:r w:rsidRPr="3F7EE571">
              <w:rPr>
                <w:sz w:val="20"/>
                <w:szCs w:val="20"/>
              </w:rPr>
              <w:t>Quantitative</w:t>
            </w:r>
          </w:p>
          <w:p w:rsidRPr="00956C3D" w:rsidR="009021DF" w:rsidP="009021DF" w:rsidRDefault="009021DF" w14:paraId="589B0331" w14:textId="66FD6801">
            <w:pPr>
              <w:rPr>
                <w:sz w:val="20"/>
                <w:szCs w:val="20"/>
                <w:lang w:val="en-US"/>
              </w:rPr>
            </w:pPr>
          </w:p>
        </w:tc>
        <w:tc>
          <w:tcPr>
            <w:tcW w:w="3720" w:type="dxa"/>
            <w:tcMar/>
          </w:tcPr>
          <w:p w:rsidRPr="00956C3D" w:rsidR="009021DF" w:rsidP="009021DF" w:rsidRDefault="009021DF" w14:paraId="158EAD35" w14:textId="6748933A">
            <w:pPr>
              <w:spacing w:line="259" w:lineRule="auto"/>
              <w:rPr>
                <w:sz w:val="20"/>
                <w:szCs w:val="20"/>
                <w:lang w:val="en-US"/>
              </w:rPr>
            </w:pPr>
            <w:r w:rsidRPr="49FE81C8">
              <w:rPr>
                <w:sz w:val="20"/>
                <w:szCs w:val="20"/>
              </w:rPr>
              <w:t xml:space="preserve">Database GDC England and Wales. </w:t>
            </w:r>
          </w:p>
          <w:p w:rsidRPr="00956C3D" w:rsidR="009021DF" w:rsidP="009021DF" w:rsidRDefault="009021DF" w14:paraId="43DA912C" w14:textId="7D17DDA4">
            <w:pPr>
              <w:spacing w:line="259" w:lineRule="auto"/>
              <w:rPr>
                <w:sz w:val="20"/>
                <w:szCs w:val="20"/>
                <w:lang w:val="en-US"/>
              </w:rPr>
            </w:pPr>
            <w:r w:rsidRPr="49FE81C8">
              <w:rPr>
                <w:sz w:val="20"/>
                <w:szCs w:val="20"/>
              </w:rPr>
              <w:t>Data, based on the complete attendance and treatment history, from 1991 to 2001, of a statistically representative sample of 82,537 GDS’ patients in England and Wales, have been analysed.</w:t>
            </w:r>
          </w:p>
        </w:tc>
        <w:tc>
          <w:tcPr>
            <w:tcW w:w="4365" w:type="dxa"/>
            <w:tcMar/>
          </w:tcPr>
          <w:p w:rsidRPr="00956C3D" w:rsidR="009021DF" w:rsidP="009021DF" w:rsidRDefault="009021DF" w14:paraId="18405A88" w14:textId="37D9FFC0">
            <w:pPr>
              <w:spacing w:line="259" w:lineRule="auto"/>
            </w:pPr>
            <w:r w:rsidRPr="3F7EE571">
              <w:rPr>
                <w:rFonts w:ascii="Calibri" w:hAnsi="Calibri" w:eastAsia="Calibri" w:cs="Calibri"/>
                <w:color w:val="000000" w:themeColor="text1"/>
                <w:sz w:val="20"/>
                <w:szCs w:val="20"/>
              </w:rPr>
              <w:t>Within Europe, the country of qualification does not affect restoration survival, and European-trained dentists show similar outcomes regardless of origin. Interestingly, vocational dental practitioners (VDPs) achieved slightly better restoration performance, possibly reflecting higher quality under salaried rather than fee-for-service systems.</w:t>
            </w:r>
          </w:p>
          <w:p w:rsidRPr="00956C3D" w:rsidR="009021DF" w:rsidP="009021DF" w:rsidRDefault="009021DF" w14:paraId="3FE1FA36" w14:textId="0A518352">
            <w:pPr>
              <w:spacing w:line="259" w:lineRule="auto"/>
            </w:pPr>
          </w:p>
        </w:tc>
      </w:tr>
      <w:tr w:rsidRPr="00C7750C" w:rsidR="009021DF" w:rsidTr="6119DFDC" w14:paraId="24C024FA" w14:textId="77777777">
        <w:trPr>
          <w:trHeight w:val="300"/>
        </w:trPr>
        <w:tc>
          <w:tcPr>
            <w:tcW w:w="1275" w:type="dxa"/>
            <w:tcMar/>
          </w:tcPr>
          <w:p w:rsidRPr="5346BA88" w:rsidR="009021DF" w:rsidP="009021DF" w:rsidRDefault="009021DF" w14:paraId="76D0B250" w14:textId="5425149A">
            <w:pPr>
              <w:rPr>
                <w:sz w:val="20"/>
                <w:szCs w:val="20"/>
                <w:lang w:val="en-US"/>
              </w:rPr>
            </w:pPr>
            <w:r w:rsidRPr="49FE81C8">
              <w:rPr>
                <w:sz w:val="20"/>
                <w:szCs w:val="20"/>
              </w:rPr>
              <w:lastRenderedPageBreak/>
              <w:t>Vork et al. (2004, Estonia)</w:t>
            </w:r>
          </w:p>
        </w:tc>
        <w:tc>
          <w:tcPr>
            <w:tcW w:w="3360" w:type="dxa"/>
            <w:tcMar/>
          </w:tcPr>
          <w:p w:rsidRPr="71C92754" w:rsidR="009021DF" w:rsidP="009021DF" w:rsidRDefault="009021DF" w14:paraId="3F55A1A5" w14:textId="7829F886">
            <w:pPr>
              <w:rPr>
                <w:sz w:val="20"/>
                <w:szCs w:val="20"/>
                <w:lang w:val="en-US"/>
              </w:rPr>
            </w:pPr>
            <w:r w:rsidRPr="49FE81C8">
              <w:rPr>
                <w:sz w:val="20"/>
                <w:szCs w:val="20"/>
              </w:rPr>
              <w:t xml:space="preserve">To identify the extent of the emigration problem for Estonian health sector workforce. </w:t>
            </w:r>
          </w:p>
        </w:tc>
        <w:tc>
          <w:tcPr>
            <w:tcW w:w="1350" w:type="dxa"/>
            <w:tcMar/>
          </w:tcPr>
          <w:p w:rsidRPr="00E5356C" w:rsidR="009021DF" w:rsidP="009021DF" w:rsidRDefault="009021DF" w14:paraId="53271713" w14:textId="17DCF5D4">
            <w:pPr>
              <w:rPr>
                <w:sz w:val="20"/>
                <w:szCs w:val="20"/>
                <w:lang w:val="en-US"/>
              </w:rPr>
            </w:pPr>
            <w:r w:rsidRPr="3F7EE571">
              <w:rPr>
                <w:sz w:val="20"/>
                <w:szCs w:val="20"/>
              </w:rPr>
              <w:t>Quantitative</w:t>
            </w:r>
          </w:p>
        </w:tc>
        <w:tc>
          <w:tcPr>
            <w:tcW w:w="3720" w:type="dxa"/>
            <w:tcMar/>
          </w:tcPr>
          <w:p w:rsidRPr="71C92754" w:rsidR="009021DF" w:rsidP="009021DF" w:rsidRDefault="009021DF" w14:paraId="1DAD0F78" w14:textId="2F26FA13">
            <w:pPr>
              <w:rPr>
                <w:sz w:val="20"/>
                <w:szCs w:val="20"/>
                <w:lang w:val="en-US"/>
              </w:rPr>
            </w:pPr>
            <w:r w:rsidRPr="49FE81C8">
              <w:rPr>
                <w:sz w:val="20"/>
                <w:szCs w:val="20"/>
              </w:rPr>
              <w:t xml:space="preserve">Opinion survey among Estonian health sector professionals (Nov – Dec 2003). </w:t>
            </w:r>
          </w:p>
        </w:tc>
        <w:tc>
          <w:tcPr>
            <w:tcW w:w="4365" w:type="dxa"/>
            <w:tcMar/>
          </w:tcPr>
          <w:p w:rsidRPr="00C7750C" w:rsidR="009021DF" w:rsidP="009021DF" w:rsidRDefault="009021DF" w14:paraId="26020676" w14:textId="2BD5A4B9">
            <w:r w:rsidRPr="3F7EE571">
              <w:rPr>
                <w:rFonts w:ascii="Calibri" w:hAnsi="Calibri" w:eastAsia="Calibri" w:cs="Calibri"/>
                <w:color w:val="000000" w:themeColor="text1"/>
                <w:sz w:val="20"/>
                <w:szCs w:val="20"/>
              </w:rPr>
              <w:t>About 56% of Estonian health professionals are interested in working abroad, mainly for higher wages, though only around 5% have definite plans; this creates challenges for policymakers who must balance wages, working conditions, and workforce planning. Dentists are less likely to emigrate, as they enjoy higher income, more autonomy, and value international experience or training over salary.</w:t>
            </w:r>
          </w:p>
          <w:p w:rsidRPr="00C7750C" w:rsidR="009021DF" w:rsidP="009021DF" w:rsidRDefault="009021DF" w14:paraId="133720B9" w14:textId="5E744B65"/>
        </w:tc>
      </w:tr>
      <w:tr w:rsidRPr="00C7750C" w:rsidR="009021DF" w:rsidTr="6119DFDC" w14:paraId="36906BD9" w14:textId="77777777">
        <w:trPr>
          <w:trHeight w:val="300"/>
        </w:trPr>
        <w:tc>
          <w:tcPr>
            <w:tcW w:w="1275" w:type="dxa"/>
            <w:tcMar/>
          </w:tcPr>
          <w:p w:rsidRPr="00956C3D" w:rsidR="009021DF" w:rsidP="009021DF" w:rsidRDefault="009021DF" w14:paraId="4793929D" w14:textId="4614DF89">
            <w:pPr>
              <w:rPr>
                <w:sz w:val="20"/>
                <w:szCs w:val="20"/>
                <w:lang w:val="en-US"/>
              </w:rPr>
            </w:pPr>
            <w:r w:rsidRPr="49FE81C8">
              <w:rPr>
                <w:sz w:val="20"/>
                <w:szCs w:val="20"/>
              </w:rPr>
              <w:t>Bullock et al. (2002, United Kingdom and Poland. UK perspective)</w:t>
            </w:r>
          </w:p>
        </w:tc>
        <w:tc>
          <w:tcPr>
            <w:tcW w:w="3360" w:type="dxa"/>
            <w:tcMar/>
          </w:tcPr>
          <w:p w:rsidRPr="00956C3D" w:rsidR="009021DF" w:rsidP="009021DF" w:rsidRDefault="009021DF" w14:paraId="413EF99A" w14:textId="5881F6D2">
            <w:pPr>
              <w:rPr>
                <w:sz w:val="20"/>
                <w:szCs w:val="20"/>
                <w:lang w:val="en-US"/>
              </w:rPr>
            </w:pPr>
            <w:r w:rsidRPr="49FE81C8">
              <w:rPr>
                <w:sz w:val="20"/>
                <w:szCs w:val="20"/>
              </w:rPr>
              <w:t xml:space="preserve">To explore issues in the transferability of dentists within Europe, specifically whether those trained in Poland or Sweden are equipped to work in UK dental practice. </w:t>
            </w:r>
          </w:p>
        </w:tc>
        <w:tc>
          <w:tcPr>
            <w:tcW w:w="1350" w:type="dxa"/>
            <w:tcMar/>
          </w:tcPr>
          <w:p w:rsidRPr="00956C3D" w:rsidR="009021DF" w:rsidP="009021DF" w:rsidRDefault="009021DF" w14:paraId="27FA60B0" w14:textId="5224E0A6">
            <w:pPr>
              <w:rPr>
                <w:sz w:val="20"/>
                <w:szCs w:val="20"/>
                <w:lang w:val="en-US"/>
              </w:rPr>
            </w:pPr>
            <w:r w:rsidRPr="3F7EE571">
              <w:rPr>
                <w:sz w:val="20"/>
                <w:szCs w:val="20"/>
              </w:rPr>
              <w:t>Qualitative</w:t>
            </w:r>
          </w:p>
        </w:tc>
        <w:tc>
          <w:tcPr>
            <w:tcW w:w="3720" w:type="dxa"/>
            <w:tcMar/>
          </w:tcPr>
          <w:p w:rsidRPr="00956C3D" w:rsidR="009021DF" w:rsidP="009021DF" w:rsidRDefault="009021DF" w14:paraId="0E636C51" w14:textId="1C9DA876">
            <w:pPr>
              <w:spacing w:line="259" w:lineRule="auto"/>
              <w:rPr>
                <w:sz w:val="20"/>
                <w:szCs w:val="20"/>
                <w:lang w:val="en-US"/>
              </w:rPr>
            </w:pPr>
            <w:r w:rsidRPr="49FE81C8">
              <w:rPr>
                <w:sz w:val="20"/>
                <w:szCs w:val="20"/>
              </w:rPr>
              <w:t xml:space="preserve">Face-to-face discussions with providers of dental training (total 4) in each of the study countries. </w:t>
            </w:r>
          </w:p>
          <w:p w:rsidRPr="00956C3D" w:rsidR="009021DF" w:rsidP="009021DF" w:rsidRDefault="009021DF" w14:paraId="2C03D86E" w14:textId="4FA719C0">
            <w:pPr>
              <w:spacing w:line="259" w:lineRule="auto"/>
              <w:rPr>
                <w:sz w:val="20"/>
                <w:szCs w:val="20"/>
                <w:lang w:val="en-US"/>
              </w:rPr>
            </w:pPr>
            <w:r w:rsidRPr="49FE81C8">
              <w:rPr>
                <w:sz w:val="20"/>
                <w:szCs w:val="20"/>
              </w:rPr>
              <w:t>Complemented by exchange of information via e-mail or letter.</w:t>
            </w:r>
          </w:p>
        </w:tc>
        <w:tc>
          <w:tcPr>
            <w:tcW w:w="4365" w:type="dxa"/>
            <w:tcMar/>
          </w:tcPr>
          <w:p w:rsidRPr="00956C3D" w:rsidR="009021DF" w:rsidP="009021DF" w:rsidRDefault="009021DF" w14:paraId="691C48A3" w14:textId="69C282AE">
            <w:r w:rsidRPr="3F7EE571">
              <w:rPr>
                <w:rFonts w:ascii="Calibri" w:hAnsi="Calibri" w:eastAsia="Calibri" w:cs="Calibri"/>
                <w:color w:val="000000" w:themeColor="text1"/>
                <w:sz w:val="20"/>
                <w:szCs w:val="20"/>
                <w:lang w:val="en-US"/>
              </w:rPr>
              <w:t>Ensuring the transferability of general dentists across Europe requires comparable credentials, standardized training, and confidence in graduate competence, supported by mandatory vocational training, external examiners, and hands-on clinical experience. Harmonization can be further strengthened through international exchanges, mentoring, and targeted CPD for migrating dentists, though economic barriers to CPD participation may limit effectiveness.</w:t>
            </w:r>
          </w:p>
          <w:p w:rsidRPr="00956C3D" w:rsidR="009021DF" w:rsidP="009021DF" w:rsidRDefault="009021DF" w14:paraId="4B5C0E50" w14:textId="50144FEF"/>
        </w:tc>
      </w:tr>
      <w:tr w:rsidRPr="00956C3D" w:rsidR="009021DF" w:rsidTr="6119DFDC" w14:paraId="5910C641" w14:textId="77777777">
        <w:trPr>
          <w:trHeight w:val="300"/>
        </w:trPr>
        <w:tc>
          <w:tcPr>
            <w:tcW w:w="1275" w:type="dxa"/>
            <w:tcMar/>
          </w:tcPr>
          <w:p w:rsidRPr="00956C3D" w:rsidR="009021DF" w:rsidP="009021DF" w:rsidRDefault="009021DF" w14:paraId="0BB1F98E" w14:textId="0D84B65F">
            <w:pPr>
              <w:rPr>
                <w:sz w:val="20"/>
                <w:szCs w:val="20"/>
                <w:lang w:val="en-US"/>
              </w:rPr>
            </w:pPr>
            <w:r w:rsidRPr="49FE81C8">
              <w:rPr>
                <w:sz w:val="20"/>
                <w:szCs w:val="20"/>
              </w:rPr>
              <w:t>Schleyer et al. (2002, Canada, France, Germany, the UK and the US)</w:t>
            </w:r>
          </w:p>
        </w:tc>
        <w:tc>
          <w:tcPr>
            <w:tcW w:w="3360" w:type="dxa"/>
            <w:tcMar/>
          </w:tcPr>
          <w:p w:rsidRPr="00956C3D" w:rsidR="009021DF" w:rsidP="009021DF" w:rsidRDefault="009021DF" w14:paraId="0B896847" w14:textId="24FBF609">
            <w:pPr>
              <w:rPr>
                <w:sz w:val="20"/>
                <w:szCs w:val="20"/>
                <w:lang w:val="en-US"/>
              </w:rPr>
            </w:pPr>
            <w:r w:rsidRPr="49FE81C8">
              <w:rPr>
                <w:sz w:val="20"/>
                <w:szCs w:val="20"/>
              </w:rPr>
              <w:t xml:space="preserve">To compare general characteristics of the dental practitioner population and the dental care system, dental licensure, specialization and continuing education systems in five countries (Canada, France, Germany, the UK, the US). </w:t>
            </w:r>
          </w:p>
          <w:p w:rsidR="009021DF" w:rsidP="009021DF" w:rsidRDefault="009021DF" w14:paraId="3E405033" w14:textId="552E4EFF">
            <w:pPr>
              <w:rPr>
                <w:sz w:val="20"/>
                <w:szCs w:val="20"/>
                <w:lang w:val="en-US"/>
              </w:rPr>
            </w:pPr>
          </w:p>
          <w:p w:rsidR="009021DF" w:rsidP="009021DF" w:rsidRDefault="009021DF" w14:paraId="1BECDFBB" w14:textId="05FF54FD">
            <w:pPr>
              <w:spacing w:after="160" w:line="259" w:lineRule="auto"/>
              <w:rPr>
                <w:rFonts w:ascii="Calibri" w:hAnsi="Calibri" w:eastAsia="Calibri" w:cs="Calibri"/>
                <w:sz w:val="20"/>
                <w:szCs w:val="20"/>
                <w:lang w:val="en-US"/>
              </w:rPr>
            </w:pPr>
            <w:r w:rsidRPr="49FE81C8">
              <w:rPr>
                <w:rFonts w:ascii="Calibri" w:hAnsi="Calibri" w:eastAsia="Calibri" w:cs="Calibri"/>
                <w:color w:val="000000" w:themeColor="text1"/>
                <w:sz w:val="20"/>
                <w:szCs w:val="20"/>
              </w:rPr>
              <w:t>The purpose of gathering background data was to provide context for the description of the dental licensure, specialization and continuing education systems.</w:t>
            </w:r>
          </w:p>
          <w:p w:rsidRPr="00956C3D" w:rsidR="009021DF" w:rsidP="009021DF" w:rsidRDefault="009021DF" w14:paraId="67A73CDF" w14:textId="4910CCB1">
            <w:pPr>
              <w:rPr>
                <w:sz w:val="20"/>
                <w:szCs w:val="20"/>
                <w:lang w:val="en-US"/>
              </w:rPr>
            </w:pPr>
          </w:p>
          <w:p w:rsidRPr="00956C3D" w:rsidR="009021DF" w:rsidP="009021DF" w:rsidRDefault="009021DF" w14:paraId="0BD2A7CC" w14:textId="4A6B15DC">
            <w:pPr>
              <w:rPr>
                <w:sz w:val="20"/>
                <w:szCs w:val="20"/>
                <w:lang w:val="en-US"/>
              </w:rPr>
            </w:pPr>
            <w:r w:rsidRPr="49FE81C8">
              <w:rPr>
                <w:sz w:val="20"/>
                <w:szCs w:val="20"/>
              </w:rPr>
              <w:t xml:space="preserve">To help policy makers, administrators, faculty and other stakeholders in dentistry understand global commonalities and differences. </w:t>
            </w:r>
          </w:p>
        </w:tc>
        <w:tc>
          <w:tcPr>
            <w:tcW w:w="1350" w:type="dxa"/>
            <w:tcMar/>
          </w:tcPr>
          <w:p w:rsidRPr="008074C8" w:rsidR="009021DF" w:rsidP="009021DF" w:rsidRDefault="009021DF" w14:paraId="2B7BF95A" w14:textId="44BB7E1F">
            <w:pPr>
              <w:rPr>
                <w:sz w:val="20"/>
                <w:szCs w:val="20"/>
                <w:lang w:val="en-US"/>
              </w:rPr>
            </w:pPr>
            <w:r w:rsidRPr="3F7EE571">
              <w:rPr>
                <w:sz w:val="20"/>
                <w:szCs w:val="20"/>
              </w:rPr>
              <w:lastRenderedPageBreak/>
              <w:t>Quantitative</w:t>
            </w:r>
          </w:p>
        </w:tc>
        <w:tc>
          <w:tcPr>
            <w:tcW w:w="3720" w:type="dxa"/>
            <w:tcMar/>
          </w:tcPr>
          <w:p w:rsidRPr="00956C3D" w:rsidR="009021DF" w:rsidP="009021DF" w:rsidRDefault="009021DF" w14:paraId="02D74AF5" w14:textId="7B712991">
            <w:pPr>
              <w:rPr>
                <w:sz w:val="20"/>
                <w:szCs w:val="20"/>
                <w:lang w:val="en-US"/>
              </w:rPr>
            </w:pPr>
            <w:r w:rsidRPr="49FE81C8">
              <w:rPr>
                <w:sz w:val="20"/>
                <w:szCs w:val="20"/>
              </w:rPr>
              <w:t>Questionnaire completed by representatives (Consortium of National Coordinators members and invited experts) from the five countries (Jun 2000 – Jan 2001).</w:t>
            </w:r>
          </w:p>
          <w:p w:rsidRPr="00956C3D" w:rsidR="009021DF" w:rsidP="009021DF" w:rsidRDefault="009021DF" w14:paraId="3C353E46" w14:textId="52FF110D">
            <w:pPr>
              <w:rPr>
                <w:sz w:val="20"/>
                <w:szCs w:val="20"/>
                <w:lang w:val="en-US"/>
              </w:rPr>
            </w:pPr>
          </w:p>
          <w:p w:rsidRPr="00956C3D" w:rsidR="009021DF" w:rsidP="009021DF" w:rsidRDefault="009021DF" w14:paraId="00254031" w14:textId="6F7A9FF0">
            <w:pPr>
              <w:rPr>
                <w:sz w:val="20"/>
                <w:szCs w:val="20"/>
                <w:lang w:val="en-US"/>
              </w:rPr>
            </w:pPr>
            <w:r w:rsidRPr="3F7EE571">
              <w:rPr>
                <w:sz w:val="20"/>
                <w:szCs w:val="20"/>
              </w:rPr>
              <w:t>The questionnaire was informed by governmental publications, national and international surveys, regulations of professional organisations, documents from licensing and accrediting agencies, and the literature.</w:t>
            </w:r>
          </w:p>
        </w:tc>
        <w:tc>
          <w:tcPr>
            <w:tcW w:w="4365" w:type="dxa"/>
            <w:tcMar/>
          </w:tcPr>
          <w:p w:rsidRPr="00956C3D" w:rsidR="009021DF" w:rsidP="009021DF" w:rsidRDefault="009021DF" w14:paraId="231477A3" w14:textId="07248A42">
            <w:r w:rsidRPr="3F7EE571">
              <w:rPr>
                <w:rFonts w:ascii="Calibri" w:hAnsi="Calibri" w:eastAsia="Calibri" w:cs="Calibri"/>
                <w:color w:val="000000" w:themeColor="text1"/>
                <w:sz w:val="20"/>
                <w:szCs w:val="20"/>
                <w:lang w:val="en-US"/>
              </w:rPr>
              <w:t>Developing a global framework for dental licensing, specialization, and continuing education requires understanding international differences and commonalities, ensuring practitioners maintain competency, and providing accessible, quality-assured CE. Current systems are largely process-driven, lacking validated outcome-based quality assurance, highlighting the need for standardized accreditation, transparent qualifications, and consensus-based frameworks adaptable to local requirements.</w:t>
            </w:r>
          </w:p>
          <w:p w:rsidRPr="00956C3D" w:rsidR="009021DF" w:rsidP="009021DF" w:rsidRDefault="009021DF" w14:paraId="4E19CD08" w14:textId="55EAF369"/>
        </w:tc>
      </w:tr>
    </w:tbl>
    <w:p w:rsidRPr="00956C3D" w:rsidR="00EA6AD9" w:rsidRDefault="00EA6AD9" w14:paraId="11B1F5C8" w14:textId="77777777">
      <w:pPr>
        <w:rPr>
          <w:sz w:val="20"/>
          <w:szCs w:val="20"/>
          <w:lang w:val="en-US"/>
        </w:rPr>
      </w:pPr>
    </w:p>
    <w:sectPr w:rsidRPr="00956C3D" w:rsidR="00EA6AD9" w:rsidSect="007C370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dvMINION-R">
    <w:altName w:val="Cambria"/>
    <w:panose1 w:val="00000000000000000000"/>
    <w:charset w:val="00"/>
    <w:family w:val="roman"/>
    <w:notTrueType/>
    <w:pitch w:val="default"/>
    <w:sig w:usb0="00000003" w:usb1="00000000" w:usb2="00000000" w:usb3="00000000" w:csb0="00000001" w:csb1="00000000"/>
  </w:font>
  <w:font w:name="Plantin">
    <w:altName w:val="Cambria"/>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E4E76"/>
    <w:multiLevelType w:val="hybridMultilevel"/>
    <w:tmpl w:val="170ED2DE"/>
    <w:lvl w:ilvl="0" w:tplc="E86ACD1A">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352656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708"/>
    <w:rsid w:val="00001039"/>
    <w:rsid w:val="00017526"/>
    <w:rsid w:val="00020B19"/>
    <w:rsid w:val="0002286B"/>
    <w:rsid w:val="00026CCB"/>
    <w:rsid w:val="0004696A"/>
    <w:rsid w:val="00048788"/>
    <w:rsid w:val="00051819"/>
    <w:rsid w:val="00051F52"/>
    <w:rsid w:val="000537D8"/>
    <w:rsid w:val="00054F42"/>
    <w:rsid w:val="00063FC4"/>
    <w:rsid w:val="000646F4"/>
    <w:rsid w:val="00067AFA"/>
    <w:rsid w:val="00071F60"/>
    <w:rsid w:val="0007354E"/>
    <w:rsid w:val="00075873"/>
    <w:rsid w:val="00093289"/>
    <w:rsid w:val="000B3335"/>
    <w:rsid w:val="000C5BF7"/>
    <w:rsid w:val="000D333B"/>
    <w:rsid w:val="000D4F30"/>
    <w:rsid w:val="000E03C7"/>
    <w:rsid w:val="000E1FD6"/>
    <w:rsid w:val="000F0B02"/>
    <w:rsid w:val="000F0E27"/>
    <w:rsid w:val="000F14A0"/>
    <w:rsid w:val="000F5724"/>
    <w:rsid w:val="000F7E96"/>
    <w:rsid w:val="001018EC"/>
    <w:rsid w:val="00110CEF"/>
    <w:rsid w:val="0012683C"/>
    <w:rsid w:val="00127762"/>
    <w:rsid w:val="001334B8"/>
    <w:rsid w:val="00140920"/>
    <w:rsid w:val="00141DCB"/>
    <w:rsid w:val="00144B83"/>
    <w:rsid w:val="00145D59"/>
    <w:rsid w:val="001463F8"/>
    <w:rsid w:val="00150FFB"/>
    <w:rsid w:val="00151B36"/>
    <w:rsid w:val="00152B24"/>
    <w:rsid w:val="001760E3"/>
    <w:rsid w:val="00181871"/>
    <w:rsid w:val="0018257D"/>
    <w:rsid w:val="00196ED6"/>
    <w:rsid w:val="001979F4"/>
    <w:rsid w:val="001A1BDA"/>
    <w:rsid w:val="001A3DEC"/>
    <w:rsid w:val="001A4291"/>
    <w:rsid w:val="001A7728"/>
    <w:rsid w:val="001B2E23"/>
    <w:rsid w:val="001C3B19"/>
    <w:rsid w:val="001C43CF"/>
    <w:rsid w:val="001C5736"/>
    <w:rsid w:val="001D69C2"/>
    <w:rsid w:val="001E033B"/>
    <w:rsid w:val="001E6725"/>
    <w:rsid w:val="001F30D5"/>
    <w:rsid w:val="001F433C"/>
    <w:rsid w:val="002006B4"/>
    <w:rsid w:val="0020275A"/>
    <w:rsid w:val="002043B5"/>
    <w:rsid w:val="00204625"/>
    <w:rsid w:val="0020BBCB"/>
    <w:rsid w:val="00211B3B"/>
    <w:rsid w:val="00213181"/>
    <w:rsid w:val="00220AEF"/>
    <w:rsid w:val="002235B7"/>
    <w:rsid w:val="002254FC"/>
    <w:rsid w:val="00230260"/>
    <w:rsid w:val="00231A28"/>
    <w:rsid w:val="002346A9"/>
    <w:rsid w:val="002346E8"/>
    <w:rsid w:val="0023634C"/>
    <w:rsid w:val="00244AE1"/>
    <w:rsid w:val="00260060"/>
    <w:rsid w:val="00263BE8"/>
    <w:rsid w:val="00264188"/>
    <w:rsid w:val="0026449C"/>
    <w:rsid w:val="0026D93A"/>
    <w:rsid w:val="00270ACD"/>
    <w:rsid w:val="00271021"/>
    <w:rsid w:val="00272CA9"/>
    <w:rsid w:val="0027530F"/>
    <w:rsid w:val="002760DA"/>
    <w:rsid w:val="00287D16"/>
    <w:rsid w:val="002A556B"/>
    <w:rsid w:val="002AAE4F"/>
    <w:rsid w:val="002B08D8"/>
    <w:rsid w:val="002B330B"/>
    <w:rsid w:val="002B640C"/>
    <w:rsid w:val="002B7002"/>
    <w:rsid w:val="002C0FF7"/>
    <w:rsid w:val="002C124B"/>
    <w:rsid w:val="002C40EE"/>
    <w:rsid w:val="002C4A98"/>
    <w:rsid w:val="002C4C35"/>
    <w:rsid w:val="002C6F17"/>
    <w:rsid w:val="002D288F"/>
    <w:rsid w:val="002D5C66"/>
    <w:rsid w:val="002E7291"/>
    <w:rsid w:val="002F040A"/>
    <w:rsid w:val="002F1716"/>
    <w:rsid w:val="002F6C4A"/>
    <w:rsid w:val="0030633C"/>
    <w:rsid w:val="00307B2E"/>
    <w:rsid w:val="00310AE7"/>
    <w:rsid w:val="003174D1"/>
    <w:rsid w:val="00317E85"/>
    <w:rsid w:val="00322224"/>
    <w:rsid w:val="00324A84"/>
    <w:rsid w:val="003262D9"/>
    <w:rsid w:val="00331E7A"/>
    <w:rsid w:val="0033286D"/>
    <w:rsid w:val="00339E4F"/>
    <w:rsid w:val="003443C7"/>
    <w:rsid w:val="00346F1F"/>
    <w:rsid w:val="0035171F"/>
    <w:rsid w:val="00356FE8"/>
    <w:rsid w:val="00357EE6"/>
    <w:rsid w:val="00363A16"/>
    <w:rsid w:val="00365BAC"/>
    <w:rsid w:val="00367697"/>
    <w:rsid w:val="00367698"/>
    <w:rsid w:val="00373F82"/>
    <w:rsid w:val="00376EB7"/>
    <w:rsid w:val="00381D80"/>
    <w:rsid w:val="00383C67"/>
    <w:rsid w:val="00385A72"/>
    <w:rsid w:val="00385C0C"/>
    <w:rsid w:val="003865E0"/>
    <w:rsid w:val="003901EC"/>
    <w:rsid w:val="003952DA"/>
    <w:rsid w:val="003A27A7"/>
    <w:rsid w:val="003A47DE"/>
    <w:rsid w:val="003B6AE7"/>
    <w:rsid w:val="003B7A91"/>
    <w:rsid w:val="003D1B32"/>
    <w:rsid w:val="003D5387"/>
    <w:rsid w:val="003D7D4B"/>
    <w:rsid w:val="003D7EBB"/>
    <w:rsid w:val="003E542D"/>
    <w:rsid w:val="003F1210"/>
    <w:rsid w:val="00406087"/>
    <w:rsid w:val="00423232"/>
    <w:rsid w:val="00423B46"/>
    <w:rsid w:val="00425547"/>
    <w:rsid w:val="00434828"/>
    <w:rsid w:val="0043782D"/>
    <w:rsid w:val="004444DA"/>
    <w:rsid w:val="00447420"/>
    <w:rsid w:val="00451842"/>
    <w:rsid w:val="004539C4"/>
    <w:rsid w:val="00453CDF"/>
    <w:rsid w:val="004549D4"/>
    <w:rsid w:val="00455A52"/>
    <w:rsid w:val="00457D4C"/>
    <w:rsid w:val="0046242B"/>
    <w:rsid w:val="00462F26"/>
    <w:rsid w:val="00468D1C"/>
    <w:rsid w:val="0047644B"/>
    <w:rsid w:val="00486C88"/>
    <w:rsid w:val="004874CB"/>
    <w:rsid w:val="00490BDA"/>
    <w:rsid w:val="00493564"/>
    <w:rsid w:val="004A238B"/>
    <w:rsid w:val="004A377F"/>
    <w:rsid w:val="004B5FB8"/>
    <w:rsid w:val="004C1619"/>
    <w:rsid w:val="004C2A3A"/>
    <w:rsid w:val="004D10CA"/>
    <w:rsid w:val="004D153F"/>
    <w:rsid w:val="004D1580"/>
    <w:rsid w:val="004D1B26"/>
    <w:rsid w:val="004D3EBD"/>
    <w:rsid w:val="004E11E5"/>
    <w:rsid w:val="004E1D14"/>
    <w:rsid w:val="004E5381"/>
    <w:rsid w:val="004F6E03"/>
    <w:rsid w:val="005004E2"/>
    <w:rsid w:val="005016C3"/>
    <w:rsid w:val="00502708"/>
    <w:rsid w:val="0051111E"/>
    <w:rsid w:val="00515043"/>
    <w:rsid w:val="00515317"/>
    <w:rsid w:val="0052001C"/>
    <w:rsid w:val="0052555E"/>
    <w:rsid w:val="0053173E"/>
    <w:rsid w:val="00534A7B"/>
    <w:rsid w:val="0053698A"/>
    <w:rsid w:val="005429F3"/>
    <w:rsid w:val="00544E0A"/>
    <w:rsid w:val="005470F4"/>
    <w:rsid w:val="0055498D"/>
    <w:rsid w:val="0055605F"/>
    <w:rsid w:val="00556F72"/>
    <w:rsid w:val="005601DE"/>
    <w:rsid w:val="0056074D"/>
    <w:rsid w:val="00560EF3"/>
    <w:rsid w:val="00563E5A"/>
    <w:rsid w:val="00587BA3"/>
    <w:rsid w:val="00591CFD"/>
    <w:rsid w:val="005A0B0C"/>
    <w:rsid w:val="005A61E7"/>
    <w:rsid w:val="005A7292"/>
    <w:rsid w:val="005B0EA9"/>
    <w:rsid w:val="005C1A9A"/>
    <w:rsid w:val="005C229D"/>
    <w:rsid w:val="005C43A8"/>
    <w:rsid w:val="005C595E"/>
    <w:rsid w:val="005D34A0"/>
    <w:rsid w:val="005D4796"/>
    <w:rsid w:val="005D4D85"/>
    <w:rsid w:val="005D7138"/>
    <w:rsid w:val="005E2FAA"/>
    <w:rsid w:val="005E36D5"/>
    <w:rsid w:val="005E4C1A"/>
    <w:rsid w:val="005E6C19"/>
    <w:rsid w:val="005F30D3"/>
    <w:rsid w:val="005F46B6"/>
    <w:rsid w:val="005F6107"/>
    <w:rsid w:val="005F75DF"/>
    <w:rsid w:val="00601B0B"/>
    <w:rsid w:val="0060326E"/>
    <w:rsid w:val="00607F42"/>
    <w:rsid w:val="00615934"/>
    <w:rsid w:val="00625B14"/>
    <w:rsid w:val="00631705"/>
    <w:rsid w:val="0063291A"/>
    <w:rsid w:val="006341A4"/>
    <w:rsid w:val="00640AA3"/>
    <w:rsid w:val="00641172"/>
    <w:rsid w:val="00642835"/>
    <w:rsid w:val="00654A99"/>
    <w:rsid w:val="0065591C"/>
    <w:rsid w:val="00664FA4"/>
    <w:rsid w:val="00671E5E"/>
    <w:rsid w:val="006759B3"/>
    <w:rsid w:val="006808FF"/>
    <w:rsid w:val="006905BE"/>
    <w:rsid w:val="00690CB2"/>
    <w:rsid w:val="00691A5B"/>
    <w:rsid w:val="0069479D"/>
    <w:rsid w:val="006A00F2"/>
    <w:rsid w:val="006A720B"/>
    <w:rsid w:val="006B2053"/>
    <w:rsid w:val="006B2A73"/>
    <w:rsid w:val="006B4718"/>
    <w:rsid w:val="006C059A"/>
    <w:rsid w:val="006C2F82"/>
    <w:rsid w:val="006C40DD"/>
    <w:rsid w:val="006C6F17"/>
    <w:rsid w:val="006D0E14"/>
    <w:rsid w:val="006D58AA"/>
    <w:rsid w:val="006D6ED1"/>
    <w:rsid w:val="006E56B4"/>
    <w:rsid w:val="006F71AA"/>
    <w:rsid w:val="00701030"/>
    <w:rsid w:val="00701F75"/>
    <w:rsid w:val="0070248E"/>
    <w:rsid w:val="007208A9"/>
    <w:rsid w:val="00720B8D"/>
    <w:rsid w:val="0072200F"/>
    <w:rsid w:val="00732630"/>
    <w:rsid w:val="00734763"/>
    <w:rsid w:val="00745202"/>
    <w:rsid w:val="007475A5"/>
    <w:rsid w:val="00756C2B"/>
    <w:rsid w:val="00762919"/>
    <w:rsid w:val="007657E3"/>
    <w:rsid w:val="007717B0"/>
    <w:rsid w:val="00790D17"/>
    <w:rsid w:val="0079284B"/>
    <w:rsid w:val="00793F9B"/>
    <w:rsid w:val="00794EBA"/>
    <w:rsid w:val="00796CDF"/>
    <w:rsid w:val="007A0E94"/>
    <w:rsid w:val="007A6284"/>
    <w:rsid w:val="007B0375"/>
    <w:rsid w:val="007B2321"/>
    <w:rsid w:val="007B4315"/>
    <w:rsid w:val="007B47CD"/>
    <w:rsid w:val="007B70CA"/>
    <w:rsid w:val="007C1750"/>
    <w:rsid w:val="007C3708"/>
    <w:rsid w:val="007C4DE5"/>
    <w:rsid w:val="007E1C98"/>
    <w:rsid w:val="007E6262"/>
    <w:rsid w:val="007E6477"/>
    <w:rsid w:val="007F608F"/>
    <w:rsid w:val="007F7018"/>
    <w:rsid w:val="007F74DA"/>
    <w:rsid w:val="00804B9F"/>
    <w:rsid w:val="008074C8"/>
    <w:rsid w:val="0080767B"/>
    <w:rsid w:val="00810658"/>
    <w:rsid w:val="008163F4"/>
    <w:rsid w:val="00824BB4"/>
    <w:rsid w:val="00831B11"/>
    <w:rsid w:val="008353DD"/>
    <w:rsid w:val="00845D0B"/>
    <w:rsid w:val="00846A39"/>
    <w:rsid w:val="00853A0E"/>
    <w:rsid w:val="0086039B"/>
    <w:rsid w:val="00864B3D"/>
    <w:rsid w:val="00865AF6"/>
    <w:rsid w:val="00866D19"/>
    <w:rsid w:val="0087557F"/>
    <w:rsid w:val="00875E1D"/>
    <w:rsid w:val="00876112"/>
    <w:rsid w:val="00882455"/>
    <w:rsid w:val="008839AC"/>
    <w:rsid w:val="00885303"/>
    <w:rsid w:val="00895ECE"/>
    <w:rsid w:val="008961AB"/>
    <w:rsid w:val="008975F5"/>
    <w:rsid w:val="008A0A43"/>
    <w:rsid w:val="008B7964"/>
    <w:rsid w:val="008C025F"/>
    <w:rsid w:val="008C0444"/>
    <w:rsid w:val="008C7278"/>
    <w:rsid w:val="008D3FAE"/>
    <w:rsid w:val="008D6C0F"/>
    <w:rsid w:val="008D715B"/>
    <w:rsid w:val="008E10C8"/>
    <w:rsid w:val="008E6300"/>
    <w:rsid w:val="008E6BB5"/>
    <w:rsid w:val="008F36B2"/>
    <w:rsid w:val="008F49B4"/>
    <w:rsid w:val="008F6DC1"/>
    <w:rsid w:val="00901041"/>
    <w:rsid w:val="009021DF"/>
    <w:rsid w:val="00905138"/>
    <w:rsid w:val="009146EC"/>
    <w:rsid w:val="00916C68"/>
    <w:rsid w:val="0092174E"/>
    <w:rsid w:val="00922B54"/>
    <w:rsid w:val="0093150F"/>
    <w:rsid w:val="00937586"/>
    <w:rsid w:val="009435FE"/>
    <w:rsid w:val="00944445"/>
    <w:rsid w:val="00956C3D"/>
    <w:rsid w:val="00961E13"/>
    <w:rsid w:val="0097049F"/>
    <w:rsid w:val="0097408B"/>
    <w:rsid w:val="00975EC3"/>
    <w:rsid w:val="0098395C"/>
    <w:rsid w:val="00990FBE"/>
    <w:rsid w:val="00995204"/>
    <w:rsid w:val="0099FD15"/>
    <w:rsid w:val="009A16F0"/>
    <w:rsid w:val="009A4BFD"/>
    <w:rsid w:val="009A58E3"/>
    <w:rsid w:val="009A590C"/>
    <w:rsid w:val="009B0936"/>
    <w:rsid w:val="009B3FFC"/>
    <w:rsid w:val="009C0B53"/>
    <w:rsid w:val="009C46E9"/>
    <w:rsid w:val="009D6C19"/>
    <w:rsid w:val="009D6CF0"/>
    <w:rsid w:val="009E77B5"/>
    <w:rsid w:val="009F3869"/>
    <w:rsid w:val="009F398F"/>
    <w:rsid w:val="009F4567"/>
    <w:rsid w:val="00A01B50"/>
    <w:rsid w:val="00A04C13"/>
    <w:rsid w:val="00A11A3D"/>
    <w:rsid w:val="00A275A9"/>
    <w:rsid w:val="00A30A6F"/>
    <w:rsid w:val="00A337C2"/>
    <w:rsid w:val="00A34C64"/>
    <w:rsid w:val="00A34F2B"/>
    <w:rsid w:val="00A45812"/>
    <w:rsid w:val="00A46CE7"/>
    <w:rsid w:val="00A5262A"/>
    <w:rsid w:val="00A55EE8"/>
    <w:rsid w:val="00A62297"/>
    <w:rsid w:val="00A75509"/>
    <w:rsid w:val="00A814B1"/>
    <w:rsid w:val="00A82FB8"/>
    <w:rsid w:val="00A87F84"/>
    <w:rsid w:val="00A91A47"/>
    <w:rsid w:val="00A92739"/>
    <w:rsid w:val="00A95DD1"/>
    <w:rsid w:val="00AA2925"/>
    <w:rsid w:val="00AA579E"/>
    <w:rsid w:val="00AB6C3E"/>
    <w:rsid w:val="00AB797C"/>
    <w:rsid w:val="00AC0042"/>
    <w:rsid w:val="00AC2858"/>
    <w:rsid w:val="00AC31B8"/>
    <w:rsid w:val="00AC653E"/>
    <w:rsid w:val="00AE0A7C"/>
    <w:rsid w:val="00AE0C3A"/>
    <w:rsid w:val="00AE51D6"/>
    <w:rsid w:val="00AF0A3E"/>
    <w:rsid w:val="00AF4CAA"/>
    <w:rsid w:val="00B02295"/>
    <w:rsid w:val="00B06B92"/>
    <w:rsid w:val="00B13151"/>
    <w:rsid w:val="00B13208"/>
    <w:rsid w:val="00B1464B"/>
    <w:rsid w:val="00B2537E"/>
    <w:rsid w:val="00B2688C"/>
    <w:rsid w:val="00B335C4"/>
    <w:rsid w:val="00B36D12"/>
    <w:rsid w:val="00B433C7"/>
    <w:rsid w:val="00B4365F"/>
    <w:rsid w:val="00B46239"/>
    <w:rsid w:val="00B5041B"/>
    <w:rsid w:val="00B51F33"/>
    <w:rsid w:val="00B520F5"/>
    <w:rsid w:val="00B55AF0"/>
    <w:rsid w:val="00B6330F"/>
    <w:rsid w:val="00B6662C"/>
    <w:rsid w:val="00B70BBA"/>
    <w:rsid w:val="00B77FBB"/>
    <w:rsid w:val="00B8151C"/>
    <w:rsid w:val="00B871A2"/>
    <w:rsid w:val="00B87822"/>
    <w:rsid w:val="00B910E7"/>
    <w:rsid w:val="00B91CFB"/>
    <w:rsid w:val="00B97168"/>
    <w:rsid w:val="00B97611"/>
    <w:rsid w:val="00B97D5F"/>
    <w:rsid w:val="00BA1C93"/>
    <w:rsid w:val="00BA1EE8"/>
    <w:rsid w:val="00BB1A84"/>
    <w:rsid w:val="00BB6F8A"/>
    <w:rsid w:val="00BC7752"/>
    <w:rsid w:val="00BD2249"/>
    <w:rsid w:val="00BD54C4"/>
    <w:rsid w:val="00BE098E"/>
    <w:rsid w:val="00BE1D76"/>
    <w:rsid w:val="00BE6780"/>
    <w:rsid w:val="00BF401C"/>
    <w:rsid w:val="00BF6548"/>
    <w:rsid w:val="00BF660C"/>
    <w:rsid w:val="00BF6724"/>
    <w:rsid w:val="00C00410"/>
    <w:rsid w:val="00C00727"/>
    <w:rsid w:val="00C0709B"/>
    <w:rsid w:val="00C07706"/>
    <w:rsid w:val="00C135EA"/>
    <w:rsid w:val="00C1678A"/>
    <w:rsid w:val="00C269B2"/>
    <w:rsid w:val="00C3110C"/>
    <w:rsid w:val="00C41696"/>
    <w:rsid w:val="00C43240"/>
    <w:rsid w:val="00C50196"/>
    <w:rsid w:val="00C50AD7"/>
    <w:rsid w:val="00C50F42"/>
    <w:rsid w:val="00C57437"/>
    <w:rsid w:val="00C61BA2"/>
    <w:rsid w:val="00C730C5"/>
    <w:rsid w:val="00C7750C"/>
    <w:rsid w:val="00C82CF3"/>
    <w:rsid w:val="00C86827"/>
    <w:rsid w:val="00CA0B34"/>
    <w:rsid w:val="00CA2614"/>
    <w:rsid w:val="00CA2B70"/>
    <w:rsid w:val="00CB20D8"/>
    <w:rsid w:val="00CB29C4"/>
    <w:rsid w:val="00CB3E93"/>
    <w:rsid w:val="00CB5D08"/>
    <w:rsid w:val="00CB6830"/>
    <w:rsid w:val="00CC5A8E"/>
    <w:rsid w:val="00CC6252"/>
    <w:rsid w:val="00CC6A62"/>
    <w:rsid w:val="00CC7806"/>
    <w:rsid w:val="00CD0132"/>
    <w:rsid w:val="00CD0C04"/>
    <w:rsid w:val="00CD585E"/>
    <w:rsid w:val="00CD6715"/>
    <w:rsid w:val="00CD715A"/>
    <w:rsid w:val="00CE4B2A"/>
    <w:rsid w:val="00CE606C"/>
    <w:rsid w:val="00CE60BA"/>
    <w:rsid w:val="00CF0F7C"/>
    <w:rsid w:val="00CF13D2"/>
    <w:rsid w:val="00CF1F58"/>
    <w:rsid w:val="00CF275E"/>
    <w:rsid w:val="00CF4312"/>
    <w:rsid w:val="00CF69DC"/>
    <w:rsid w:val="00CF7326"/>
    <w:rsid w:val="00D0777D"/>
    <w:rsid w:val="00D112A2"/>
    <w:rsid w:val="00D14C70"/>
    <w:rsid w:val="00D20DCE"/>
    <w:rsid w:val="00D2227A"/>
    <w:rsid w:val="00D46C87"/>
    <w:rsid w:val="00D634D7"/>
    <w:rsid w:val="00D636BC"/>
    <w:rsid w:val="00D667FA"/>
    <w:rsid w:val="00D70519"/>
    <w:rsid w:val="00D719F6"/>
    <w:rsid w:val="00D74202"/>
    <w:rsid w:val="00D77809"/>
    <w:rsid w:val="00D8016D"/>
    <w:rsid w:val="00D82AF0"/>
    <w:rsid w:val="00D83FD7"/>
    <w:rsid w:val="00D8511E"/>
    <w:rsid w:val="00D917E4"/>
    <w:rsid w:val="00DA4607"/>
    <w:rsid w:val="00DA5C28"/>
    <w:rsid w:val="00DB2EE5"/>
    <w:rsid w:val="00DB6244"/>
    <w:rsid w:val="00DC18D3"/>
    <w:rsid w:val="00DC4549"/>
    <w:rsid w:val="00DD07A2"/>
    <w:rsid w:val="00DD67DD"/>
    <w:rsid w:val="00DF097D"/>
    <w:rsid w:val="00DF171A"/>
    <w:rsid w:val="00DF493E"/>
    <w:rsid w:val="00E02667"/>
    <w:rsid w:val="00E03FF6"/>
    <w:rsid w:val="00E1436A"/>
    <w:rsid w:val="00E1572A"/>
    <w:rsid w:val="00E24715"/>
    <w:rsid w:val="00E30DE0"/>
    <w:rsid w:val="00E37990"/>
    <w:rsid w:val="00E405C3"/>
    <w:rsid w:val="00E42BFF"/>
    <w:rsid w:val="00E44A2B"/>
    <w:rsid w:val="00E45201"/>
    <w:rsid w:val="00E46B74"/>
    <w:rsid w:val="00E50B25"/>
    <w:rsid w:val="00E52D8E"/>
    <w:rsid w:val="00E5356C"/>
    <w:rsid w:val="00E54BA0"/>
    <w:rsid w:val="00E629CB"/>
    <w:rsid w:val="00E66219"/>
    <w:rsid w:val="00E67452"/>
    <w:rsid w:val="00E72D34"/>
    <w:rsid w:val="00E92B6E"/>
    <w:rsid w:val="00E95E24"/>
    <w:rsid w:val="00E9628D"/>
    <w:rsid w:val="00E96FC9"/>
    <w:rsid w:val="00EA0058"/>
    <w:rsid w:val="00EA01ED"/>
    <w:rsid w:val="00EA563C"/>
    <w:rsid w:val="00EA6AD9"/>
    <w:rsid w:val="00EA7951"/>
    <w:rsid w:val="00EB3153"/>
    <w:rsid w:val="00EB5696"/>
    <w:rsid w:val="00EC74B3"/>
    <w:rsid w:val="00ED6E2E"/>
    <w:rsid w:val="00EE1CBE"/>
    <w:rsid w:val="00EE755B"/>
    <w:rsid w:val="00EF11A3"/>
    <w:rsid w:val="00EF3B46"/>
    <w:rsid w:val="00EF4C48"/>
    <w:rsid w:val="00EF561B"/>
    <w:rsid w:val="00F01735"/>
    <w:rsid w:val="00F01851"/>
    <w:rsid w:val="00F046D1"/>
    <w:rsid w:val="00F07A23"/>
    <w:rsid w:val="00F17999"/>
    <w:rsid w:val="00F354AE"/>
    <w:rsid w:val="00F370CB"/>
    <w:rsid w:val="00F43BF0"/>
    <w:rsid w:val="00F501E5"/>
    <w:rsid w:val="00F50FF0"/>
    <w:rsid w:val="00F52F10"/>
    <w:rsid w:val="00F547A2"/>
    <w:rsid w:val="00F56CA2"/>
    <w:rsid w:val="00F579CA"/>
    <w:rsid w:val="00F57BE9"/>
    <w:rsid w:val="00F63CB9"/>
    <w:rsid w:val="00F675CD"/>
    <w:rsid w:val="00F71C07"/>
    <w:rsid w:val="00F76006"/>
    <w:rsid w:val="00F831B0"/>
    <w:rsid w:val="00F832C7"/>
    <w:rsid w:val="00F84FB2"/>
    <w:rsid w:val="00F85CB4"/>
    <w:rsid w:val="00F86969"/>
    <w:rsid w:val="00F8D895"/>
    <w:rsid w:val="00F907F0"/>
    <w:rsid w:val="00F91D2F"/>
    <w:rsid w:val="00F9285C"/>
    <w:rsid w:val="00F94D65"/>
    <w:rsid w:val="00FB6F2D"/>
    <w:rsid w:val="00FC1703"/>
    <w:rsid w:val="00FC769B"/>
    <w:rsid w:val="00FD5BCA"/>
    <w:rsid w:val="00FD7987"/>
    <w:rsid w:val="00FE05AF"/>
    <w:rsid w:val="00FE1E71"/>
    <w:rsid w:val="00FE33E9"/>
    <w:rsid w:val="00FE3D7A"/>
    <w:rsid w:val="00FE48D3"/>
    <w:rsid w:val="00FE5733"/>
    <w:rsid w:val="01050D70"/>
    <w:rsid w:val="0115546A"/>
    <w:rsid w:val="0146EA08"/>
    <w:rsid w:val="015654CE"/>
    <w:rsid w:val="01607942"/>
    <w:rsid w:val="01776F85"/>
    <w:rsid w:val="018C3B20"/>
    <w:rsid w:val="018CFA50"/>
    <w:rsid w:val="018E5E2A"/>
    <w:rsid w:val="01971923"/>
    <w:rsid w:val="01DB484A"/>
    <w:rsid w:val="01E87ECE"/>
    <w:rsid w:val="01EA26F2"/>
    <w:rsid w:val="01EA682E"/>
    <w:rsid w:val="01F7461D"/>
    <w:rsid w:val="01F95A58"/>
    <w:rsid w:val="01FE96BA"/>
    <w:rsid w:val="0202DE26"/>
    <w:rsid w:val="02061057"/>
    <w:rsid w:val="020A8930"/>
    <w:rsid w:val="02101642"/>
    <w:rsid w:val="0214E507"/>
    <w:rsid w:val="021D4F8A"/>
    <w:rsid w:val="023A3D44"/>
    <w:rsid w:val="023BF8DF"/>
    <w:rsid w:val="023C5D4E"/>
    <w:rsid w:val="024C4339"/>
    <w:rsid w:val="0255C3B0"/>
    <w:rsid w:val="0264468D"/>
    <w:rsid w:val="0275929B"/>
    <w:rsid w:val="0285EF32"/>
    <w:rsid w:val="02875AFB"/>
    <w:rsid w:val="02925737"/>
    <w:rsid w:val="02A8693B"/>
    <w:rsid w:val="02BD281C"/>
    <w:rsid w:val="02CBD835"/>
    <w:rsid w:val="02D3C4BB"/>
    <w:rsid w:val="02D83F01"/>
    <w:rsid w:val="02EDCB3F"/>
    <w:rsid w:val="02F8FD81"/>
    <w:rsid w:val="03074C18"/>
    <w:rsid w:val="030BF3D6"/>
    <w:rsid w:val="03109E39"/>
    <w:rsid w:val="03339315"/>
    <w:rsid w:val="0341CACA"/>
    <w:rsid w:val="03526A56"/>
    <w:rsid w:val="0366130C"/>
    <w:rsid w:val="03661E73"/>
    <w:rsid w:val="036B51B2"/>
    <w:rsid w:val="0374AE33"/>
    <w:rsid w:val="038D488C"/>
    <w:rsid w:val="03938EB0"/>
    <w:rsid w:val="03A043D8"/>
    <w:rsid w:val="03A6814A"/>
    <w:rsid w:val="03D32290"/>
    <w:rsid w:val="03DD539D"/>
    <w:rsid w:val="03E3B501"/>
    <w:rsid w:val="03E4D61D"/>
    <w:rsid w:val="03EB8A18"/>
    <w:rsid w:val="03ECF8C2"/>
    <w:rsid w:val="03F10C06"/>
    <w:rsid w:val="04049D28"/>
    <w:rsid w:val="0405A53B"/>
    <w:rsid w:val="0407CA10"/>
    <w:rsid w:val="040FB6D6"/>
    <w:rsid w:val="0423878A"/>
    <w:rsid w:val="042F26C0"/>
    <w:rsid w:val="0450D042"/>
    <w:rsid w:val="046E7D7E"/>
    <w:rsid w:val="04BD3BA5"/>
    <w:rsid w:val="04C147B2"/>
    <w:rsid w:val="04C90867"/>
    <w:rsid w:val="04CF33A8"/>
    <w:rsid w:val="04D68904"/>
    <w:rsid w:val="04D900F5"/>
    <w:rsid w:val="04F0F8BA"/>
    <w:rsid w:val="051B36A9"/>
    <w:rsid w:val="052CE44F"/>
    <w:rsid w:val="052F700D"/>
    <w:rsid w:val="052FE5D1"/>
    <w:rsid w:val="0544E80D"/>
    <w:rsid w:val="05524CA3"/>
    <w:rsid w:val="0560D2DE"/>
    <w:rsid w:val="0568DBF8"/>
    <w:rsid w:val="05699839"/>
    <w:rsid w:val="05732C5D"/>
    <w:rsid w:val="05738999"/>
    <w:rsid w:val="05854798"/>
    <w:rsid w:val="05A831DE"/>
    <w:rsid w:val="05A94C34"/>
    <w:rsid w:val="05AEC445"/>
    <w:rsid w:val="05AFA5CF"/>
    <w:rsid w:val="05B42388"/>
    <w:rsid w:val="05D4297E"/>
    <w:rsid w:val="05FADAA0"/>
    <w:rsid w:val="05FFF77E"/>
    <w:rsid w:val="06048205"/>
    <w:rsid w:val="06113333"/>
    <w:rsid w:val="06183BE9"/>
    <w:rsid w:val="063078EB"/>
    <w:rsid w:val="0639B6FA"/>
    <w:rsid w:val="063B4EC7"/>
    <w:rsid w:val="06406446"/>
    <w:rsid w:val="06637A91"/>
    <w:rsid w:val="066BE3E1"/>
    <w:rsid w:val="06765A27"/>
    <w:rsid w:val="06809E58"/>
    <w:rsid w:val="06831F88"/>
    <w:rsid w:val="06927124"/>
    <w:rsid w:val="06C7306B"/>
    <w:rsid w:val="06D1DAEC"/>
    <w:rsid w:val="070A825A"/>
    <w:rsid w:val="0718BEC7"/>
    <w:rsid w:val="0722775D"/>
    <w:rsid w:val="07322AAC"/>
    <w:rsid w:val="073C145B"/>
    <w:rsid w:val="075A554C"/>
    <w:rsid w:val="0776CB04"/>
    <w:rsid w:val="077D5D40"/>
    <w:rsid w:val="0787377B"/>
    <w:rsid w:val="079370E0"/>
    <w:rsid w:val="07A4B471"/>
    <w:rsid w:val="07ADD4A8"/>
    <w:rsid w:val="07B7568D"/>
    <w:rsid w:val="07D67F74"/>
    <w:rsid w:val="07DF609D"/>
    <w:rsid w:val="07FE16E7"/>
    <w:rsid w:val="0801D48C"/>
    <w:rsid w:val="080A90E8"/>
    <w:rsid w:val="082221DE"/>
    <w:rsid w:val="082E6812"/>
    <w:rsid w:val="08353731"/>
    <w:rsid w:val="08353B7F"/>
    <w:rsid w:val="08378AAF"/>
    <w:rsid w:val="08447473"/>
    <w:rsid w:val="08855A1E"/>
    <w:rsid w:val="0886FBB6"/>
    <w:rsid w:val="0887684F"/>
    <w:rsid w:val="0889DE10"/>
    <w:rsid w:val="08B08735"/>
    <w:rsid w:val="08CFEFDC"/>
    <w:rsid w:val="08F44702"/>
    <w:rsid w:val="090BE6D7"/>
    <w:rsid w:val="0910B578"/>
    <w:rsid w:val="09122DFA"/>
    <w:rsid w:val="09232596"/>
    <w:rsid w:val="0927A08A"/>
    <w:rsid w:val="0930E396"/>
    <w:rsid w:val="093D66A7"/>
    <w:rsid w:val="09443496"/>
    <w:rsid w:val="094779FE"/>
    <w:rsid w:val="096C96AD"/>
    <w:rsid w:val="097A8F68"/>
    <w:rsid w:val="097F5837"/>
    <w:rsid w:val="09936300"/>
    <w:rsid w:val="099C4CF4"/>
    <w:rsid w:val="09A737F7"/>
    <w:rsid w:val="09B82D3F"/>
    <w:rsid w:val="09FBE89A"/>
    <w:rsid w:val="0A00FE79"/>
    <w:rsid w:val="0A0B9963"/>
    <w:rsid w:val="0A0FCA9F"/>
    <w:rsid w:val="0A14BC8C"/>
    <w:rsid w:val="0A344EE0"/>
    <w:rsid w:val="0A36B32A"/>
    <w:rsid w:val="0A40C567"/>
    <w:rsid w:val="0A4754E0"/>
    <w:rsid w:val="0A4D03DA"/>
    <w:rsid w:val="0A4EAB90"/>
    <w:rsid w:val="0A509A9F"/>
    <w:rsid w:val="0A704161"/>
    <w:rsid w:val="0A71A941"/>
    <w:rsid w:val="0A9BA9A7"/>
    <w:rsid w:val="0AAA14D9"/>
    <w:rsid w:val="0AAD7B18"/>
    <w:rsid w:val="0AC979D7"/>
    <w:rsid w:val="0B0C4234"/>
    <w:rsid w:val="0B12339A"/>
    <w:rsid w:val="0B16D94A"/>
    <w:rsid w:val="0B1AB8D2"/>
    <w:rsid w:val="0B1E7F12"/>
    <w:rsid w:val="0B24E2A9"/>
    <w:rsid w:val="0B2587CA"/>
    <w:rsid w:val="0B308534"/>
    <w:rsid w:val="0B32EBD6"/>
    <w:rsid w:val="0B3DFBCA"/>
    <w:rsid w:val="0B42839E"/>
    <w:rsid w:val="0B42F538"/>
    <w:rsid w:val="0B517F59"/>
    <w:rsid w:val="0B64CE57"/>
    <w:rsid w:val="0B68E6EA"/>
    <w:rsid w:val="0B751054"/>
    <w:rsid w:val="0B845643"/>
    <w:rsid w:val="0B8696DD"/>
    <w:rsid w:val="0B8BB2BF"/>
    <w:rsid w:val="0BA926F6"/>
    <w:rsid w:val="0BBAE8A6"/>
    <w:rsid w:val="0BBB6A07"/>
    <w:rsid w:val="0BCD0251"/>
    <w:rsid w:val="0BE184C7"/>
    <w:rsid w:val="0BE2A3C7"/>
    <w:rsid w:val="0BE7CDC8"/>
    <w:rsid w:val="0BEFC333"/>
    <w:rsid w:val="0BF11657"/>
    <w:rsid w:val="0BFBF315"/>
    <w:rsid w:val="0C09E6F0"/>
    <w:rsid w:val="0C200F4C"/>
    <w:rsid w:val="0C234C8F"/>
    <w:rsid w:val="0C2FD41C"/>
    <w:rsid w:val="0C55DC4C"/>
    <w:rsid w:val="0C877B93"/>
    <w:rsid w:val="0C8833F8"/>
    <w:rsid w:val="0C8D096A"/>
    <w:rsid w:val="0C92988E"/>
    <w:rsid w:val="0C94CC60"/>
    <w:rsid w:val="0C9F6E5B"/>
    <w:rsid w:val="0CCB5C38"/>
    <w:rsid w:val="0CE1B0FD"/>
    <w:rsid w:val="0CE932A1"/>
    <w:rsid w:val="0D097427"/>
    <w:rsid w:val="0D282711"/>
    <w:rsid w:val="0D2CA136"/>
    <w:rsid w:val="0D32C19C"/>
    <w:rsid w:val="0D3C0498"/>
    <w:rsid w:val="0D4EB8CE"/>
    <w:rsid w:val="0D515F43"/>
    <w:rsid w:val="0D561EF4"/>
    <w:rsid w:val="0D5BE469"/>
    <w:rsid w:val="0D61B892"/>
    <w:rsid w:val="0D6A26A0"/>
    <w:rsid w:val="0D70CA4D"/>
    <w:rsid w:val="0D7C98C0"/>
    <w:rsid w:val="0D8B5742"/>
    <w:rsid w:val="0D90E8A9"/>
    <w:rsid w:val="0DA67BCF"/>
    <w:rsid w:val="0DAC1D2C"/>
    <w:rsid w:val="0DAF5DE1"/>
    <w:rsid w:val="0DB190A5"/>
    <w:rsid w:val="0DB50B60"/>
    <w:rsid w:val="0DC272E9"/>
    <w:rsid w:val="0DD4A1B9"/>
    <w:rsid w:val="0DE6F6C8"/>
    <w:rsid w:val="0DE926CD"/>
    <w:rsid w:val="0DE99574"/>
    <w:rsid w:val="0E076B32"/>
    <w:rsid w:val="0E0F9B20"/>
    <w:rsid w:val="0E2BC0C6"/>
    <w:rsid w:val="0E34D76B"/>
    <w:rsid w:val="0E39BB90"/>
    <w:rsid w:val="0E3D23F9"/>
    <w:rsid w:val="0E6219BF"/>
    <w:rsid w:val="0E6465C1"/>
    <w:rsid w:val="0E6CDE37"/>
    <w:rsid w:val="0E6D6D8E"/>
    <w:rsid w:val="0E80245B"/>
    <w:rsid w:val="0E9186C2"/>
    <w:rsid w:val="0E97E4C2"/>
    <w:rsid w:val="0E986448"/>
    <w:rsid w:val="0EA5C8F0"/>
    <w:rsid w:val="0EAA1EE1"/>
    <w:rsid w:val="0EAAB174"/>
    <w:rsid w:val="0EB2B968"/>
    <w:rsid w:val="0EF05001"/>
    <w:rsid w:val="0EF76A92"/>
    <w:rsid w:val="0EFD8347"/>
    <w:rsid w:val="0F04ABEA"/>
    <w:rsid w:val="0F1BAFAD"/>
    <w:rsid w:val="0F34475C"/>
    <w:rsid w:val="0F39B9D9"/>
    <w:rsid w:val="0F433969"/>
    <w:rsid w:val="0F508F8E"/>
    <w:rsid w:val="0F70B9DB"/>
    <w:rsid w:val="0F7F6427"/>
    <w:rsid w:val="0F901899"/>
    <w:rsid w:val="0F9679FE"/>
    <w:rsid w:val="0F9DF239"/>
    <w:rsid w:val="0FAC72B7"/>
    <w:rsid w:val="0FC671F6"/>
    <w:rsid w:val="0FDC5453"/>
    <w:rsid w:val="0FEB9CC6"/>
    <w:rsid w:val="10159C04"/>
    <w:rsid w:val="101FCDDD"/>
    <w:rsid w:val="1027E8DD"/>
    <w:rsid w:val="10360D2C"/>
    <w:rsid w:val="104EFBE6"/>
    <w:rsid w:val="1059E8F5"/>
    <w:rsid w:val="105F72C4"/>
    <w:rsid w:val="1063427B"/>
    <w:rsid w:val="1070FC93"/>
    <w:rsid w:val="1085710B"/>
    <w:rsid w:val="1089E9C5"/>
    <w:rsid w:val="109C3227"/>
    <w:rsid w:val="10A7D80D"/>
    <w:rsid w:val="10AD52BC"/>
    <w:rsid w:val="10AD6B17"/>
    <w:rsid w:val="10BF382C"/>
    <w:rsid w:val="10ED981B"/>
    <w:rsid w:val="10FBB21C"/>
    <w:rsid w:val="11035934"/>
    <w:rsid w:val="110950CC"/>
    <w:rsid w:val="1111FB55"/>
    <w:rsid w:val="11353103"/>
    <w:rsid w:val="11455091"/>
    <w:rsid w:val="11469B21"/>
    <w:rsid w:val="114A7453"/>
    <w:rsid w:val="1150B065"/>
    <w:rsid w:val="1163EC88"/>
    <w:rsid w:val="116A4DFD"/>
    <w:rsid w:val="116F194A"/>
    <w:rsid w:val="1172057A"/>
    <w:rsid w:val="11741A3B"/>
    <w:rsid w:val="117BAE64"/>
    <w:rsid w:val="117C11F3"/>
    <w:rsid w:val="118565E5"/>
    <w:rsid w:val="118646D9"/>
    <w:rsid w:val="118A2ADF"/>
    <w:rsid w:val="119E96D4"/>
    <w:rsid w:val="11A345D8"/>
    <w:rsid w:val="11A77A96"/>
    <w:rsid w:val="11C3F71D"/>
    <w:rsid w:val="11C57B1E"/>
    <w:rsid w:val="11E122B6"/>
    <w:rsid w:val="11F37440"/>
    <w:rsid w:val="1210DD29"/>
    <w:rsid w:val="121F6D82"/>
    <w:rsid w:val="1240CF88"/>
    <w:rsid w:val="1244E132"/>
    <w:rsid w:val="1247F5AC"/>
    <w:rsid w:val="12556497"/>
    <w:rsid w:val="12562F38"/>
    <w:rsid w:val="1257D7AF"/>
    <w:rsid w:val="1268F65E"/>
    <w:rsid w:val="1286B6A0"/>
    <w:rsid w:val="128B7D9D"/>
    <w:rsid w:val="128E4DA4"/>
    <w:rsid w:val="12914D5E"/>
    <w:rsid w:val="12955475"/>
    <w:rsid w:val="129F3E37"/>
    <w:rsid w:val="12DBD691"/>
    <w:rsid w:val="12E7E8A4"/>
    <w:rsid w:val="12E8C9B8"/>
    <w:rsid w:val="12F2974D"/>
    <w:rsid w:val="12FD6B34"/>
    <w:rsid w:val="1307C827"/>
    <w:rsid w:val="1319FCBC"/>
    <w:rsid w:val="1324F93C"/>
    <w:rsid w:val="1325536F"/>
    <w:rsid w:val="13330772"/>
    <w:rsid w:val="13398D37"/>
    <w:rsid w:val="133AAAD5"/>
    <w:rsid w:val="1348E8B4"/>
    <w:rsid w:val="13492717"/>
    <w:rsid w:val="1349F82D"/>
    <w:rsid w:val="134E50E8"/>
    <w:rsid w:val="1364E9B5"/>
    <w:rsid w:val="136C3D8A"/>
    <w:rsid w:val="13845799"/>
    <w:rsid w:val="13A03D2E"/>
    <w:rsid w:val="13B3FD55"/>
    <w:rsid w:val="13E3ADC0"/>
    <w:rsid w:val="13EF68F0"/>
    <w:rsid w:val="13F22C7D"/>
    <w:rsid w:val="1406792C"/>
    <w:rsid w:val="142079E8"/>
    <w:rsid w:val="143A5A49"/>
    <w:rsid w:val="1459248E"/>
    <w:rsid w:val="14628CD8"/>
    <w:rsid w:val="1464C793"/>
    <w:rsid w:val="1469CF9E"/>
    <w:rsid w:val="146BF21C"/>
    <w:rsid w:val="14758305"/>
    <w:rsid w:val="147A3BDD"/>
    <w:rsid w:val="1485269A"/>
    <w:rsid w:val="14879E62"/>
    <w:rsid w:val="149807E5"/>
    <w:rsid w:val="14B42F2F"/>
    <w:rsid w:val="14FF1CAB"/>
    <w:rsid w:val="15063B11"/>
    <w:rsid w:val="15193BAF"/>
    <w:rsid w:val="1527FCB0"/>
    <w:rsid w:val="152D48C5"/>
    <w:rsid w:val="153BE880"/>
    <w:rsid w:val="153E1892"/>
    <w:rsid w:val="1544D5B6"/>
    <w:rsid w:val="1563D1D5"/>
    <w:rsid w:val="156D5A70"/>
    <w:rsid w:val="1570B8FB"/>
    <w:rsid w:val="15915177"/>
    <w:rsid w:val="15980C43"/>
    <w:rsid w:val="15A9E4A6"/>
    <w:rsid w:val="15BA7164"/>
    <w:rsid w:val="15CCBF72"/>
    <w:rsid w:val="15CCF2CE"/>
    <w:rsid w:val="15CE62D1"/>
    <w:rsid w:val="15CF2D9A"/>
    <w:rsid w:val="15DE6FB4"/>
    <w:rsid w:val="15F385CB"/>
    <w:rsid w:val="16065D38"/>
    <w:rsid w:val="1614B173"/>
    <w:rsid w:val="161DC422"/>
    <w:rsid w:val="161FD061"/>
    <w:rsid w:val="162FB782"/>
    <w:rsid w:val="16560D3E"/>
    <w:rsid w:val="16599AB3"/>
    <w:rsid w:val="166F637E"/>
    <w:rsid w:val="16A610E3"/>
    <w:rsid w:val="16A871AF"/>
    <w:rsid w:val="16BA2B48"/>
    <w:rsid w:val="16D78F26"/>
    <w:rsid w:val="16DDFBB3"/>
    <w:rsid w:val="16E3E08C"/>
    <w:rsid w:val="16EE93BA"/>
    <w:rsid w:val="17094517"/>
    <w:rsid w:val="1710A313"/>
    <w:rsid w:val="17203738"/>
    <w:rsid w:val="1727531B"/>
    <w:rsid w:val="1727EB55"/>
    <w:rsid w:val="173038F5"/>
    <w:rsid w:val="17520B55"/>
    <w:rsid w:val="1768F085"/>
    <w:rsid w:val="1784C252"/>
    <w:rsid w:val="178E3659"/>
    <w:rsid w:val="178EE9A7"/>
    <w:rsid w:val="17A3B8ED"/>
    <w:rsid w:val="17A58791"/>
    <w:rsid w:val="17A5D99E"/>
    <w:rsid w:val="17ABDEE9"/>
    <w:rsid w:val="17AC962B"/>
    <w:rsid w:val="17BB5C2D"/>
    <w:rsid w:val="17BCF694"/>
    <w:rsid w:val="17CDC7B0"/>
    <w:rsid w:val="17DA0FA7"/>
    <w:rsid w:val="17DCFB62"/>
    <w:rsid w:val="17E89363"/>
    <w:rsid w:val="17FF8C26"/>
    <w:rsid w:val="180BA540"/>
    <w:rsid w:val="1816A62C"/>
    <w:rsid w:val="18192DE5"/>
    <w:rsid w:val="181A17E9"/>
    <w:rsid w:val="18233E69"/>
    <w:rsid w:val="1829FF69"/>
    <w:rsid w:val="182E5874"/>
    <w:rsid w:val="183006E4"/>
    <w:rsid w:val="18424ACC"/>
    <w:rsid w:val="18489D52"/>
    <w:rsid w:val="186508BF"/>
    <w:rsid w:val="1869A2ED"/>
    <w:rsid w:val="187BB30F"/>
    <w:rsid w:val="18821C00"/>
    <w:rsid w:val="1894AC90"/>
    <w:rsid w:val="18A0909B"/>
    <w:rsid w:val="18A2F0E7"/>
    <w:rsid w:val="18ABC23A"/>
    <w:rsid w:val="18B1A568"/>
    <w:rsid w:val="18B509AA"/>
    <w:rsid w:val="18B63100"/>
    <w:rsid w:val="18C525E3"/>
    <w:rsid w:val="18EE0CFD"/>
    <w:rsid w:val="19071018"/>
    <w:rsid w:val="19174847"/>
    <w:rsid w:val="19258CF8"/>
    <w:rsid w:val="193EAAA9"/>
    <w:rsid w:val="193F3F2E"/>
    <w:rsid w:val="19442F2D"/>
    <w:rsid w:val="1952AE84"/>
    <w:rsid w:val="19569E7F"/>
    <w:rsid w:val="195A3D6A"/>
    <w:rsid w:val="196111CC"/>
    <w:rsid w:val="1988E365"/>
    <w:rsid w:val="198DE562"/>
    <w:rsid w:val="1992DD9E"/>
    <w:rsid w:val="1998AF9D"/>
    <w:rsid w:val="199DF0D9"/>
    <w:rsid w:val="19A59363"/>
    <w:rsid w:val="19B09F6E"/>
    <w:rsid w:val="19BE4C00"/>
    <w:rsid w:val="19C6FB38"/>
    <w:rsid w:val="19D21EC1"/>
    <w:rsid w:val="19D88BAE"/>
    <w:rsid w:val="19F33B42"/>
    <w:rsid w:val="19FC6D2D"/>
    <w:rsid w:val="1A0306CB"/>
    <w:rsid w:val="1A08443F"/>
    <w:rsid w:val="1A0A2E35"/>
    <w:rsid w:val="1A348A8F"/>
    <w:rsid w:val="1A384AA5"/>
    <w:rsid w:val="1A406DAE"/>
    <w:rsid w:val="1A50A020"/>
    <w:rsid w:val="1A523458"/>
    <w:rsid w:val="1A52A113"/>
    <w:rsid w:val="1A54BD79"/>
    <w:rsid w:val="1A5888F4"/>
    <w:rsid w:val="1A800755"/>
    <w:rsid w:val="1A824DB6"/>
    <w:rsid w:val="1A98E58A"/>
    <w:rsid w:val="1A9D2EE5"/>
    <w:rsid w:val="1AAE1482"/>
    <w:rsid w:val="1ABC006F"/>
    <w:rsid w:val="1AD77863"/>
    <w:rsid w:val="1ADF3CBE"/>
    <w:rsid w:val="1AE071C0"/>
    <w:rsid w:val="1AFDA04A"/>
    <w:rsid w:val="1B0BD07A"/>
    <w:rsid w:val="1B138A28"/>
    <w:rsid w:val="1B178EE4"/>
    <w:rsid w:val="1B1FF365"/>
    <w:rsid w:val="1B3486C7"/>
    <w:rsid w:val="1B73FE7C"/>
    <w:rsid w:val="1B7987AF"/>
    <w:rsid w:val="1B7B85CF"/>
    <w:rsid w:val="1B822C5A"/>
    <w:rsid w:val="1B8704B6"/>
    <w:rsid w:val="1B8DB65A"/>
    <w:rsid w:val="1B91852E"/>
    <w:rsid w:val="1BA85CAE"/>
    <w:rsid w:val="1BAB2B64"/>
    <w:rsid w:val="1BBD590F"/>
    <w:rsid w:val="1BC71E21"/>
    <w:rsid w:val="1BD09912"/>
    <w:rsid w:val="1BE63C58"/>
    <w:rsid w:val="1BF9B431"/>
    <w:rsid w:val="1C3863CF"/>
    <w:rsid w:val="1C50EEEE"/>
    <w:rsid w:val="1C58EC2C"/>
    <w:rsid w:val="1C5C225E"/>
    <w:rsid w:val="1C7725A6"/>
    <w:rsid w:val="1C85298E"/>
    <w:rsid w:val="1C8A05D1"/>
    <w:rsid w:val="1C8E6F0F"/>
    <w:rsid w:val="1C8EAF47"/>
    <w:rsid w:val="1CA1136E"/>
    <w:rsid w:val="1CA51A4C"/>
    <w:rsid w:val="1CBA681D"/>
    <w:rsid w:val="1CBD5F0F"/>
    <w:rsid w:val="1CF9A7D4"/>
    <w:rsid w:val="1D0082C1"/>
    <w:rsid w:val="1D0653D5"/>
    <w:rsid w:val="1D0C48AA"/>
    <w:rsid w:val="1D34B214"/>
    <w:rsid w:val="1D3CD7D8"/>
    <w:rsid w:val="1D3E2740"/>
    <w:rsid w:val="1D5605D6"/>
    <w:rsid w:val="1D5CE324"/>
    <w:rsid w:val="1D5D4722"/>
    <w:rsid w:val="1D85B6AC"/>
    <w:rsid w:val="1D913614"/>
    <w:rsid w:val="1D925DC3"/>
    <w:rsid w:val="1D9B35C0"/>
    <w:rsid w:val="1DAD2619"/>
    <w:rsid w:val="1DC7B73F"/>
    <w:rsid w:val="1DD1895C"/>
    <w:rsid w:val="1DFFBD48"/>
    <w:rsid w:val="1E03E899"/>
    <w:rsid w:val="1E04E4D6"/>
    <w:rsid w:val="1E0F9E0A"/>
    <w:rsid w:val="1E136D75"/>
    <w:rsid w:val="1E28ADC7"/>
    <w:rsid w:val="1E2F353E"/>
    <w:rsid w:val="1E33E4E6"/>
    <w:rsid w:val="1E56D3A6"/>
    <w:rsid w:val="1E66BF88"/>
    <w:rsid w:val="1E846ABF"/>
    <w:rsid w:val="1ECE7132"/>
    <w:rsid w:val="1ED4B6B8"/>
    <w:rsid w:val="1EDCA6C0"/>
    <w:rsid w:val="1EEE8C71"/>
    <w:rsid w:val="1EF62DD9"/>
    <w:rsid w:val="1EF98974"/>
    <w:rsid w:val="1EFBF3CD"/>
    <w:rsid w:val="1EFCD7D1"/>
    <w:rsid w:val="1F167ECA"/>
    <w:rsid w:val="1F1EB46D"/>
    <w:rsid w:val="1F37436F"/>
    <w:rsid w:val="1F46D636"/>
    <w:rsid w:val="1F47BB45"/>
    <w:rsid w:val="1F582D36"/>
    <w:rsid w:val="1F5A0377"/>
    <w:rsid w:val="1F651296"/>
    <w:rsid w:val="1F6576C9"/>
    <w:rsid w:val="1F66FC6E"/>
    <w:rsid w:val="1FA70859"/>
    <w:rsid w:val="1FA739CD"/>
    <w:rsid w:val="1FC5D4AB"/>
    <w:rsid w:val="1FC6410B"/>
    <w:rsid w:val="1FD468C1"/>
    <w:rsid w:val="1FE015FC"/>
    <w:rsid w:val="1FEA447F"/>
    <w:rsid w:val="1FFB0FB8"/>
    <w:rsid w:val="2001DE09"/>
    <w:rsid w:val="201BA2FC"/>
    <w:rsid w:val="202E9515"/>
    <w:rsid w:val="2031183C"/>
    <w:rsid w:val="20406DB7"/>
    <w:rsid w:val="204866BF"/>
    <w:rsid w:val="204BFD87"/>
    <w:rsid w:val="205C094A"/>
    <w:rsid w:val="20642F33"/>
    <w:rsid w:val="206500D4"/>
    <w:rsid w:val="207C1D39"/>
    <w:rsid w:val="2080B803"/>
    <w:rsid w:val="2081CA03"/>
    <w:rsid w:val="2090B678"/>
    <w:rsid w:val="209FA792"/>
    <w:rsid w:val="20B8FFC6"/>
    <w:rsid w:val="20D40A88"/>
    <w:rsid w:val="20E2692F"/>
    <w:rsid w:val="20E77D84"/>
    <w:rsid w:val="20E8F51E"/>
    <w:rsid w:val="20EE7D70"/>
    <w:rsid w:val="20FE5CBF"/>
    <w:rsid w:val="21041C26"/>
    <w:rsid w:val="21106BCD"/>
    <w:rsid w:val="21153DE2"/>
    <w:rsid w:val="211CCA30"/>
    <w:rsid w:val="213826A0"/>
    <w:rsid w:val="2142E7EB"/>
    <w:rsid w:val="21550517"/>
    <w:rsid w:val="2159DFD8"/>
    <w:rsid w:val="2172E4B6"/>
    <w:rsid w:val="2186F738"/>
    <w:rsid w:val="218B42AF"/>
    <w:rsid w:val="218ED7F4"/>
    <w:rsid w:val="21968D20"/>
    <w:rsid w:val="2198001B"/>
    <w:rsid w:val="21A9FB06"/>
    <w:rsid w:val="21D0CB54"/>
    <w:rsid w:val="21DAB95E"/>
    <w:rsid w:val="21F71A3A"/>
    <w:rsid w:val="22078E98"/>
    <w:rsid w:val="222A5843"/>
    <w:rsid w:val="222CF231"/>
    <w:rsid w:val="2234AC16"/>
    <w:rsid w:val="22366283"/>
    <w:rsid w:val="226893FC"/>
    <w:rsid w:val="227EC39D"/>
    <w:rsid w:val="2281B6E0"/>
    <w:rsid w:val="2294D37C"/>
    <w:rsid w:val="229D2ACD"/>
    <w:rsid w:val="229DE7EF"/>
    <w:rsid w:val="22BD778E"/>
    <w:rsid w:val="22D078C9"/>
    <w:rsid w:val="22DA3202"/>
    <w:rsid w:val="22EA6873"/>
    <w:rsid w:val="22F321AF"/>
    <w:rsid w:val="22FE7095"/>
    <w:rsid w:val="2303976C"/>
    <w:rsid w:val="23147317"/>
    <w:rsid w:val="2326EA37"/>
    <w:rsid w:val="23286B5B"/>
    <w:rsid w:val="23349725"/>
    <w:rsid w:val="234125F5"/>
    <w:rsid w:val="234D4F43"/>
    <w:rsid w:val="2366E2B0"/>
    <w:rsid w:val="23685F77"/>
    <w:rsid w:val="2379C5EB"/>
    <w:rsid w:val="2385ED4B"/>
    <w:rsid w:val="238E18DD"/>
    <w:rsid w:val="23A0A1B0"/>
    <w:rsid w:val="23AF909C"/>
    <w:rsid w:val="23B8275E"/>
    <w:rsid w:val="23CFBB9D"/>
    <w:rsid w:val="23D87921"/>
    <w:rsid w:val="23E62410"/>
    <w:rsid w:val="24026A68"/>
    <w:rsid w:val="241BDB83"/>
    <w:rsid w:val="2425734C"/>
    <w:rsid w:val="24278041"/>
    <w:rsid w:val="2429FFCE"/>
    <w:rsid w:val="242AFC4D"/>
    <w:rsid w:val="243B295C"/>
    <w:rsid w:val="24445C5A"/>
    <w:rsid w:val="24530FB9"/>
    <w:rsid w:val="24599A82"/>
    <w:rsid w:val="246E043B"/>
    <w:rsid w:val="24748C0E"/>
    <w:rsid w:val="2482002C"/>
    <w:rsid w:val="2494CD87"/>
    <w:rsid w:val="249764D1"/>
    <w:rsid w:val="24B4DC83"/>
    <w:rsid w:val="24D03592"/>
    <w:rsid w:val="24D057DC"/>
    <w:rsid w:val="24E0C7F4"/>
    <w:rsid w:val="24E66478"/>
    <w:rsid w:val="24F04C3D"/>
    <w:rsid w:val="250C607B"/>
    <w:rsid w:val="25487C94"/>
    <w:rsid w:val="25505007"/>
    <w:rsid w:val="257DA817"/>
    <w:rsid w:val="25A10FBB"/>
    <w:rsid w:val="25AE7D88"/>
    <w:rsid w:val="25D8D745"/>
    <w:rsid w:val="25E785C9"/>
    <w:rsid w:val="25F7A8AC"/>
    <w:rsid w:val="25F99A8C"/>
    <w:rsid w:val="260D1C45"/>
    <w:rsid w:val="261D0E08"/>
    <w:rsid w:val="2623BDE9"/>
    <w:rsid w:val="263C0183"/>
    <w:rsid w:val="263E6D80"/>
    <w:rsid w:val="26478F91"/>
    <w:rsid w:val="264DBEF7"/>
    <w:rsid w:val="26711F99"/>
    <w:rsid w:val="267BA90E"/>
    <w:rsid w:val="267F7052"/>
    <w:rsid w:val="2685456B"/>
    <w:rsid w:val="268B724B"/>
    <w:rsid w:val="26900F78"/>
    <w:rsid w:val="26B61DCA"/>
    <w:rsid w:val="26BB3FA6"/>
    <w:rsid w:val="26BDB4C2"/>
    <w:rsid w:val="26C86B61"/>
    <w:rsid w:val="26CCAA29"/>
    <w:rsid w:val="26CD807B"/>
    <w:rsid w:val="26D9FB6D"/>
    <w:rsid w:val="26E7287E"/>
    <w:rsid w:val="26FE7629"/>
    <w:rsid w:val="2709A088"/>
    <w:rsid w:val="270EC5C7"/>
    <w:rsid w:val="27103928"/>
    <w:rsid w:val="27106E18"/>
    <w:rsid w:val="272C6FB9"/>
    <w:rsid w:val="2735BFAC"/>
    <w:rsid w:val="2737E0A5"/>
    <w:rsid w:val="274A6754"/>
    <w:rsid w:val="275EB018"/>
    <w:rsid w:val="275F5F81"/>
    <w:rsid w:val="27753B7B"/>
    <w:rsid w:val="2780FD15"/>
    <w:rsid w:val="27863EE7"/>
    <w:rsid w:val="278C602F"/>
    <w:rsid w:val="279EB810"/>
    <w:rsid w:val="27C3CEFD"/>
    <w:rsid w:val="27CE21DD"/>
    <w:rsid w:val="27D50620"/>
    <w:rsid w:val="27D59B0A"/>
    <w:rsid w:val="27DB7F9C"/>
    <w:rsid w:val="27DBD247"/>
    <w:rsid w:val="27F1FF3A"/>
    <w:rsid w:val="27FABBEB"/>
    <w:rsid w:val="27FF75FB"/>
    <w:rsid w:val="2800E56F"/>
    <w:rsid w:val="2807E12A"/>
    <w:rsid w:val="280DCF85"/>
    <w:rsid w:val="281749A5"/>
    <w:rsid w:val="28197E19"/>
    <w:rsid w:val="281F565A"/>
    <w:rsid w:val="282B8514"/>
    <w:rsid w:val="28337418"/>
    <w:rsid w:val="284D739B"/>
    <w:rsid w:val="285A38D0"/>
    <w:rsid w:val="285E3A2C"/>
    <w:rsid w:val="285E521E"/>
    <w:rsid w:val="285ECAF3"/>
    <w:rsid w:val="28790959"/>
    <w:rsid w:val="287C9D43"/>
    <w:rsid w:val="287CBB0C"/>
    <w:rsid w:val="2885693C"/>
    <w:rsid w:val="28A3A0FB"/>
    <w:rsid w:val="28ACDF12"/>
    <w:rsid w:val="28BEF9D9"/>
    <w:rsid w:val="28C47C02"/>
    <w:rsid w:val="28D225EC"/>
    <w:rsid w:val="28D3DCB8"/>
    <w:rsid w:val="28E00A53"/>
    <w:rsid w:val="28E5DFAA"/>
    <w:rsid w:val="28EB44A8"/>
    <w:rsid w:val="28F25EDD"/>
    <w:rsid w:val="291A8C4F"/>
    <w:rsid w:val="29235EB4"/>
    <w:rsid w:val="29236C9C"/>
    <w:rsid w:val="2945B636"/>
    <w:rsid w:val="2960D987"/>
    <w:rsid w:val="29615349"/>
    <w:rsid w:val="2961911D"/>
    <w:rsid w:val="29656387"/>
    <w:rsid w:val="296ECEC3"/>
    <w:rsid w:val="297E7534"/>
    <w:rsid w:val="298337F1"/>
    <w:rsid w:val="299D0039"/>
    <w:rsid w:val="29D211F4"/>
    <w:rsid w:val="29DC687E"/>
    <w:rsid w:val="2A0D11A6"/>
    <w:rsid w:val="2A267626"/>
    <w:rsid w:val="2A31A98E"/>
    <w:rsid w:val="2A42116F"/>
    <w:rsid w:val="2A4DED81"/>
    <w:rsid w:val="2A52EC98"/>
    <w:rsid w:val="2A723A82"/>
    <w:rsid w:val="2A7E3CDB"/>
    <w:rsid w:val="2A805384"/>
    <w:rsid w:val="2A89CA31"/>
    <w:rsid w:val="2A8D0D26"/>
    <w:rsid w:val="2A93B5AA"/>
    <w:rsid w:val="2AAB5270"/>
    <w:rsid w:val="2AB02C92"/>
    <w:rsid w:val="2AD182A1"/>
    <w:rsid w:val="2AFA5C1D"/>
    <w:rsid w:val="2B034325"/>
    <w:rsid w:val="2B07028F"/>
    <w:rsid w:val="2B0ED4DD"/>
    <w:rsid w:val="2B14C92B"/>
    <w:rsid w:val="2B150608"/>
    <w:rsid w:val="2B1F72FB"/>
    <w:rsid w:val="2B2F33C5"/>
    <w:rsid w:val="2B319B14"/>
    <w:rsid w:val="2B4F4CC5"/>
    <w:rsid w:val="2B5E2C42"/>
    <w:rsid w:val="2B66E4F9"/>
    <w:rsid w:val="2B8F92F5"/>
    <w:rsid w:val="2B8F9C40"/>
    <w:rsid w:val="2BA1127F"/>
    <w:rsid w:val="2BAE92F0"/>
    <w:rsid w:val="2BBA27C1"/>
    <w:rsid w:val="2BDCFBC2"/>
    <w:rsid w:val="2BDEDC5C"/>
    <w:rsid w:val="2C09A318"/>
    <w:rsid w:val="2C121247"/>
    <w:rsid w:val="2C2BD71A"/>
    <w:rsid w:val="2C311B08"/>
    <w:rsid w:val="2C340A07"/>
    <w:rsid w:val="2C444369"/>
    <w:rsid w:val="2C511C4B"/>
    <w:rsid w:val="2C517923"/>
    <w:rsid w:val="2C5CF6DB"/>
    <w:rsid w:val="2C62382B"/>
    <w:rsid w:val="2C7DBF35"/>
    <w:rsid w:val="2C7F4F2E"/>
    <w:rsid w:val="2C803DCD"/>
    <w:rsid w:val="2C83B71E"/>
    <w:rsid w:val="2C949507"/>
    <w:rsid w:val="2C9765F0"/>
    <w:rsid w:val="2CA426D7"/>
    <w:rsid w:val="2CC582C7"/>
    <w:rsid w:val="2CCB4D3D"/>
    <w:rsid w:val="2CD61CD9"/>
    <w:rsid w:val="2CDCEB37"/>
    <w:rsid w:val="2CDD6FDA"/>
    <w:rsid w:val="2CE31675"/>
    <w:rsid w:val="2CE41993"/>
    <w:rsid w:val="2CF073D0"/>
    <w:rsid w:val="2D01BDB2"/>
    <w:rsid w:val="2D141284"/>
    <w:rsid w:val="2D1E6AD7"/>
    <w:rsid w:val="2D2B85C9"/>
    <w:rsid w:val="2D310179"/>
    <w:rsid w:val="2D324142"/>
    <w:rsid w:val="2D36CC42"/>
    <w:rsid w:val="2D470DF5"/>
    <w:rsid w:val="2D4C06BA"/>
    <w:rsid w:val="2D4C4DC6"/>
    <w:rsid w:val="2D4E8DB6"/>
    <w:rsid w:val="2D596747"/>
    <w:rsid w:val="2D6BA61B"/>
    <w:rsid w:val="2D7A916C"/>
    <w:rsid w:val="2D7DA31D"/>
    <w:rsid w:val="2D87395F"/>
    <w:rsid w:val="2D885698"/>
    <w:rsid w:val="2D94D0DF"/>
    <w:rsid w:val="2DA8AA61"/>
    <w:rsid w:val="2DC4A126"/>
    <w:rsid w:val="2DC587D0"/>
    <w:rsid w:val="2DC6D794"/>
    <w:rsid w:val="2DC9585F"/>
    <w:rsid w:val="2DCD6D8B"/>
    <w:rsid w:val="2DE329C7"/>
    <w:rsid w:val="2DEDA1A0"/>
    <w:rsid w:val="2DFD66E0"/>
    <w:rsid w:val="2E102973"/>
    <w:rsid w:val="2E1226C1"/>
    <w:rsid w:val="2E14AE4B"/>
    <w:rsid w:val="2E16257F"/>
    <w:rsid w:val="2E2EA705"/>
    <w:rsid w:val="2E306D91"/>
    <w:rsid w:val="2E386B69"/>
    <w:rsid w:val="2E58817F"/>
    <w:rsid w:val="2E58FF46"/>
    <w:rsid w:val="2E721EF9"/>
    <w:rsid w:val="2E7FBC4D"/>
    <w:rsid w:val="2E960262"/>
    <w:rsid w:val="2E9FCBBB"/>
    <w:rsid w:val="2EADB047"/>
    <w:rsid w:val="2EAF4DA4"/>
    <w:rsid w:val="2ED91F18"/>
    <w:rsid w:val="2EDF6BFD"/>
    <w:rsid w:val="2EE79B1D"/>
    <w:rsid w:val="2EF1D343"/>
    <w:rsid w:val="2EF5D439"/>
    <w:rsid w:val="2EFC8B4A"/>
    <w:rsid w:val="2EFEB15C"/>
    <w:rsid w:val="2F10BF8B"/>
    <w:rsid w:val="2F1278CE"/>
    <w:rsid w:val="2F167A98"/>
    <w:rsid w:val="2F36F084"/>
    <w:rsid w:val="2F403286"/>
    <w:rsid w:val="2F5CA3B0"/>
    <w:rsid w:val="2F67B654"/>
    <w:rsid w:val="2F6801E9"/>
    <w:rsid w:val="2F6ED947"/>
    <w:rsid w:val="2F710F87"/>
    <w:rsid w:val="2F7B895E"/>
    <w:rsid w:val="2F95714C"/>
    <w:rsid w:val="2F9A3736"/>
    <w:rsid w:val="2FB43563"/>
    <w:rsid w:val="2FBBAB93"/>
    <w:rsid w:val="2FBCC943"/>
    <w:rsid w:val="2FBEFC11"/>
    <w:rsid w:val="2FDCA6F5"/>
    <w:rsid w:val="2FE623B9"/>
    <w:rsid w:val="2FF0218B"/>
    <w:rsid w:val="30069D48"/>
    <w:rsid w:val="3013180A"/>
    <w:rsid w:val="30181082"/>
    <w:rsid w:val="301BE97A"/>
    <w:rsid w:val="301E0FA7"/>
    <w:rsid w:val="3030D3F5"/>
    <w:rsid w:val="3049DC19"/>
    <w:rsid w:val="3054769F"/>
    <w:rsid w:val="305AB264"/>
    <w:rsid w:val="305F916D"/>
    <w:rsid w:val="3064D338"/>
    <w:rsid w:val="306C990E"/>
    <w:rsid w:val="307569BE"/>
    <w:rsid w:val="30772175"/>
    <w:rsid w:val="307E7870"/>
    <w:rsid w:val="308B9EEC"/>
    <w:rsid w:val="308BD15F"/>
    <w:rsid w:val="30966F5E"/>
    <w:rsid w:val="309865A1"/>
    <w:rsid w:val="30CE0601"/>
    <w:rsid w:val="30DB9BAE"/>
    <w:rsid w:val="30E110AD"/>
    <w:rsid w:val="30E567CC"/>
    <w:rsid w:val="30F2F9B1"/>
    <w:rsid w:val="30F71BE0"/>
    <w:rsid w:val="3100CB1C"/>
    <w:rsid w:val="310A24B6"/>
    <w:rsid w:val="310B0473"/>
    <w:rsid w:val="310F9F3B"/>
    <w:rsid w:val="311101A7"/>
    <w:rsid w:val="3113E9A1"/>
    <w:rsid w:val="3116A4ED"/>
    <w:rsid w:val="3128C019"/>
    <w:rsid w:val="312B85B8"/>
    <w:rsid w:val="3136841A"/>
    <w:rsid w:val="313DFAAA"/>
    <w:rsid w:val="313F0E57"/>
    <w:rsid w:val="315E3A6D"/>
    <w:rsid w:val="3180E811"/>
    <w:rsid w:val="31A1501F"/>
    <w:rsid w:val="31AABEBA"/>
    <w:rsid w:val="31AB15EE"/>
    <w:rsid w:val="31C7565B"/>
    <w:rsid w:val="31E79E42"/>
    <w:rsid w:val="31ED5652"/>
    <w:rsid w:val="31F021B3"/>
    <w:rsid w:val="31F685F3"/>
    <w:rsid w:val="31F9BF4C"/>
    <w:rsid w:val="31FB8523"/>
    <w:rsid w:val="320EEFEA"/>
    <w:rsid w:val="32215007"/>
    <w:rsid w:val="322A2761"/>
    <w:rsid w:val="322C18C8"/>
    <w:rsid w:val="32361568"/>
    <w:rsid w:val="32542EA5"/>
    <w:rsid w:val="3254E42F"/>
    <w:rsid w:val="326D051A"/>
    <w:rsid w:val="326D9BBE"/>
    <w:rsid w:val="326E80AD"/>
    <w:rsid w:val="3279F249"/>
    <w:rsid w:val="32858F5E"/>
    <w:rsid w:val="32C1212E"/>
    <w:rsid w:val="32C1D3F0"/>
    <w:rsid w:val="32C47D7B"/>
    <w:rsid w:val="32CDC6BB"/>
    <w:rsid w:val="32E03C19"/>
    <w:rsid w:val="32EB6D27"/>
    <w:rsid w:val="32F9B90F"/>
    <w:rsid w:val="32FE6ABE"/>
    <w:rsid w:val="3318D78E"/>
    <w:rsid w:val="3336523D"/>
    <w:rsid w:val="33379524"/>
    <w:rsid w:val="333B22BE"/>
    <w:rsid w:val="335DD4A1"/>
    <w:rsid w:val="3370E3C9"/>
    <w:rsid w:val="338506D9"/>
    <w:rsid w:val="338640C8"/>
    <w:rsid w:val="33A6FE22"/>
    <w:rsid w:val="33AD1470"/>
    <w:rsid w:val="33CB9694"/>
    <w:rsid w:val="33DBF01A"/>
    <w:rsid w:val="33E3462D"/>
    <w:rsid w:val="3407B220"/>
    <w:rsid w:val="340AE168"/>
    <w:rsid w:val="342BBFA6"/>
    <w:rsid w:val="342E2233"/>
    <w:rsid w:val="3431005E"/>
    <w:rsid w:val="34343822"/>
    <w:rsid w:val="34397ECE"/>
    <w:rsid w:val="34790DBF"/>
    <w:rsid w:val="347E95C9"/>
    <w:rsid w:val="348A6C25"/>
    <w:rsid w:val="348B1E35"/>
    <w:rsid w:val="348E449E"/>
    <w:rsid w:val="349DE590"/>
    <w:rsid w:val="34A0C6E0"/>
    <w:rsid w:val="34AEF315"/>
    <w:rsid w:val="34C51804"/>
    <w:rsid w:val="34C7EC9C"/>
    <w:rsid w:val="34EEF7F4"/>
    <w:rsid w:val="34F1654A"/>
    <w:rsid w:val="351AA3A5"/>
    <w:rsid w:val="351E3B3A"/>
    <w:rsid w:val="35393CEA"/>
    <w:rsid w:val="3539F537"/>
    <w:rsid w:val="355F0301"/>
    <w:rsid w:val="3563E638"/>
    <w:rsid w:val="356BC3B2"/>
    <w:rsid w:val="3575768E"/>
    <w:rsid w:val="3577ED26"/>
    <w:rsid w:val="358194E2"/>
    <w:rsid w:val="35861144"/>
    <w:rsid w:val="3593775E"/>
    <w:rsid w:val="35966962"/>
    <w:rsid w:val="359CB782"/>
    <w:rsid w:val="35B2B45A"/>
    <w:rsid w:val="35C5071F"/>
    <w:rsid w:val="35C588FC"/>
    <w:rsid w:val="35F2597B"/>
    <w:rsid w:val="360FD7BC"/>
    <w:rsid w:val="3610D3EE"/>
    <w:rsid w:val="362D9A80"/>
    <w:rsid w:val="363F59EA"/>
    <w:rsid w:val="3643ECA0"/>
    <w:rsid w:val="364EF77C"/>
    <w:rsid w:val="365A7DDC"/>
    <w:rsid w:val="36891203"/>
    <w:rsid w:val="36A17B75"/>
    <w:rsid w:val="36AEC7A5"/>
    <w:rsid w:val="36C30C93"/>
    <w:rsid w:val="36DA99FC"/>
    <w:rsid w:val="36DAA627"/>
    <w:rsid w:val="36DBA34E"/>
    <w:rsid w:val="36DE9012"/>
    <w:rsid w:val="370343B1"/>
    <w:rsid w:val="3709A051"/>
    <w:rsid w:val="370ADF96"/>
    <w:rsid w:val="3710E94A"/>
    <w:rsid w:val="371E5AB6"/>
    <w:rsid w:val="37221EB8"/>
    <w:rsid w:val="372DB5A8"/>
    <w:rsid w:val="37489856"/>
    <w:rsid w:val="375E2322"/>
    <w:rsid w:val="3769C85D"/>
    <w:rsid w:val="37A7E6D4"/>
    <w:rsid w:val="37A99D7B"/>
    <w:rsid w:val="37B22CC0"/>
    <w:rsid w:val="37B6C76C"/>
    <w:rsid w:val="37CA261F"/>
    <w:rsid w:val="37E87F9A"/>
    <w:rsid w:val="37E8EEEA"/>
    <w:rsid w:val="37F56965"/>
    <w:rsid w:val="37FFB666"/>
    <w:rsid w:val="3808FA7B"/>
    <w:rsid w:val="38149275"/>
    <w:rsid w:val="38357E09"/>
    <w:rsid w:val="383BC483"/>
    <w:rsid w:val="38467C50"/>
    <w:rsid w:val="385A5C1C"/>
    <w:rsid w:val="386C2BBD"/>
    <w:rsid w:val="386C589D"/>
    <w:rsid w:val="389486DF"/>
    <w:rsid w:val="38AC13DE"/>
    <w:rsid w:val="38AD84A5"/>
    <w:rsid w:val="38E6921D"/>
    <w:rsid w:val="38F41F3E"/>
    <w:rsid w:val="38F46351"/>
    <w:rsid w:val="38F6EC69"/>
    <w:rsid w:val="39065A77"/>
    <w:rsid w:val="390849ED"/>
    <w:rsid w:val="390E569B"/>
    <w:rsid w:val="39145998"/>
    <w:rsid w:val="391A759B"/>
    <w:rsid w:val="391C8EDC"/>
    <w:rsid w:val="39372486"/>
    <w:rsid w:val="3939CED3"/>
    <w:rsid w:val="395E7E4F"/>
    <w:rsid w:val="3961DE2A"/>
    <w:rsid w:val="39711D33"/>
    <w:rsid w:val="39738108"/>
    <w:rsid w:val="397578C4"/>
    <w:rsid w:val="397AA20E"/>
    <w:rsid w:val="3981C3BA"/>
    <w:rsid w:val="3987FC83"/>
    <w:rsid w:val="398C88F9"/>
    <w:rsid w:val="39962B6E"/>
    <w:rsid w:val="39AD4081"/>
    <w:rsid w:val="39B975B6"/>
    <w:rsid w:val="39B98FCC"/>
    <w:rsid w:val="39D035A5"/>
    <w:rsid w:val="39D8DF68"/>
    <w:rsid w:val="39DCBA41"/>
    <w:rsid w:val="39E43922"/>
    <w:rsid w:val="39FD4E62"/>
    <w:rsid w:val="3A0C3683"/>
    <w:rsid w:val="3A0DE6B6"/>
    <w:rsid w:val="3A2F39C3"/>
    <w:rsid w:val="3A2FD0E0"/>
    <w:rsid w:val="3A3917D4"/>
    <w:rsid w:val="3A480FF7"/>
    <w:rsid w:val="3A6A883A"/>
    <w:rsid w:val="3A6F6ADF"/>
    <w:rsid w:val="3A7BFA45"/>
    <w:rsid w:val="3A7EC9E1"/>
    <w:rsid w:val="3A82BDCD"/>
    <w:rsid w:val="3A83DE8D"/>
    <w:rsid w:val="3A8467DA"/>
    <w:rsid w:val="3A8A135D"/>
    <w:rsid w:val="3A9DE811"/>
    <w:rsid w:val="3AB2E812"/>
    <w:rsid w:val="3AB72EB3"/>
    <w:rsid w:val="3AC44B9A"/>
    <w:rsid w:val="3AF268E7"/>
    <w:rsid w:val="3B08086A"/>
    <w:rsid w:val="3B2A580E"/>
    <w:rsid w:val="3B2F3BB9"/>
    <w:rsid w:val="3B3C66B5"/>
    <w:rsid w:val="3B3E593E"/>
    <w:rsid w:val="3B46E252"/>
    <w:rsid w:val="3B49A542"/>
    <w:rsid w:val="3B4A0165"/>
    <w:rsid w:val="3B517C29"/>
    <w:rsid w:val="3B53DA0E"/>
    <w:rsid w:val="3B6DED71"/>
    <w:rsid w:val="3B7D3B12"/>
    <w:rsid w:val="3B8494AC"/>
    <w:rsid w:val="3BA62B7F"/>
    <w:rsid w:val="3BA9C543"/>
    <w:rsid w:val="3BCE3620"/>
    <w:rsid w:val="3BEAC0D5"/>
    <w:rsid w:val="3C0DAF75"/>
    <w:rsid w:val="3C0E1FF6"/>
    <w:rsid w:val="3C1B2339"/>
    <w:rsid w:val="3C2CE535"/>
    <w:rsid w:val="3C2CE9E2"/>
    <w:rsid w:val="3C3522BC"/>
    <w:rsid w:val="3C3925A5"/>
    <w:rsid w:val="3C498868"/>
    <w:rsid w:val="3C512CAD"/>
    <w:rsid w:val="3C65FF0D"/>
    <w:rsid w:val="3C79D468"/>
    <w:rsid w:val="3C834F16"/>
    <w:rsid w:val="3C8731FB"/>
    <w:rsid w:val="3C89824B"/>
    <w:rsid w:val="3C9AD52C"/>
    <w:rsid w:val="3CA566A6"/>
    <w:rsid w:val="3CAA6A19"/>
    <w:rsid w:val="3CBAD92E"/>
    <w:rsid w:val="3CBB5DBA"/>
    <w:rsid w:val="3CBD623E"/>
    <w:rsid w:val="3CC07B6D"/>
    <w:rsid w:val="3CCDB1D7"/>
    <w:rsid w:val="3CD5408C"/>
    <w:rsid w:val="3CD81518"/>
    <w:rsid w:val="3CE04079"/>
    <w:rsid w:val="3CE81902"/>
    <w:rsid w:val="3CEB3419"/>
    <w:rsid w:val="3D0A87F9"/>
    <w:rsid w:val="3D26774C"/>
    <w:rsid w:val="3D2ED786"/>
    <w:rsid w:val="3D3E9523"/>
    <w:rsid w:val="3D47569E"/>
    <w:rsid w:val="3D47E5C5"/>
    <w:rsid w:val="3D5A9A3E"/>
    <w:rsid w:val="3D9CF828"/>
    <w:rsid w:val="3DA810E6"/>
    <w:rsid w:val="3DABDFB4"/>
    <w:rsid w:val="3DC11E02"/>
    <w:rsid w:val="3DC34DF5"/>
    <w:rsid w:val="3DCFFCA5"/>
    <w:rsid w:val="3DE5CAF9"/>
    <w:rsid w:val="3DFBF0FC"/>
    <w:rsid w:val="3DFFA3B2"/>
    <w:rsid w:val="3E06F557"/>
    <w:rsid w:val="3E0FCC0A"/>
    <w:rsid w:val="3E10A98A"/>
    <w:rsid w:val="3E3729B5"/>
    <w:rsid w:val="3E5FBC01"/>
    <w:rsid w:val="3E8D76DD"/>
    <w:rsid w:val="3E9B3EC1"/>
    <w:rsid w:val="3EA3A3C3"/>
    <w:rsid w:val="3EAF1986"/>
    <w:rsid w:val="3EBD4ACA"/>
    <w:rsid w:val="3EBF8352"/>
    <w:rsid w:val="3EC1BBFC"/>
    <w:rsid w:val="3ED7C92B"/>
    <w:rsid w:val="3EF73DBF"/>
    <w:rsid w:val="3EFA0081"/>
    <w:rsid w:val="3F0707F0"/>
    <w:rsid w:val="3F09CF5E"/>
    <w:rsid w:val="3F127ACC"/>
    <w:rsid w:val="3F2639FF"/>
    <w:rsid w:val="3F27D197"/>
    <w:rsid w:val="3F2B3A36"/>
    <w:rsid w:val="3F2F5B29"/>
    <w:rsid w:val="3F3B75AA"/>
    <w:rsid w:val="3F463927"/>
    <w:rsid w:val="3F4C1C23"/>
    <w:rsid w:val="3F5D4E95"/>
    <w:rsid w:val="3F6AAD6C"/>
    <w:rsid w:val="3F7EE571"/>
    <w:rsid w:val="3F83BFC1"/>
    <w:rsid w:val="3F83FA81"/>
    <w:rsid w:val="3F898296"/>
    <w:rsid w:val="3F9FA00C"/>
    <w:rsid w:val="3FA1BCD0"/>
    <w:rsid w:val="3FA9DE85"/>
    <w:rsid w:val="3FC49D27"/>
    <w:rsid w:val="3FD6627F"/>
    <w:rsid w:val="3FE4D602"/>
    <w:rsid w:val="3FEA25F4"/>
    <w:rsid w:val="3FEBADF9"/>
    <w:rsid w:val="40084F6D"/>
    <w:rsid w:val="400E1F3D"/>
    <w:rsid w:val="401031D4"/>
    <w:rsid w:val="401396B6"/>
    <w:rsid w:val="401812F3"/>
    <w:rsid w:val="4039C141"/>
    <w:rsid w:val="403CE4D4"/>
    <w:rsid w:val="40425250"/>
    <w:rsid w:val="404462B2"/>
    <w:rsid w:val="4051EDAD"/>
    <w:rsid w:val="405FF396"/>
    <w:rsid w:val="4061DB5E"/>
    <w:rsid w:val="4075CF94"/>
    <w:rsid w:val="40982231"/>
    <w:rsid w:val="40984AB0"/>
    <w:rsid w:val="40A851FB"/>
    <w:rsid w:val="40D3620C"/>
    <w:rsid w:val="40DF115C"/>
    <w:rsid w:val="40F0210D"/>
    <w:rsid w:val="40F15F11"/>
    <w:rsid w:val="4118A6F6"/>
    <w:rsid w:val="4119429C"/>
    <w:rsid w:val="412CA11E"/>
    <w:rsid w:val="4131D251"/>
    <w:rsid w:val="413B20FB"/>
    <w:rsid w:val="413BC6E8"/>
    <w:rsid w:val="413DCD3F"/>
    <w:rsid w:val="415F43D6"/>
    <w:rsid w:val="41634E14"/>
    <w:rsid w:val="41A6D780"/>
    <w:rsid w:val="41AB657B"/>
    <w:rsid w:val="41B1ACD0"/>
    <w:rsid w:val="41C2B866"/>
    <w:rsid w:val="41C44A72"/>
    <w:rsid w:val="41CCEA5A"/>
    <w:rsid w:val="41CFF8A3"/>
    <w:rsid w:val="41D231E6"/>
    <w:rsid w:val="41E65A9D"/>
    <w:rsid w:val="41F4CDD4"/>
    <w:rsid w:val="41FDCFBA"/>
    <w:rsid w:val="4205BF87"/>
    <w:rsid w:val="4241AE0C"/>
    <w:rsid w:val="424369F0"/>
    <w:rsid w:val="4270A72B"/>
    <w:rsid w:val="4275DDED"/>
    <w:rsid w:val="42840A72"/>
    <w:rsid w:val="4287D39C"/>
    <w:rsid w:val="4290F86E"/>
    <w:rsid w:val="4294B4EA"/>
    <w:rsid w:val="42B3667B"/>
    <w:rsid w:val="42B4CEF0"/>
    <w:rsid w:val="42ED1ABE"/>
    <w:rsid w:val="42F4C7F0"/>
    <w:rsid w:val="42FFE55F"/>
    <w:rsid w:val="430C5E22"/>
    <w:rsid w:val="43117245"/>
    <w:rsid w:val="431FFFD3"/>
    <w:rsid w:val="4323CB47"/>
    <w:rsid w:val="432A1239"/>
    <w:rsid w:val="43387DD3"/>
    <w:rsid w:val="43538268"/>
    <w:rsid w:val="43710E01"/>
    <w:rsid w:val="437BCBAE"/>
    <w:rsid w:val="438A06AB"/>
    <w:rsid w:val="43916018"/>
    <w:rsid w:val="43B7524E"/>
    <w:rsid w:val="43B79F96"/>
    <w:rsid w:val="43BFAD0C"/>
    <w:rsid w:val="43CDC850"/>
    <w:rsid w:val="43EB648B"/>
    <w:rsid w:val="43EF755E"/>
    <w:rsid w:val="43F84ABD"/>
    <w:rsid w:val="4408F45E"/>
    <w:rsid w:val="440E8CD5"/>
    <w:rsid w:val="440F6F99"/>
    <w:rsid w:val="4410C518"/>
    <w:rsid w:val="442A9930"/>
    <w:rsid w:val="4436C823"/>
    <w:rsid w:val="44473CD1"/>
    <w:rsid w:val="445287FA"/>
    <w:rsid w:val="44590F6F"/>
    <w:rsid w:val="445F9D70"/>
    <w:rsid w:val="44691DEB"/>
    <w:rsid w:val="446BDBEF"/>
    <w:rsid w:val="4470B7DE"/>
    <w:rsid w:val="44750F97"/>
    <w:rsid w:val="447E033C"/>
    <w:rsid w:val="448000BA"/>
    <w:rsid w:val="4486F263"/>
    <w:rsid w:val="448CA47F"/>
    <w:rsid w:val="44932B8A"/>
    <w:rsid w:val="44AD94F5"/>
    <w:rsid w:val="44B3514F"/>
    <w:rsid w:val="44BDBA08"/>
    <w:rsid w:val="44CBEB80"/>
    <w:rsid w:val="44CBEFFC"/>
    <w:rsid w:val="44E705EB"/>
    <w:rsid w:val="45008E5D"/>
    <w:rsid w:val="45093D45"/>
    <w:rsid w:val="451B43B2"/>
    <w:rsid w:val="451D6E47"/>
    <w:rsid w:val="45355911"/>
    <w:rsid w:val="45610664"/>
    <w:rsid w:val="456AE147"/>
    <w:rsid w:val="456F6A2C"/>
    <w:rsid w:val="457F07A1"/>
    <w:rsid w:val="458CC210"/>
    <w:rsid w:val="459A3254"/>
    <w:rsid w:val="45C3C97E"/>
    <w:rsid w:val="45C3D4E2"/>
    <w:rsid w:val="45DF68B9"/>
    <w:rsid w:val="45F52C53"/>
    <w:rsid w:val="45F594CE"/>
    <w:rsid w:val="45F72D27"/>
    <w:rsid w:val="461F768E"/>
    <w:rsid w:val="4632D11D"/>
    <w:rsid w:val="463DE892"/>
    <w:rsid w:val="46423321"/>
    <w:rsid w:val="465DFF95"/>
    <w:rsid w:val="4665BCB4"/>
    <w:rsid w:val="467ADC06"/>
    <w:rsid w:val="469864DF"/>
    <w:rsid w:val="46B5B268"/>
    <w:rsid w:val="46D5C909"/>
    <w:rsid w:val="4712FE9E"/>
    <w:rsid w:val="47172217"/>
    <w:rsid w:val="4721AE49"/>
    <w:rsid w:val="4743C07F"/>
    <w:rsid w:val="47508A5F"/>
    <w:rsid w:val="47535C5E"/>
    <w:rsid w:val="47687CA0"/>
    <w:rsid w:val="476A682A"/>
    <w:rsid w:val="476F9925"/>
    <w:rsid w:val="47707EA1"/>
    <w:rsid w:val="47885320"/>
    <w:rsid w:val="479207D7"/>
    <w:rsid w:val="47B1BE83"/>
    <w:rsid w:val="47C11CB0"/>
    <w:rsid w:val="47C53F11"/>
    <w:rsid w:val="47CC1A68"/>
    <w:rsid w:val="47D9A2CC"/>
    <w:rsid w:val="47FA53FC"/>
    <w:rsid w:val="47FC2413"/>
    <w:rsid w:val="4818A1C5"/>
    <w:rsid w:val="48383362"/>
    <w:rsid w:val="4843743E"/>
    <w:rsid w:val="484941B1"/>
    <w:rsid w:val="4860B137"/>
    <w:rsid w:val="486B4EC7"/>
    <w:rsid w:val="48788CF8"/>
    <w:rsid w:val="48A27E9E"/>
    <w:rsid w:val="48C6EAF0"/>
    <w:rsid w:val="48D3BF22"/>
    <w:rsid w:val="48EAE6F6"/>
    <w:rsid w:val="48F8E051"/>
    <w:rsid w:val="491BAEC9"/>
    <w:rsid w:val="493F19D7"/>
    <w:rsid w:val="495245D0"/>
    <w:rsid w:val="497C3C34"/>
    <w:rsid w:val="4986EBA7"/>
    <w:rsid w:val="4996E879"/>
    <w:rsid w:val="4999F6D6"/>
    <w:rsid w:val="499EC21A"/>
    <w:rsid w:val="49AA4733"/>
    <w:rsid w:val="49B9AA34"/>
    <w:rsid w:val="49CE438C"/>
    <w:rsid w:val="49D03699"/>
    <w:rsid w:val="49D1F906"/>
    <w:rsid w:val="49D3201C"/>
    <w:rsid w:val="49DB656E"/>
    <w:rsid w:val="49EA6C7A"/>
    <w:rsid w:val="49EAD9E8"/>
    <w:rsid w:val="49F9433E"/>
    <w:rsid w:val="49FE81C8"/>
    <w:rsid w:val="4A00147C"/>
    <w:rsid w:val="4A07C6C4"/>
    <w:rsid w:val="4A18AED8"/>
    <w:rsid w:val="4A1F1202"/>
    <w:rsid w:val="4A2315E3"/>
    <w:rsid w:val="4A3101DD"/>
    <w:rsid w:val="4A514578"/>
    <w:rsid w:val="4A580159"/>
    <w:rsid w:val="4A5BC93B"/>
    <w:rsid w:val="4A61C3DB"/>
    <w:rsid w:val="4A70D6BA"/>
    <w:rsid w:val="4AADFBA4"/>
    <w:rsid w:val="4AB148DD"/>
    <w:rsid w:val="4AC09D93"/>
    <w:rsid w:val="4AD6C84D"/>
    <w:rsid w:val="4AD7F149"/>
    <w:rsid w:val="4AD97B31"/>
    <w:rsid w:val="4AF16133"/>
    <w:rsid w:val="4AFE3A06"/>
    <w:rsid w:val="4AFEC0BD"/>
    <w:rsid w:val="4B0164D2"/>
    <w:rsid w:val="4B19C2C1"/>
    <w:rsid w:val="4B1E26A7"/>
    <w:rsid w:val="4B1E2E60"/>
    <w:rsid w:val="4B32072A"/>
    <w:rsid w:val="4B37EF86"/>
    <w:rsid w:val="4B52237E"/>
    <w:rsid w:val="4B5DA7F4"/>
    <w:rsid w:val="4B63A0A6"/>
    <w:rsid w:val="4B6C8CFF"/>
    <w:rsid w:val="4B73BEBE"/>
    <w:rsid w:val="4B766110"/>
    <w:rsid w:val="4B7B854E"/>
    <w:rsid w:val="4B87D190"/>
    <w:rsid w:val="4B92B119"/>
    <w:rsid w:val="4B9DC314"/>
    <w:rsid w:val="4BA7FD07"/>
    <w:rsid w:val="4BD47A89"/>
    <w:rsid w:val="4BE38E11"/>
    <w:rsid w:val="4BE5BEF6"/>
    <w:rsid w:val="4BE6FBDE"/>
    <w:rsid w:val="4BEB0934"/>
    <w:rsid w:val="4BEDB623"/>
    <w:rsid w:val="4BEF9EAB"/>
    <w:rsid w:val="4BFC0CD3"/>
    <w:rsid w:val="4C12E564"/>
    <w:rsid w:val="4C19AD51"/>
    <w:rsid w:val="4C1ED422"/>
    <w:rsid w:val="4C28BBDA"/>
    <w:rsid w:val="4C413430"/>
    <w:rsid w:val="4C477BB6"/>
    <w:rsid w:val="4C4F0FFD"/>
    <w:rsid w:val="4C581AAD"/>
    <w:rsid w:val="4C5A7C08"/>
    <w:rsid w:val="4C5ACE59"/>
    <w:rsid w:val="4C6B7450"/>
    <w:rsid w:val="4C6CB959"/>
    <w:rsid w:val="4C93375E"/>
    <w:rsid w:val="4C937334"/>
    <w:rsid w:val="4C958F1F"/>
    <w:rsid w:val="4CC2CC19"/>
    <w:rsid w:val="4CD8BD44"/>
    <w:rsid w:val="4CD9A3D6"/>
    <w:rsid w:val="4CF83618"/>
    <w:rsid w:val="4D2A79DE"/>
    <w:rsid w:val="4D47ECE2"/>
    <w:rsid w:val="4D565D20"/>
    <w:rsid w:val="4D74E0DA"/>
    <w:rsid w:val="4D751969"/>
    <w:rsid w:val="4D7614B8"/>
    <w:rsid w:val="4D7835F6"/>
    <w:rsid w:val="4D8B6511"/>
    <w:rsid w:val="4D95DF1E"/>
    <w:rsid w:val="4DA00B80"/>
    <w:rsid w:val="4DACB205"/>
    <w:rsid w:val="4DB5CEB2"/>
    <w:rsid w:val="4DD7CA62"/>
    <w:rsid w:val="4DE60271"/>
    <w:rsid w:val="4DF92C1E"/>
    <w:rsid w:val="4E0D80DD"/>
    <w:rsid w:val="4E11FE1F"/>
    <w:rsid w:val="4E162687"/>
    <w:rsid w:val="4E609A3D"/>
    <w:rsid w:val="4E62E8E2"/>
    <w:rsid w:val="4E68E881"/>
    <w:rsid w:val="4E6CDEF5"/>
    <w:rsid w:val="4E72948F"/>
    <w:rsid w:val="4E84A71D"/>
    <w:rsid w:val="4E875D3C"/>
    <w:rsid w:val="4E8B0A7D"/>
    <w:rsid w:val="4E940D09"/>
    <w:rsid w:val="4E9E923D"/>
    <w:rsid w:val="4EABDD32"/>
    <w:rsid w:val="4EB609D3"/>
    <w:rsid w:val="4EDB7408"/>
    <w:rsid w:val="4EE0FA53"/>
    <w:rsid w:val="4EE52F79"/>
    <w:rsid w:val="4EF63650"/>
    <w:rsid w:val="4EFAB1B9"/>
    <w:rsid w:val="4F005D93"/>
    <w:rsid w:val="4F08576F"/>
    <w:rsid w:val="4F13A2AD"/>
    <w:rsid w:val="4F176363"/>
    <w:rsid w:val="4F18E122"/>
    <w:rsid w:val="4F1A1D4F"/>
    <w:rsid w:val="4F34BC46"/>
    <w:rsid w:val="4F37FD00"/>
    <w:rsid w:val="4F4C23CE"/>
    <w:rsid w:val="4F61B51E"/>
    <w:rsid w:val="4F61BBC0"/>
    <w:rsid w:val="4F6F36EE"/>
    <w:rsid w:val="4F712D6F"/>
    <w:rsid w:val="4F72DEBF"/>
    <w:rsid w:val="4F943A98"/>
    <w:rsid w:val="4F943D31"/>
    <w:rsid w:val="4FC34472"/>
    <w:rsid w:val="4FCC538F"/>
    <w:rsid w:val="4FCD3CA1"/>
    <w:rsid w:val="4FEE183F"/>
    <w:rsid w:val="4FFCFD4E"/>
    <w:rsid w:val="4FFD4AB8"/>
    <w:rsid w:val="5004EC39"/>
    <w:rsid w:val="5005D25C"/>
    <w:rsid w:val="50062DE8"/>
    <w:rsid w:val="5016AC76"/>
    <w:rsid w:val="5027F9B1"/>
    <w:rsid w:val="50405C2E"/>
    <w:rsid w:val="504E6EE9"/>
    <w:rsid w:val="5051F8C1"/>
    <w:rsid w:val="5058B164"/>
    <w:rsid w:val="5075853E"/>
    <w:rsid w:val="5078A30D"/>
    <w:rsid w:val="50A8689E"/>
    <w:rsid w:val="50B0BDA5"/>
    <w:rsid w:val="50BBD507"/>
    <w:rsid w:val="50CB1957"/>
    <w:rsid w:val="50D81CA4"/>
    <w:rsid w:val="50D92AD4"/>
    <w:rsid w:val="50F0C99B"/>
    <w:rsid w:val="50F15FBA"/>
    <w:rsid w:val="51062429"/>
    <w:rsid w:val="510F518F"/>
    <w:rsid w:val="5115F1A1"/>
    <w:rsid w:val="5118EDEB"/>
    <w:rsid w:val="511C8B78"/>
    <w:rsid w:val="5121DCCF"/>
    <w:rsid w:val="512F6441"/>
    <w:rsid w:val="5146237C"/>
    <w:rsid w:val="51537A90"/>
    <w:rsid w:val="519402A4"/>
    <w:rsid w:val="519F59C9"/>
    <w:rsid w:val="519FD1B7"/>
    <w:rsid w:val="51A2AEEA"/>
    <w:rsid w:val="51E3BF01"/>
    <w:rsid w:val="51EEAC8B"/>
    <w:rsid w:val="51F3222D"/>
    <w:rsid w:val="51FB5A27"/>
    <w:rsid w:val="51FF6482"/>
    <w:rsid w:val="520B78ED"/>
    <w:rsid w:val="5211DE6B"/>
    <w:rsid w:val="521BEF7C"/>
    <w:rsid w:val="5220C924"/>
    <w:rsid w:val="5229AC78"/>
    <w:rsid w:val="523114F8"/>
    <w:rsid w:val="523CFFEB"/>
    <w:rsid w:val="5249633E"/>
    <w:rsid w:val="5256DB16"/>
    <w:rsid w:val="52669F17"/>
    <w:rsid w:val="526DFB68"/>
    <w:rsid w:val="527B4635"/>
    <w:rsid w:val="528DD1D2"/>
    <w:rsid w:val="52A129C8"/>
    <w:rsid w:val="52A17EBF"/>
    <w:rsid w:val="52ADC36C"/>
    <w:rsid w:val="52B6C7A4"/>
    <w:rsid w:val="52BD5EFF"/>
    <w:rsid w:val="52C14801"/>
    <w:rsid w:val="52CCEB2A"/>
    <w:rsid w:val="52D7E641"/>
    <w:rsid w:val="52E5873B"/>
    <w:rsid w:val="5304148A"/>
    <w:rsid w:val="530D91B5"/>
    <w:rsid w:val="531D969C"/>
    <w:rsid w:val="532D36FF"/>
    <w:rsid w:val="5346BA88"/>
    <w:rsid w:val="535888FB"/>
    <w:rsid w:val="53639A15"/>
    <w:rsid w:val="53699BA1"/>
    <w:rsid w:val="5382C43D"/>
    <w:rsid w:val="53A4E3AC"/>
    <w:rsid w:val="53A88CF6"/>
    <w:rsid w:val="53B96602"/>
    <w:rsid w:val="53C28920"/>
    <w:rsid w:val="53C58747"/>
    <w:rsid w:val="53CB2758"/>
    <w:rsid w:val="53CCB3BF"/>
    <w:rsid w:val="53E43DA2"/>
    <w:rsid w:val="53EC1EC6"/>
    <w:rsid w:val="53EE17EF"/>
    <w:rsid w:val="53F17E63"/>
    <w:rsid w:val="53F523E2"/>
    <w:rsid w:val="53F8C489"/>
    <w:rsid w:val="540D7294"/>
    <w:rsid w:val="542778B0"/>
    <w:rsid w:val="542E2EE6"/>
    <w:rsid w:val="54321117"/>
    <w:rsid w:val="5435C8EF"/>
    <w:rsid w:val="54474F82"/>
    <w:rsid w:val="5481BDBD"/>
    <w:rsid w:val="54831A1D"/>
    <w:rsid w:val="54850157"/>
    <w:rsid w:val="548AE951"/>
    <w:rsid w:val="549F6437"/>
    <w:rsid w:val="54A361C4"/>
    <w:rsid w:val="54B7821F"/>
    <w:rsid w:val="54CECA8A"/>
    <w:rsid w:val="54CF731F"/>
    <w:rsid w:val="54D8B256"/>
    <w:rsid w:val="54E3B0DD"/>
    <w:rsid w:val="54E761EE"/>
    <w:rsid w:val="54F1CD79"/>
    <w:rsid w:val="54FB2810"/>
    <w:rsid w:val="54FE3B80"/>
    <w:rsid w:val="54FEC611"/>
    <w:rsid w:val="55012006"/>
    <w:rsid w:val="55099507"/>
    <w:rsid w:val="550C572A"/>
    <w:rsid w:val="551BD946"/>
    <w:rsid w:val="552C735A"/>
    <w:rsid w:val="55401696"/>
    <w:rsid w:val="554CA2C1"/>
    <w:rsid w:val="5579BE5A"/>
    <w:rsid w:val="557E9BBD"/>
    <w:rsid w:val="558CDB57"/>
    <w:rsid w:val="55973CBB"/>
    <w:rsid w:val="55A8872F"/>
    <w:rsid w:val="55AB2189"/>
    <w:rsid w:val="55C0A7A9"/>
    <w:rsid w:val="55DA8497"/>
    <w:rsid w:val="55DAFEA3"/>
    <w:rsid w:val="55E213DF"/>
    <w:rsid w:val="55F19948"/>
    <w:rsid w:val="55FCF53A"/>
    <w:rsid w:val="56153CEC"/>
    <w:rsid w:val="561D7624"/>
    <w:rsid w:val="56210158"/>
    <w:rsid w:val="56398EB9"/>
    <w:rsid w:val="5639FF26"/>
    <w:rsid w:val="563C982E"/>
    <w:rsid w:val="56444736"/>
    <w:rsid w:val="56461BC9"/>
    <w:rsid w:val="564B960C"/>
    <w:rsid w:val="56596EE2"/>
    <w:rsid w:val="565E78C3"/>
    <w:rsid w:val="56629385"/>
    <w:rsid w:val="566686D5"/>
    <w:rsid w:val="566734E8"/>
    <w:rsid w:val="56709B98"/>
    <w:rsid w:val="568FD8F2"/>
    <w:rsid w:val="56945F9A"/>
    <w:rsid w:val="56A9D90C"/>
    <w:rsid w:val="56BB8B90"/>
    <w:rsid w:val="56BD4B4F"/>
    <w:rsid w:val="56C61C69"/>
    <w:rsid w:val="56D863C9"/>
    <w:rsid w:val="56DC63E6"/>
    <w:rsid w:val="56EAAAB3"/>
    <w:rsid w:val="56FF8D9F"/>
    <w:rsid w:val="5711262D"/>
    <w:rsid w:val="5734A278"/>
    <w:rsid w:val="5736BA0E"/>
    <w:rsid w:val="573A25A7"/>
    <w:rsid w:val="573A9F02"/>
    <w:rsid w:val="57434DB0"/>
    <w:rsid w:val="5751A48D"/>
    <w:rsid w:val="5753C21B"/>
    <w:rsid w:val="57653B03"/>
    <w:rsid w:val="57844A68"/>
    <w:rsid w:val="579A7F86"/>
    <w:rsid w:val="579EA561"/>
    <w:rsid w:val="57B39DBA"/>
    <w:rsid w:val="57B5F7B9"/>
    <w:rsid w:val="57DDC099"/>
    <w:rsid w:val="5802DE43"/>
    <w:rsid w:val="58109FB0"/>
    <w:rsid w:val="58144480"/>
    <w:rsid w:val="584E9093"/>
    <w:rsid w:val="5872E96F"/>
    <w:rsid w:val="587F0F08"/>
    <w:rsid w:val="58961403"/>
    <w:rsid w:val="589AF6E0"/>
    <w:rsid w:val="589EF881"/>
    <w:rsid w:val="58AEA22F"/>
    <w:rsid w:val="58AEB597"/>
    <w:rsid w:val="58BED306"/>
    <w:rsid w:val="58C13EA2"/>
    <w:rsid w:val="58D408F5"/>
    <w:rsid w:val="58E850D7"/>
    <w:rsid w:val="58EBA13B"/>
    <w:rsid w:val="58F65CC4"/>
    <w:rsid w:val="58FC7B27"/>
    <w:rsid w:val="59229895"/>
    <w:rsid w:val="5929DF5F"/>
    <w:rsid w:val="593F383E"/>
    <w:rsid w:val="594396D3"/>
    <w:rsid w:val="594413D6"/>
    <w:rsid w:val="596592CE"/>
    <w:rsid w:val="597902D6"/>
    <w:rsid w:val="59809D26"/>
    <w:rsid w:val="59892409"/>
    <w:rsid w:val="5992B0EA"/>
    <w:rsid w:val="59A63983"/>
    <w:rsid w:val="59AFD318"/>
    <w:rsid w:val="59C95E44"/>
    <w:rsid w:val="59D41BF0"/>
    <w:rsid w:val="59D54000"/>
    <w:rsid w:val="59E54419"/>
    <w:rsid w:val="59E87031"/>
    <w:rsid w:val="59EBAE83"/>
    <w:rsid w:val="59ECA334"/>
    <w:rsid w:val="59FC46DE"/>
    <w:rsid w:val="5A0C25E4"/>
    <w:rsid w:val="5A11AEB3"/>
    <w:rsid w:val="5A16187B"/>
    <w:rsid w:val="5A1B2C0B"/>
    <w:rsid w:val="5A27B628"/>
    <w:rsid w:val="5A32D308"/>
    <w:rsid w:val="5A341308"/>
    <w:rsid w:val="5A439D64"/>
    <w:rsid w:val="5A51AE72"/>
    <w:rsid w:val="5A782EBA"/>
    <w:rsid w:val="5A790976"/>
    <w:rsid w:val="5A79D1CD"/>
    <w:rsid w:val="5A7E2EAF"/>
    <w:rsid w:val="5ACF39FD"/>
    <w:rsid w:val="5AF46205"/>
    <w:rsid w:val="5B0F3122"/>
    <w:rsid w:val="5B119C4D"/>
    <w:rsid w:val="5B19160C"/>
    <w:rsid w:val="5B244E05"/>
    <w:rsid w:val="5B4B5200"/>
    <w:rsid w:val="5B556AF5"/>
    <w:rsid w:val="5B583DB0"/>
    <w:rsid w:val="5B5D3605"/>
    <w:rsid w:val="5B76E75F"/>
    <w:rsid w:val="5B771544"/>
    <w:rsid w:val="5BDC3542"/>
    <w:rsid w:val="5BE46886"/>
    <w:rsid w:val="5BFC1BB9"/>
    <w:rsid w:val="5BFCE59F"/>
    <w:rsid w:val="5C05023B"/>
    <w:rsid w:val="5C13A739"/>
    <w:rsid w:val="5C206146"/>
    <w:rsid w:val="5C2B4863"/>
    <w:rsid w:val="5C35C65F"/>
    <w:rsid w:val="5C41AE0F"/>
    <w:rsid w:val="5C5F0180"/>
    <w:rsid w:val="5C8382F3"/>
    <w:rsid w:val="5C8D9E71"/>
    <w:rsid w:val="5CA2EDC2"/>
    <w:rsid w:val="5CAA8CA5"/>
    <w:rsid w:val="5CB520D9"/>
    <w:rsid w:val="5CD8ABF9"/>
    <w:rsid w:val="5CDA85C6"/>
    <w:rsid w:val="5CDFEC9C"/>
    <w:rsid w:val="5CE6FC8A"/>
    <w:rsid w:val="5CF49260"/>
    <w:rsid w:val="5D0C2F4D"/>
    <w:rsid w:val="5D10C4BD"/>
    <w:rsid w:val="5D3C4774"/>
    <w:rsid w:val="5D5F0443"/>
    <w:rsid w:val="5D69B455"/>
    <w:rsid w:val="5D867FB3"/>
    <w:rsid w:val="5D8C46E8"/>
    <w:rsid w:val="5D99219F"/>
    <w:rsid w:val="5DB8AEA6"/>
    <w:rsid w:val="5DC3846B"/>
    <w:rsid w:val="5DCB3288"/>
    <w:rsid w:val="5DD11C7F"/>
    <w:rsid w:val="5DD5A81D"/>
    <w:rsid w:val="5DE1D01F"/>
    <w:rsid w:val="5DEF2788"/>
    <w:rsid w:val="5DF5DAA1"/>
    <w:rsid w:val="5E0638DE"/>
    <w:rsid w:val="5E0B6EA2"/>
    <w:rsid w:val="5E134EC5"/>
    <w:rsid w:val="5E1BB9A8"/>
    <w:rsid w:val="5E2F40B3"/>
    <w:rsid w:val="5E30F784"/>
    <w:rsid w:val="5E31338C"/>
    <w:rsid w:val="5E33C3A1"/>
    <w:rsid w:val="5E51C1C3"/>
    <w:rsid w:val="5E572519"/>
    <w:rsid w:val="5E705456"/>
    <w:rsid w:val="5E8310EA"/>
    <w:rsid w:val="5EBB6FF7"/>
    <w:rsid w:val="5EC50CFB"/>
    <w:rsid w:val="5ECF70EE"/>
    <w:rsid w:val="5EDC60BD"/>
    <w:rsid w:val="5F28219F"/>
    <w:rsid w:val="5F2FD2C2"/>
    <w:rsid w:val="5F346A6C"/>
    <w:rsid w:val="5F362094"/>
    <w:rsid w:val="5F5DAFB4"/>
    <w:rsid w:val="5F5F0E98"/>
    <w:rsid w:val="5F6F9532"/>
    <w:rsid w:val="5F759E37"/>
    <w:rsid w:val="5F8248DA"/>
    <w:rsid w:val="5FA026AD"/>
    <w:rsid w:val="5FAC04E9"/>
    <w:rsid w:val="5FB2AA58"/>
    <w:rsid w:val="5FBF0A65"/>
    <w:rsid w:val="5FD1536B"/>
    <w:rsid w:val="5FD5EFB5"/>
    <w:rsid w:val="5FE21CC1"/>
    <w:rsid w:val="5FF03CC6"/>
    <w:rsid w:val="5FF0ABC6"/>
    <w:rsid w:val="5FF86DE4"/>
    <w:rsid w:val="600CBD8D"/>
    <w:rsid w:val="6025A5F8"/>
    <w:rsid w:val="602C57ED"/>
    <w:rsid w:val="60357759"/>
    <w:rsid w:val="603ADB4B"/>
    <w:rsid w:val="603EFA0B"/>
    <w:rsid w:val="6057EC70"/>
    <w:rsid w:val="60630E5F"/>
    <w:rsid w:val="606CA2D3"/>
    <w:rsid w:val="607737CF"/>
    <w:rsid w:val="60814DA0"/>
    <w:rsid w:val="6091DEF8"/>
    <w:rsid w:val="60948FFB"/>
    <w:rsid w:val="60B73B81"/>
    <w:rsid w:val="60EBDE26"/>
    <w:rsid w:val="61082263"/>
    <w:rsid w:val="6118319F"/>
    <w:rsid w:val="6119DFDC"/>
    <w:rsid w:val="613E680C"/>
    <w:rsid w:val="615590B3"/>
    <w:rsid w:val="61789EA3"/>
    <w:rsid w:val="6179A89D"/>
    <w:rsid w:val="6186F9F8"/>
    <w:rsid w:val="618C17DC"/>
    <w:rsid w:val="61962E20"/>
    <w:rsid w:val="619D319D"/>
    <w:rsid w:val="61C0F54A"/>
    <w:rsid w:val="61C47CC8"/>
    <w:rsid w:val="620C1632"/>
    <w:rsid w:val="621A4E41"/>
    <w:rsid w:val="6246CF75"/>
    <w:rsid w:val="624B5880"/>
    <w:rsid w:val="6251B2FC"/>
    <w:rsid w:val="62635823"/>
    <w:rsid w:val="62701188"/>
    <w:rsid w:val="6282DC5A"/>
    <w:rsid w:val="62A9D94C"/>
    <w:rsid w:val="62D79302"/>
    <w:rsid w:val="62DBD69F"/>
    <w:rsid w:val="62EB5F2C"/>
    <w:rsid w:val="6302C5C1"/>
    <w:rsid w:val="630887FF"/>
    <w:rsid w:val="6313732D"/>
    <w:rsid w:val="632ECB77"/>
    <w:rsid w:val="6336889D"/>
    <w:rsid w:val="633C58B2"/>
    <w:rsid w:val="633F2626"/>
    <w:rsid w:val="634934A6"/>
    <w:rsid w:val="6362DCA8"/>
    <w:rsid w:val="63648A52"/>
    <w:rsid w:val="6379F402"/>
    <w:rsid w:val="638C3B61"/>
    <w:rsid w:val="63D0FD3B"/>
    <w:rsid w:val="63D8F89C"/>
    <w:rsid w:val="63D9A9B5"/>
    <w:rsid w:val="63E5B259"/>
    <w:rsid w:val="63F6D320"/>
    <w:rsid w:val="63FCE289"/>
    <w:rsid w:val="64287FE3"/>
    <w:rsid w:val="6453D0F5"/>
    <w:rsid w:val="645D7D3D"/>
    <w:rsid w:val="6465D81A"/>
    <w:rsid w:val="64774EE1"/>
    <w:rsid w:val="6495A4BD"/>
    <w:rsid w:val="6496E134"/>
    <w:rsid w:val="649C9131"/>
    <w:rsid w:val="64A9F2CA"/>
    <w:rsid w:val="64C4D118"/>
    <w:rsid w:val="64D512F4"/>
    <w:rsid w:val="64DB83D4"/>
    <w:rsid w:val="64DC64FD"/>
    <w:rsid w:val="64F5AEF9"/>
    <w:rsid w:val="6518EA60"/>
    <w:rsid w:val="651E5E05"/>
    <w:rsid w:val="6524662D"/>
    <w:rsid w:val="65256CC3"/>
    <w:rsid w:val="652B189B"/>
    <w:rsid w:val="65415E89"/>
    <w:rsid w:val="654733A3"/>
    <w:rsid w:val="654B5A20"/>
    <w:rsid w:val="6557828F"/>
    <w:rsid w:val="6580D1B6"/>
    <w:rsid w:val="65965A1F"/>
    <w:rsid w:val="65A53B5E"/>
    <w:rsid w:val="65A5EB1D"/>
    <w:rsid w:val="65B2080B"/>
    <w:rsid w:val="65B9BC35"/>
    <w:rsid w:val="65BE53DA"/>
    <w:rsid w:val="65BFD31E"/>
    <w:rsid w:val="65C0029B"/>
    <w:rsid w:val="65C1CBD4"/>
    <w:rsid w:val="65C3A6C8"/>
    <w:rsid w:val="65DA82DC"/>
    <w:rsid w:val="65F2EF0D"/>
    <w:rsid w:val="65FD0750"/>
    <w:rsid w:val="66068C22"/>
    <w:rsid w:val="66088E0D"/>
    <w:rsid w:val="661B90C0"/>
    <w:rsid w:val="664FC7D4"/>
    <w:rsid w:val="665F2105"/>
    <w:rsid w:val="6663CC82"/>
    <w:rsid w:val="66647B81"/>
    <w:rsid w:val="6668376C"/>
    <w:rsid w:val="66686F29"/>
    <w:rsid w:val="6686A247"/>
    <w:rsid w:val="668BC87D"/>
    <w:rsid w:val="669D9D2A"/>
    <w:rsid w:val="669F85B5"/>
    <w:rsid w:val="66A90BC4"/>
    <w:rsid w:val="66B672B1"/>
    <w:rsid w:val="66C288A6"/>
    <w:rsid w:val="66C455E6"/>
    <w:rsid w:val="66E9F2CD"/>
    <w:rsid w:val="67037598"/>
    <w:rsid w:val="67171073"/>
    <w:rsid w:val="672E64BF"/>
    <w:rsid w:val="67302094"/>
    <w:rsid w:val="67386F6B"/>
    <w:rsid w:val="675675B1"/>
    <w:rsid w:val="67621105"/>
    <w:rsid w:val="6766C7FC"/>
    <w:rsid w:val="676A0D34"/>
    <w:rsid w:val="678D0DB9"/>
    <w:rsid w:val="678DC319"/>
    <w:rsid w:val="678E2FD4"/>
    <w:rsid w:val="67A1D418"/>
    <w:rsid w:val="67AB7641"/>
    <w:rsid w:val="67B824FF"/>
    <w:rsid w:val="67BBD0A1"/>
    <w:rsid w:val="67D66642"/>
    <w:rsid w:val="67DAE61E"/>
    <w:rsid w:val="67E258F0"/>
    <w:rsid w:val="6810EB13"/>
    <w:rsid w:val="6814F2F9"/>
    <w:rsid w:val="6820C4D4"/>
    <w:rsid w:val="6822BE96"/>
    <w:rsid w:val="68354DD1"/>
    <w:rsid w:val="6839D8AC"/>
    <w:rsid w:val="68456467"/>
    <w:rsid w:val="68593F69"/>
    <w:rsid w:val="6859B33E"/>
    <w:rsid w:val="68692311"/>
    <w:rsid w:val="68732A42"/>
    <w:rsid w:val="6874989C"/>
    <w:rsid w:val="6882D945"/>
    <w:rsid w:val="688A1D8B"/>
    <w:rsid w:val="689FB186"/>
    <w:rsid w:val="68AA06AB"/>
    <w:rsid w:val="68C7DA36"/>
    <w:rsid w:val="68D33276"/>
    <w:rsid w:val="68DC1BA8"/>
    <w:rsid w:val="68E6A177"/>
    <w:rsid w:val="68EA02FF"/>
    <w:rsid w:val="68F56C60"/>
    <w:rsid w:val="690D3AD0"/>
    <w:rsid w:val="691117C7"/>
    <w:rsid w:val="693776B1"/>
    <w:rsid w:val="693AF00B"/>
    <w:rsid w:val="693C9BFE"/>
    <w:rsid w:val="694214C8"/>
    <w:rsid w:val="694551CA"/>
    <w:rsid w:val="695C4E00"/>
    <w:rsid w:val="695E55D6"/>
    <w:rsid w:val="696F2AB1"/>
    <w:rsid w:val="696F525A"/>
    <w:rsid w:val="6973D4EB"/>
    <w:rsid w:val="69766A11"/>
    <w:rsid w:val="697C0156"/>
    <w:rsid w:val="698191C3"/>
    <w:rsid w:val="698448F2"/>
    <w:rsid w:val="699E5C02"/>
    <w:rsid w:val="699F75F5"/>
    <w:rsid w:val="69B21C48"/>
    <w:rsid w:val="69B90983"/>
    <w:rsid w:val="69C0B446"/>
    <w:rsid w:val="69CBF91B"/>
    <w:rsid w:val="69D5DD24"/>
    <w:rsid w:val="69DB6318"/>
    <w:rsid w:val="69DB9217"/>
    <w:rsid w:val="69E0477D"/>
    <w:rsid w:val="69F867AF"/>
    <w:rsid w:val="69FE3DB8"/>
    <w:rsid w:val="6A1F18B4"/>
    <w:rsid w:val="6A476BAE"/>
    <w:rsid w:val="6A555F1B"/>
    <w:rsid w:val="6A6BD01B"/>
    <w:rsid w:val="6A72CBFE"/>
    <w:rsid w:val="6A77FFAE"/>
    <w:rsid w:val="6A90E34B"/>
    <w:rsid w:val="6A9AF532"/>
    <w:rsid w:val="6A9ED6D3"/>
    <w:rsid w:val="6AA72F6B"/>
    <w:rsid w:val="6AAF28D3"/>
    <w:rsid w:val="6AB07444"/>
    <w:rsid w:val="6ABF43A8"/>
    <w:rsid w:val="6AD033E7"/>
    <w:rsid w:val="6AE65BEE"/>
    <w:rsid w:val="6AE8C1B1"/>
    <w:rsid w:val="6AF2E535"/>
    <w:rsid w:val="6AF48CB8"/>
    <w:rsid w:val="6AF51ADA"/>
    <w:rsid w:val="6B0D5277"/>
    <w:rsid w:val="6B196937"/>
    <w:rsid w:val="6B205BEC"/>
    <w:rsid w:val="6B2C9CA1"/>
    <w:rsid w:val="6B4C9A3D"/>
    <w:rsid w:val="6B54EF89"/>
    <w:rsid w:val="6B5ECFBD"/>
    <w:rsid w:val="6B67873E"/>
    <w:rsid w:val="6B9D88BC"/>
    <w:rsid w:val="6BA1EEFC"/>
    <w:rsid w:val="6BA6DBCA"/>
    <w:rsid w:val="6BB30B18"/>
    <w:rsid w:val="6BBAEE69"/>
    <w:rsid w:val="6BC4BB7C"/>
    <w:rsid w:val="6BC6B73F"/>
    <w:rsid w:val="6BD95BA5"/>
    <w:rsid w:val="6BDE81CA"/>
    <w:rsid w:val="6BE1528B"/>
    <w:rsid w:val="6BE6245E"/>
    <w:rsid w:val="6BEC4C51"/>
    <w:rsid w:val="6BF290EE"/>
    <w:rsid w:val="6C2A0C6C"/>
    <w:rsid w:val="6C481615"/>
    <w:rsid w:val="6C4E46C0"/>
    <w:rsid w:val="6C585397"/>
    <w:rsid w:val="6C5FDEEC"/>
    <w:rsid w:val="6C60CBA5"/>
    <w:rsid w:val="6C8053C7"/>
    <w:rsid w:val="6C95F6ED"/>
    <w:rsid w:val="6C99A89B"/>
    <w:rsid w:val="6C9B1A46"/>
    <w:rsid w:val="6CA02F7D"/>
    <w:rsid w:val="6CA34C1D"/>
    <w:rsid w:val="6CADFFA5"/>
    <w:rsid w:val="6CAFFCC7"/>
    <w:rsid w:val="6CB8D4A3"/>
    <w:rsid w:val="6CB9BCDD"/>
    <w:rsid w:val="6CE2FC77"/>
    <w:rsid w:val="6CE7AC81"/>
    <w:rsid w:val="6D01AFA9"/>
    <w:rsid w:val="6D0DB85B"/>
    <w:rsid w:val="6D0E4CBC"/>
    <w:rsid w:val="6D2871AC"/>
    <w:rsid w:val="6D38ACA0"/>
    <w:rsid w:val="6D405F0D"/>
    <w:rsid w:val="6D475530"/>
    <w:rsid w:val="6D5FFBC7"/>
    <w:rsid w:val="6D6BB2ED"/>
    <w:rsid w:val="6D768F98"/>
    <w:rsid w:val="6D81F413"/>
    <w:rsid w:val="6D9F692E"/>
    <w:rsid w:val="6DACFC29"/>
    <w:rsid w:val="6DBA9E9C"/>
    <w:rsid w:val="6DD56B0E"/>
    <w:rsid w:val="6DD97F78"/>
    <w:rsid w:val="6DDDE9A8"/>
    <w:rsid w:val="6DDEABA4"/>
    <w:rsid w:val="6DE0C18C"/>
    <w:rsid w:val="6DF5B57D"/>
    <w:rsid w:val="6E0C673F"/>
    <w:rsid w:val="6E12DCD8"/>
    <w:rsid w:val="6E1C94D3"/>
    <w:rsid w:val="6E278FF5"/>
    <w:rsid w:val="6E3AFA17"/>
    <w:rsid w:val="6E42AAC3"/>
    <w:rsid w:val="6E4A7F1D"/>
    <w:rsid w:val="6E4C1C02"/>
    <w:rsid w:val="6E547D8B"/>
    <w:rsid w:val="6E6A6224"/>
    <w:rsid w:val="6E8CA33B"/>
    <w:rsid w:val="6E8E8868"/>
    <w:rsid w:val="6E9625F7"/>
    <w:rsid w:val="6E9BAD1A"/>
    <w:rsid w:val="6EA92E41"/>
    <w:rsid w:val="6EB977F9"/>
    <w:rsid w:val="6EC7B60C"/>
    <w:rsid w:val="6EE3C5E7"/>
    <w:rsid w:val="6EEFF0EB"/>
    <w:rsid w:val="6EF557CE"/>
    <w:rsid w:val="6EFD199E"/>
    <w:rsid w:val="6F139A2F"/>
    <w:rsid w:val="6F17B130"/>
    <w:rsid w:val="6F1FDAB0"/>
    <w:rsid w:val="6F29B6A8"/>
    <w:rsid w:val="6F2A2F3E"/>
    <w:rsid w:val="6F3454D5"/>
    <w:rsid w:val="6F35E4AB"/>
    <w:rsid w:val="6F3FF566"/>
    <w:rsid w:val="6F408196"/>
    <w:rsid w:val="6F56DAE2"/>
    <w:rsid w:val="6F6305F5"/>
    <w:rsid w:val="6F8243D0"/>
    <w:rsid w:val="6F8ACF61"/>
    <w:rsid w:val="6F931955"/>
    <w:rsid w:val="6F95A69E"/>
    <w:rsid w:val="6F9D1FDF"/>
    <w:rsid w:val="6FACB918"/>
    <w:rsid w:val="6FB20625"/>
    <w:rsid w:val="6FB9A820"/>
    <w:rsid w:val="6FBE565F"/>
    <w:rsid w:val="6FC48CA9"/>
    <w:rsid w:val="6FD97E62"/>
    <w:rsid w:val="6FE33986"/>
    <w:rsid w:val="70042081"/>
    <w:rsid w:val="7009B7B9"/>
    <w:rsid w:val="701C3837"/>
    <w:rsid w:val="701F4490"/>
    <w:rsid w:val="702D0A9C"/>
    <w:rsid w:val="703AE2FB"/>
    <w:rsid w:val="70444E8D"/>
    <w:rsid w:val="704ECCE2"/>
    <w:rsid w:val="7056DB05"/>
    <w:rsid w:val="706E6C2D"/>
    <w:rsid w:val="70A7D87C"/>
    <w:rsid w:val="70D1B1EC"/>
    <w:rsid w:val="70DAA6F8"/>
    <w:rsid w:val="70E17159"/>
    <w:rsid w:val="70E33B1E"/>
    <w:rsid w:val="70E93052"/>
    <w:rsid w:val="70F12D77"/>
    <w:rsid w:val="7102D9EF"/>
    <w:rsid w:val="71037F2B"/>
    <w:rsid w:val="711E5F7F"/>
    <w:rsid w:val="71237719"/>
    <w:rsid w:val="71270094"/>
    <w:rsid w:val="712C5109"/>
    <w:rsid w:val="713667E8"/>
    <w:rsid w:val="713DEB73"/>
    <w:rsid w:val="71449A59"/>
    <w:rsid w:val="71469C55"/>
    <w:rsid w:val="71594799"/>
    <w:rsid w:val="71638B3C"/>
    <w:rsid w:val="716A7060"/>
    <w:rsid w:val="716C760C"/>
    <w:rsid w:val="716DB7FC"/>
    <w:rsid w:val="7179DAE7"/>
    <w:rsid w:val="719039EC"/>
    <w:rsid w:val="71955222"/>
    <w:rsid w:val="7197B2CE"/>
    <w:rsid w:val="71983FDD"/>
    <w:rsid w:val="719BFACF"/>
    <w:rsid w:val="71A84E8C"/>
    <w:rsid w:val="71AE2426"/>
    <w:rsid w:val="71C33E2F"/>
    <w:rsid w:val="71C60AE5"/>
    <w:rsid w:val="71C753D3"/>
    <w:rsid w:val="71C92754"/>
    <w:rsid w:val="71D0C281"/>
    <w:rsid w:val="71E2C786"/>
    <w:rsid w:val="71EAA986"/>
    <w:rsid w:val="71EE9E8B"/>
    <w:rsid w:val="71F2DF3C"/>
    <w:rsid w:val="7205F0CA"/>
    <w:rsid w:val="72068E04"/>
    <w:rsid w:val="72164733"/>
    <w:rsid w:val="722071CF"/>
    <w:rsid w:val="722472BE"/>
    <w:rsid w:val="7239E783"/>
    <w:rsid w:val="7248CCC3"/>
    <w:rsid w:val="7264F9D0"/>
    <w:rsid w:val="72680A1C"/>
    <w:rsid w:val="7269BEB1"/>
    <w:rsid w:val="726A0F8E"/>
    <w:rsid w:val="729ECCCA"/>
    <w:rsid w:val="72A63957"/>
    <w:rsid w:val="72AFF9DB"/>
    <w:rsid w:val="72C183FA"/>
    <w:rsid w:val="72DBC938"/>
    <w:rsid w:val="72EBD295"/>
    <w:rsid w:val="72F46451"/>
    <w:rsid w:val="730539D0"/>
    <w:rsid w:val="731B9927"/>
    <w:rsid w:val="732AF0AB"/>
    <w:rsid w:val="7335EFC1"/>
    <w:rsid w:val="733C52CB"/>
    <w:rsid w:val="7341BC3E"/>
    <w:rsid w:val="73810C1F"/>
    <w:rsid w:val="7393C5D9"/>
    <w:rsid w:val="73AB9CEB"/>
    <w:rsid w:val="73ABB253"/>
    <w:rsid w:val="73BF014B"/>
    <w:rsid w:val="73C6334D"/>
    <w:rsid w:val="73C8C4D1"/>
    <w:rsid w:val="73CC1A2B"/>
    <w:rsid w:val="73D13FF3"/>
    <w:rsid w:val="73E79554"/>
    <w:rsid w:val="73E9338B"/>
    <w:rsid w:val="74146555"/>
    <w:rsid w:val="74153952"/>
    <w:rsid w:val="741CB7F1"/>
    <w:rsid w:val="7422995A"/>
    <w:rsid w:val="742BCBB1"/>
    <w:rsid w:val="7444E65D"/>
    <w:rsid w:val="74500541"/>
    <w:rsid w:val="74579C91"/>
    <w:rsid w:val="74593EF1"/>
    <w:rsid w:val="745A24A6"/>
    <w:rsid w:val="745A9ECD"/>
    <w:rsid w:val="745B4083"/>
    <w:rsid w:val="747537A7"/>
    <w:rsid w:val="747AC95E"/>
    <w:rsid w:val="747F33A0"/>
    <w:rsid w:val="74A160FD"/>
    <w:rsid w:val="74AE8A57"/>
    <w:rsid w:val="74CB8265"/>
    <w:rsid w:val="74D07355"/>
    <w:rsid w:val="74F6B0F2"/>
    <w:rsid w:val="74F94E6A"/>
    <w:rsid w:val="7507AC81"/>
    <w:rsid w:val="753246B5"/>
    <w:rsid w:val="753A11A4"/>
    <w:rsid w:val="7546A94C"/>
    <w:rsid w:val="754CF8E5"/>
    <w:rsid w:val="7554BF37"/>
    <w:rsid w:val="755A8347"/>
    <w:rsid w:val="7579078A"/>
    <w:rsid w:val="75985C85"/>
    <w:rsid w:val="759D5B8E"/>
    <w:rsid w:val="759F5A14"/>
    <w:rsid w:val="75A25013"/>
    <w:rsid w:val="75A66448"/>
    <w:rsid w:val="75AA0442"/>
    <w:rsid w:val="75CB85E9"/>
    <w:rsid w:val="75DB97F9"/>
    <w:rsid w:val="75E6AB08"/>
    <w:rsid w:val="75F35A86"/>
    <w:rsid w:val="75F46291"/>
    <w:rsid w:val="75FD3224"/>
    <w:rsid w:val="76106BE1"/>
    <w:rsid w:val="761310F5"/>
    <w:rsid w:val="76277763"/>
    <w:rsid w:val="76300F00"/>
    <w:rsid w:val="76445EFF"/>
    <w:rsid w:val="7657729A"/>
    <w:rsid w:val="76838DCA"/>
    <w:rsid w:val="7693E8B9"/>
    <w:rsid w:val="76A5EF92"/>
    <w:rsid w:val="76AF06B8"/>
    <w:rsid w:val="76BE8AB2"/>
    <w:rsid w:val="76BFE29E"/>
    <w:rsid w:val="76C78C42"/>
    <w:rsid w:val="76DB7191"/>
    <w:rsid w:val="76E5D3B1"/>
    <w:rsid w:val="76FD92AD"/>
    <w:rsid w:val="770F9DFC"/>
    <w:rsid w:val="77680FED"/>
    <w:rsid w:val="77751F31"/>
    <w:rsid w:val="77774441"/>
    <w:rsid w:val="777B13C1"/>
    <w:rsid w:val="77AA9E8D"/>
    <w:rsid w:val="77AD56DD"/>
    <w:rsid w:val="77B4FB21"/>
    <w:rsid w:val="77D14929"/>
    <w:rsid w:val="77E65168"/>
    <w:rsid w:val="77E805A1"/>
    <w:rsid w:val="77EA88C0"/>
    <w:rsid w:val="77EC9934"/>
    <w:rsid w:val="77FF7C0F"/>
    <w:rsid w:val="78009664"/>
    <w:rsid w:val="7802E1C6"/>
    <w:rsid w:val="7808F8DA"/>
    <w:rsid w:val="7820A2C5"/>
    <w:rsid w:val="78232B52"/>
    <w:rsid w:val="7824DF9C"/>
    <w:rsid w:val="782CEA2E"/>
    <w:rsid w:val="784D57E7"/>
    <w:rsid w:val="7863400B"/>
    <w:rsid w:val="786F8A6C"/>
    <w:rsid w:val="7878F688"/>
    <w:rsid w:val="787E2FB1"/>
    <w:rsid w:val="7892F6C0"/>
    <w:rsid w:val="78933392"/>
    <w:rsid w:val="7895B486"/>
    <w:rsid w:val="78ABB2A6"/>
    <w:rsid w:val="78B2F9BE"/>
    <w:rsid w:val="78C893C7"/>
    <w:rsid w:val="78E2843E"/>
    <w:rsid w:val="78E74899"/>
    <w:rsid w:val="790732FD"/>
    <w:rsid w:val="791978CF"/>
    <w:rsid w:val="791DA8E5"/>
    <w:rsid w:val="7924313C"/>
    <w:rsid w:val="79400F15"/>
    <w:rsid w:val="79533778"/>
    <w:rsid w:val="798051FE"/>
    <w:rsid w:val="798ABC28"/>
    <w:rsid w:val="799C7A4C"/>
    <w:rsid w:val="79B301F7"/>
    <w:rsid w:val="79CD46FA"/>
    <w:rsid w:val="79DC306C"/>
    <w:rsid w:val="79E79021"/>
    <w:rsid w:val="79EC95A9"/>
    <w:rsid w:val="7A155122"/>
    <w:rsid w:val="7A1D6ED9"/>
    <w:rsid w:val="7A264EBD"/>
    <w:rsid w:val="7A39A985"/>
    <w:rsid w:val="7A3C7A2A"/>
    <w:rsid w:val="7A483C57"/>
    <w:rsid w:val="7A4E6BB7"/>
    <w:rsid w:val="7A5DFD78"/>
    <w:rsid w:val="7A6F6140"/>
    <w:rsid w:val="7A72060B"/>
    <w:rsid w:val="7A794932"/>
    <w:rsid w:val="7A862F03"/>
    <w:rsid w:val="7A9E69DE"/>
    <w:rsid w:val="7AAD8BCB"/>
    <w:rsid w:val="7AB1E390"/>
    <w:rsid w:val="7AB83151"/>
    <w:rsid w:val="7ACF85B9"/>
    <w:rsid w:val="7AD0877C"/>
    <w:rsid w:val="7AD15624"/>
    <w:rsid w:val="7AD44A70"/>
    <w:rsid w:val="7ADA9783"/>
    <w:rsid w:val="7AED4C46"/>
    <w:rsid w:val="7AF1679D"/>
    <w:rsid w:val="7B0BDA07"/>
    <w:rsid w:val="7B148630"/>
    <w:rsid w:val="7B18AB62"/>
    <w:rsid w:val="7B42D05D"/>
    <w:rsid w:val="7B47CE9D"/>
    <w:rsid w:val="7B51AE2C"/>
    <w:rsid w:val="7B69BC19"/>
    <w:rsid w:val="7B842364"/>
    <w:rsid w:val="7B88236A"/>
    <w:rsid w:val="7B9F3C27"/>
    <w:rsid w:val="7BA2FB86"/>
    <w:rsid w:val="7BC69B1A"/>
    <w:rsid w:val="7BCF3987"/>
    <w:rsid w:val="7BD1C3E7"/>
    <w:rsid w:val="7BDA29C5"/>
    <w:rsid w:val="7BE4E34F"/>
    <w:rsid w:val="7BFA096A"/>
    <w:rsid w:val="7C06FAAD"/>
    <w:rsid w:val="7C138C70"/>
    <w:rsid w:val="7C27FE26"/>
    <w:rsid w:val="7C495886"/>
    <w:rsid w:val="7C529CF3"/>
    <w:rsid w:val="7C72FDC1"/>
    <w:rsid w:val="7C7E7D92"/>
    <w:rsid w:val="7C818B78"/>
    <w:rsid w:val="7CAF4699"/>
    <w:rsid w:val="7CB0156D"/>
    <w:rsid w:val="7CB148DE"/>
    <w:rsid w:val="7CD6A2F4"/>
    <w:rsid w:val="7CDDFA9C"/>
    <w:rsid w:val="7CF69327"/>
    <w:rsid w:val="7D089ADD"/>
    <w:rsid w:val="7D11B3FC"/>
    <w:rsid w:val="7D20BBBD"/>
    <w:rsid w:val="7D248FD9"/>
    <w:rsid w:val="7D3DAD65"/>
    <w:rsid w:val="7D56AC13"/>
    <w:rsid w:val="7D71A865"/>
    <w:rsid w:val="7D9D7B51"/>
    <w:rsid w:val="7DAEC8E6"/>
    <w:rsid w:val="7DCA7D5D"/>
    <w:rsid w:val="7DDC467C"/>
    <w:rsid w:val="7DE18DF3"/>
    <w:rsid w:val="7DEB3B85"/>
    <w:rsid w:val="7DF11577"/>
    <w:rsid w:val="7DF431B4"/>
    <w:rsid w:val="7DFC71C2"/>
    <w:rsid w:val="7E3858E6"/>
    <w:rsid w:val="7E447306"/>
    <w:rsid w:val="7E4553C3"/>
    <w:rsid w:val="7E603ED8"/>
    <w:rsid w:val="7E7071B0"/>
    <w:rsid w:val="7E74F880"/>
    <w:rsid w:val="7E99970E"/>
    <w:rsid w:val="7EA753B9"/>
    <w:rsid w:val="7EC34BB9"/>
    <w:rsid w:val="7EDE3B53"/>
    <w:rsid w:val="7EF51044"/>
    <w:rsid w:val="7F036844"/>
    <w:rsid w:val="7F1145EE"/>
    <w:rsid w:val="7F198FE5"/>
    <w:rsid w:val="7F46D066"/>
    <w:rsid w:val="7F4EAE9E"/>
    <w:rsid w:val="7F57CADC"/>
    <w:rsid w:val="7F635EFE"/>
    <w:rsid w:val="7F6A4709"/>
    <w:rsid w:val="7F865353"/>
    <w:rsid w:val="7FA79C35"/>
    <w:rsid w:val="7FB7ED4D"/>
    <w:rsid w:val="7FB84886"/>
    <w:rsid w:val="7FC88E26"/>
    <w:rsid w:val="7FDA89C5"/>
    <w:rsid w:val="7FE7F54B"/>
    <w:rsid w:val="7FEFC9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49001"/>
  <w15:chartTrackingRefBased/>
  <w15:docId w15:val="{E3451521-E543-4867-ADD2-273875BB9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49FE81C8"/>
    <w:rPr>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7C370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4E5381"/>
  </w:style>
  <w:style w:type="paragraph" w:styleId="ListParagraph">
    <w:name w:val="List Paragraph"/>
    <w:basedOn w:val="Normal"/>
    <w:uiPriority w:val="34"/>
    <w:qFormat/>
    <w:rsid w:val="49FE81C8"/>
    <w:pPr>
      <w:ind w:left="720"/>
      <w:contextualSpacing/>
    </w:pPr>
  </w:style>
  <w:style w:type="character" w:styleId="Hyperlink">
    <w:name w:val="Hyperlink"/>
    <w:basedOn w:val="DefaultParagraphFont"/>
    <w:uiPriority w:val="99"/>
    <w:semiHidden/>
    <w:unhideWhenUsed/>
    <w:rsid w:val="000C5BF7"/>
    <w:rPr>
      <w:color w:val="0000FF"/>
      <w:u w:val="single"/>
    </w:rPr>
  </w:style>
  <w:style w:type="character" w:styleId="author-sup-separator" w:customStyle="1">
    <w:name w:val="author-sup-separator"/>
    <w:basedOn w:val="DefaultParagraphFont"/>
    <w:rsid w:val="000C5B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e783c85-59c0-43da-bec5-234908fc9de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46C0A0CC12AB348A66227BFC8E0370E" ma:contentTypeVersion="12" ma:contentTypeDescription="Ein neues Dokument erstellen." ma:contentTypeScope="" ma:versionID="1778fae2b336a2c8508c5d3a3ddc5f26">
  <xsd:schema xmlns:xsd="http://www.w3.org/2001/XMLSchema" xmlns:xs="http://www.w3.org/2001/XMLSchema" xmlns:p="http://schemas.microsoft.com/office/2006/metadata/properties" xmlns:ns3="be783c85-59c0-43da-bec5-234908fc9de5" targetNamespace="http://schemas.microsoft.com/office/2006/metadata/properties" ma:root="true" ma:fieldsID="d644f88eca6f5fcbbc73f03357905620" ns3:_="">
    <xsd:import namespace="be783c85-59c0-43da-bec5-234908fc9de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ServiceSystemTags" minOccurs="0"/>
                <xsd:element ref="ns3:MediaServiceOCR" minOccurs="0"/>
                <xsd:element ref="ns3:MediaServiceDateTaken" minOccurs="0"/>
                <xsd:element ref="ns3:MediaServiceLocation" minOccurs="0"/>
                <xsd:element ref="ns3:MediaLengthInSecond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783c85-59c0-43da-bec5-234908fc9d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5034A0-53FA-4266-8D27-2E97EA3E322E}">
  <ds:schemaRefs>
    <ds:schemaRef ds:uri="http://schemas.microsoft.com/office/2006/metadata/properties"/>
    <ds:schemaRef ds:uri="http://schemas.microsoft.com/office/infopath/2007/PartnerControls"/>
    <ds:schemaRef ds:uri="be783c85-59c0-43da-bec5-234908fc9de5"/>
  </ds:schemaRefs>
</ds:datastoreItem>
</file>

<file path=customXml/itemProps2.xml><?xml version="1.0" encoding="utf-8"?>
<ds:datastoreItem xmlns:ds="http://schemas.openxmlformats.org/officeDocument/2006/customXml" ds:itemID="{AF735099-8486-4E26-B065-795D6A1ADB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783c85-59c0-43da-bec5-234908fc9d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5CFB1D-86DF-41E3-8542-9C49556D3C3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Vrije Universiteit Amsterdam</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Niermeijer, E.H. (Eva)</dc:creator>
  <keywords/>
  <dc:description/>
  <lastModifiedBy>Niermeijer, E.H. (Eva)</lastModifiedBy>
  <revision>22</revision>
  <dcterms:created xsi:type="dcterms:W3CDTF">2026-04-05T10:15:00.0000000Z</dcterms:created>
  <dcterms:modified xsi:type="dcterms:W3CDTF">2026-09-25T07:26:59.1777352Z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0x010100B46C0A0CC12AB348A66227BFC8E0370E</vt:lpwstr>
  </property>
</Properties>
</file>