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B37B2">
      <w:pPr>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 xml:space="preserve">Supplementary File </w:t>
      </w:r>
      <w:r>
        <w:rPr>
          <w:rFonts w:hint="eastAsia" w:ascii="Times New Roman" w:hAnsi="Times New Roman" w:cs="Times New Roman"/>
          <w:color w:val="auto"/>
          <w:sz w:val="28"/>
          <w:szCs w:val="28"/>
          <w:lang w:val="en-US" w:eastAsia="zh-CN"/>
        </w:rPr>
        <w:t>2</w:t>
      </w:r>
    </w:p>
    <w:p w14:paraId="585ADF4F">
      <w:pPr>
        <w:rPr>
          <w:rFonts w:hint="default" w:ascii="Times New Roman" w:hAnsi="Times New Roman" w:cs="Times New Roman"/>
          <w:sz w:val="28"/>
          <w:szCs w:val="28"/>
          <w:lang w:val="en-US" w:eastAsia="zh-CN"/>
        </w:rPr>
      </w:pPr>
    </w:p>
    <w:p w14:paraId="286DA762">
      <w:pPr>
        <w:rPr>
          <w:rFonts w:hint="eastAsia"/>
          <w:lang w:val="en-US" w:eastAsia="zh-CN"/>
        </w:rPr>
      </w:pPr>
      <w:r>
        <w:rPr>
          <w:rFonts w:hint="default" w:ascii="Times New Roman" w:hAnsi="Times New Roman" w:cs="Times New Roman"/>
          <w:sz w:val="28"/>
          <w:szCs w:val="28"/>
          <w:lang w:val="en-US" w:eastAsia="zh-CN"/>
        </w:rPr>
        <w:t>Objective Structured Clinical Examination (OSCE) Scoring Rubric</w:t>
      </w:r>
    </w:p>
    <w:p w14:paraId="6BDE5664">
      <w:pPr>
        <w:rPr>
          <w:rFonts w:hint="eastAsia"/>
          <w:lang w:val="en-US" w:eastAsia="zh-CN"/>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035"/>
        <w:gridCol w:w="5814"/>
        <w:gridCol w:w="343"/>
        <w:gridCol w:w="330"/>
      </w:tblGrid>
      <w:tr w14:paraId="4D14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191" w:type="pct"/>
            <w:tcBorders>
              <w:tl2br w:val="nil"/>
              <w:tr2bl w:val="nil"/>
            </w:tcBorders>
            <w:shd w:val="clear" w:color="auto" w:fill="auto"/>
            <w:noWrap/>
            <w:vAlign w:val="center"/>
          </w:tcPr>
          <w:p w14:paraId="4E610EA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Assessment Domain</w:t>
            </w:r>
          </w:p>
        </w:tc>
        <w:tc>
          <w:tcPr>
            <w:tcW w:w="3401" w:type="pct"/>
            <w:tcBorders>
              <w:tl2br w:val="nil"/>
              <w:tr2bl w:val="nil"/>
            </w:tcBorders>
            <w:shd w:val="clear" w:color="auto" w:fill="auto"/>
            <w:noWrap/>
            <w:vAlign w:val="center"/>
          </w:tcPr>
          <w:p w14:paraId="6A28CF99">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Scoring Criteria</w:t>
            </w:r>
          </w:p>
        </w:tc>
        <w:tc>
          <w:tcPr>
            <w:tcW w:w="210" w:type="pct"/>
            <w:tcBorders>
              <w:tl2br w:val="nil"/>
              <w:tr2bl w:val="nil"/>
            </w:tcBorders>
            <w:shd w:val="clear" w:color="auto" w:fill="auto"/>
            <w:noWrap/>
            <w:vAlign w:val="center"/>
          </w:tcPr>
          <w:p w14:paraId="7A53C4A4">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Points</w:t>
            </w:r>
          </w:p>
        </w:tc>
        <w:tc>
          <w:tcPr>
            <w:tcW w:w="196" w:type="pct"/>
            <w:tcBorders>
              <w:tl2br w:val="nil"/>
              <w:tr2bl w:val="nil"/>
            </w:tcBorders>
            <w:shd w:val="clear" w:color="auto" w:fill="auto"/>
            <w:noWrap/>
            <w:vAlign w:val="center"/>
          </w:tcPr>
          <w:p w14:paraId="6E4EE2CF">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Score</w:t>
            </w:r>
          </w:p>
        </w:tc>
      </w:tr>
      <w:tr w14:paraId="73C4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4" w:hRule="atLeast"/>
        </w:trPr>
        <w:tc>
          <w:tcPr>
            <w:tcW w:w="1191" w:type="pct"/>
            <w:vMerge w:val="restart"/>
            <w:tcBorders>
              <w:tl2br w:val="nil"/>
              <w:tr2bl w:val="nil"/>
            </w:tcBorders>
            <w:shd w:val="clear" w:color="auto" w:fill="auto"/>
            <w:noWrap/>
            <w:vAlign w:val="center"/>
          </w:tcPr>
          <w:p w14:paraId="6DE469F9">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 General Competencies (Throughout the Examination)</w:t>
            </w:r>
          </w:p>
        </w:tc>
        <w:tc>
          <w:tcPr>
            <w:tcW w:w="3401" w:type="pct"/>
            <w:vMerge w:val="restart"/>
            <w:tcBorders>
              <w:tl2br w:val="nil"/>
              <w:tr2bl w:val="nil"/>
            </w:tcBorders>
            <w:shd w:val="clear" w:color="auto" w:fill="auto"/>
            <w:noWrap/>
            <w:vAlign w:val="center"/>
          </w:tcPr>
          <w:p w14:paraId="3EE2C3D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 Therapist Preparation (3 points)</w:t>
            </w:r>
          </w:p>
          <w:p w14:paraId="3453EF19">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Neat and appropriate attire, well-groomed, fingernails trimmed properly (1 point)</w:t>
            </w:r>
          </w:p>
          <w:p w14:paraId="0B1365F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Hands washed, compliant with infection control requirements (2 points)</w:t>
            </w:r>
          </w:p>
        </w:tc>
        <w:tc>
          <w:tcPr>
            <w:tcW w:w="210" w:type="pct"/>
            <w:vMerge w:val="restart"/>
            <w:tcBorders>
              <w:tl2br w:val="nil"/>
              <w:tr2bl w:val="nil"/>
            </w:tcBorders>
            <w:shd w:val="clear" w:color="auto" w:fill="auto"/>
            <w:noWrap/>
            <w:vAlign w:val="center"/>
          </w:tcPr>
          <w:p w14:paraId="4F6F3F33">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6" w:type="pct"/>
            <w:tcBorders>
              <w:tl2br w:val="nil"/>
              <w:tr2bl w:val="nil"/>
            </w:tcBorders>
            <w:shd w:val="clear" w:color="auto" w:fill="auto"/>
            <w:noWrap/>
            <w:vAlign w:val="center"/>
          </w:tcPr>
          <w:p w14:paraId="49FC6D61">
            <w:pPr>
              <w:ind w:left="0" w:leftChars="0" w:right="0" w:rightChars="0" w:firstLine="0" w:firstLineChars="0"/>
              <w:rPr>
                <w:rFonts w:hint="eastAsia" w:ascii="宋体" w:hAnsi="宋体" w:eastAsia="宋体" w:cs="宋体"/>
                <w:i w:val="0"/>
                <w:iCs w:val="0"/>
                <w:color w:val="000000"/>
                <w:sz w:val="22"/>
                <w:szCs w:val="22"/>
                <w:u w:val="none"/>
              </w:rPr>
            </w:pPr>
          </w:p>
        </w:tc>
      </w:tr>
      <w:tr w14:paraId="7C13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34" w:hRule="atLeast"/>
        </w:trPr>
        <w:tc>
          <w:tcPr>
            <w:tcW w:w="1191" w:type="pct"/>
            <w:vMerge w:val="continue"/>
            <w:tcBorders>
              <w:tl2br w:val="nil"/>
              <w:tr2bl w:val="nil"/>
            </w:tcBorders>
            <w:shd w:val="clear" w:color="auto" w:fill="auto"/>
            <w:noWrap/>
            <w:vAlign w:val="center"/>
          </w:tcPr>
          <w:p w14:paraId="2C0C9A7C">
            <w:pPr>
              <w:ind w:left="0" w:leftChars="0" w:right="0" w:rightChars="0" w:firstLine="0" w:firstLineChars="0"/>
              <w:rPr>
                <w:rFonts w:hint="default" w:ascii="Times New Roman" w:hAnsi="Times New Roman" w:eastAsia="宋体" w:cs="Times New Roman"/>
                <w:i w:val="0"/>
                <w:iCs w:val="0"/>
                <w:color w:val="000000"/>
                <w:sz w:val="22"/>
                <w:szCs w:val="22"/>
                <w:u w:val="none"/>
              </w:rPr>
            </w:pPr>
          </w:p>
        </w:tc>
        <w:tc>
          <w:tcPr>
            <w:tcW w:w="3401" w:type="pct"/>
            <w:vMerge w:val="restart"/>
            <w:tcBorders>
              <w:tl2br w:val="nil"/>
              <w:tr2bl w:val="nil"/>
            </w:tcBorders>
            <w:shd w:val="clear" w:color="auto" w:fill="auto"/>
            <w:noWrap/>
            <w:vAlign w:val="center"/>
          </w:tcPr>
          <w:p w14:paraId="612ED675">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 Environment and Equipment Preparation (3 points)</w:t>
            </w:r>
          </w:p>
          <w:p w14:paraId="26EE072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Quiet environment, adequate lighting, appropriate temperature and humidity (1 point)</w:t>
            </w:r>
          </w:p>
          <w:p w14:paraId="7BB47EDF">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OT treatment table/chair at appropriate height; appropriate assessment and treatment tools selected (e.g., goniometer, dynamometer, cognitive assessment kit, occupational activity materials) (2 points)</w:t>
            </w:r>
          </w:p>
        </w:tc>
        <w:tc>
          <w:tcPr>
            <w:tcW w:w="210" w:type="pct"/>
            <w:vMerge w:val="restart"/>
            <w:tcBorders>
              <w:tl2br w:val="nil"/>
              <w:tr2bl w:val="nil"/>
            </w:tcBorders>
            <w:shd w:val="clear" w:color="auto" w:fill="auto"/>
            <w:noWrap/>
            <w:vAlign w:val="center"/>
          </w:tcPr>
          <w:p w14:paraId="6688338C">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6" w:type="pct"/>
            <w:tcBorders>
              <w:tl2br w:val="nil"/>
              <w:tr2bl w:val="nil"/>
            </w:tcBorders>
            <w:shd w:val="clear" w:color="auto" w:fill="auto"/>
            <w:noWrap/>
            <w:vAlign w:val="center"/>
          </w:tcPr>
          <w:p w14:paraId="3DB042F2">
            <w:pPr>
              <w:ind w:left="0" w:leftChars="0" w:right="0" w:rightChars="0" w:firstLine="0" w:firstLineChars="0"/>
              <w:rPr>
                <w:rFonts w:hint="eastAsia" w:ascii="宋体" w:hAnsi="宋体" w:eastAsia="宋体" w:cs="宋体"/>
                <w:i w:val="0"/>
                <w:iCs w:val="0"/>
                <w:color w:val="000000"/>
                <w:sz w:val="22"/>
                <w:szCs w:val="22"/>
                <w:u w:val="none"/>
              </w:rPr>
            </w:pPr>
          </w:p>
        </w:tc>
      </w:tr>
      <w:tr w14:paraId="4264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8" w:hRule="atLeast"/>
        </w:trPr>
        <w:tc>
          <w:tcPr>
            <w:tcW w:w="1191" w:type="pct"/>
            <w:vMerge w:val="continue"/>
            <w:tcBorders>
              <w:tl2br w:val="nil"/>
              <w:tr2bl w:val="nil"/>
            </w:tcBorders>
            <w:shd w:val="clear" w:color="auto" w:fill="auto"/>
            <w:noWrap/>
            <w:vAlign w:val="center"/>
          </w:tcPr>
          <w:p w14:paraId="169EC955">
            <w:pPr>
              <w:ind w:left="0" w:leftChars="0" w:right="0" w:rightChars="0" w:firstLine="0" w:firstLineChars="0"/>
              <w:rPr>
                <w:rFonts w:hint="default" w:ascii="Times New Roman" w:hAnsi="Times New Roman" w:eastAsia="宋体" w:cs="Times New Roman"/>
                <w:i w:val="0"/>
                <w:iCs w:val="0"/>
                <w:color w:val="000000"/>
                <w:sz w:val="22"/>
                <w:szCs w:val="22"/>
                <w:u w:val="none"/>
              </w:rPr>
            </w:pPr>
          </w:p>
        </w:tc>
        <w:tc>
          <w:tcPr>
            <w:tcW w:w="3401" w:type="pct"/>
            <w:vMerge w:val="restart"/>
            <w:tcBorders>
              <w:tl2br w:val="nil"/>
              <w:tr2bl w:val="nil"/>
            </w:tcBorders>
            <w:shd w:val="clear" w:color="auto" w:fill="auto"/>
            <w:noWrap/>
            <w:vAlign w:val="center"/>
          </w:tcPr>
          <w:p w14:paraId="0713A633">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 Patient Preparation and Communication (10 points)</w:t>
            </w:r>
          </w:p>
          <w:p w14:paraId="48F91CC4">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Patient positioned appropriately (sitting/supine), affected limb adequately exposed (2 points)</w:t>
            </w:r>
          </w:p>
          <w:p w14:paraId="09A9054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Assess patient's consciousness and communication ability; inquire about willingness and any discomfort (2 points)</w:t>
            </w:r>
          </w:p>
          <w:p w14:paraId="2E4BA877">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Clearly explain the purpose and procedure of the examination/intervention (3 points)</w:t>
            </w:r>
          </w:p>
          <w:p w14:paraId="0387498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Warm and confident communication, appropriate speaking pace and volume (3 points)</w:t>
            </w:r>
          </w:p>
        </w:tc>
        <w:tc>
          <w:tcPr>
            <w:tcW w:w="210" w:type="pct"/>
            <w:vMerge w:val="restart"/>
            <w:tcBorders>
              <w:tl2br w:val="nil"/>
              <w:tr2bl w:val="nil"/>
            </w:tcBorders>
            <w:shd w:val="clear" w:color="auto" w:fill="auto"/>
            <w:noWrap/>
            <w:vAlign w:val="center"/>
          </w:tcPr>
          <w:p w14:paraId="205C0F95">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6" w:type="pct"/>
            <w:tcBorders>
              <w:tl2br w:val="nil"/>
              <w:tr2bl w:val="nil"/>
            </w:tcBorders>
            <w:shd w:val="clear" w:color="auto" w:fill="auto"/>
            <w:noWrap/>
            <w:vAlign w:val="center"/>
          </w:tcPr>
          <w:p w14:paraId="2978D2B7">
            <w:pPr>
              <w:ind w:left="0" w:leftChars="0" w:right="0" w:rightChars="0" w:firstLine="0" w:firstLineChars="0"/>
              <w:rPr>
                <w:rFonts w:hint="eastAsia" w:ascii="宋体" w:hAnsi="宋体" w:eastAsia="宋体" w:cs="宋体"/>
                <w:i w:val="0"/>
                <w:iCs w:val="0"/>
                <w:color w:val="000000"/>
                <w:sz w:val="22"/>
                <w:szCs w:val="22"/>
                <w:u w:val="none"/>
              </w:rPr>
            </w:pPr>
          </w:p>
        </w:tc>
      </w:tr>
      <w:tr w14:paraId="5B5D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14" w:hRule="atLeast"/>
        </w:trPr>
        <w:tc>
          <w:tcPr>
            <w:tcW w:w="1191" w:type="pct"/>
            <w:vMerge w:val="continue"/>
            <w:tcBorders>
              <w:tl2br w:val="nil"/>
              <w:tr2bl w:val="nil"/>
            </w:tcBorders>
            <w:shd w:val="clear" w:color="auto" w:fill="auto"/>
            <w:noWrap/>
            <w:vAlign w:val="center"/>
          </w:tcPr>
          <w:p w14:paraId="2B228BA8">
            <w:pPr>
              <w:ind w:left="0" w:leftChars="0" w:right="0" w:rightChars="0" w:firstLine="0" w:firstLineChars="0"/>
              <w:rPr>
                <w:rFonts w:hint="default" w:ascii="Times New Roman" w:hAnsi="Times New Roman" w:eastAsia="宋体" w:cs="Times New Roman"/>
                <w:i w:val="0"/>
                <w:iCs w:val="0"/>
                <w:color w:val="000000"/>
                <w:sz w:val="22"/>
                <w:szCs w:val="22"/>
                <w:u w:val="none"/>
              </w:rPr>
            </w:pPr>
          </w:p>
        </w:tc>
        <w:tc>
          <w:tcPr>
            <w:tcW w:w="3401" w:type="pct"/>
            <w:vMerge w:val="restart"/>
            <w:tcBorders>
              <w:tl2br w:val="nil"/>
              <w:tr2bl w:val="nil"/>
            </w:tcBorders>
            <w:shd w:val="clear" w:color="auto" w:fill="auto"/>
            <w:noWrap/>
            <w:vAlign w:val="center"/>
          </w:tcPr>
          <w:p w14:paraId="252CE504">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 Professionalism (4 points)</w:t>
            </w:r>
          </w:p>
          <w:p w14:paraId="5961BCCD">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Demonstrate care and protection for the patient during the procedure; provide appropriate assistance (1 point)</w:t>
            </w:r>
          </w:p>
          <w:p w14:paraId="12200A5A">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Show respect and understanding; encourage active participation of patient and family (1 point)</w:t>
            </w:r>
          </w:p>
          <w:p w14:paraId="2C3E4940">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Perform procedures skillfully, accurately, and efficiently without unnecessary repetition (2 points)</w:t>
            </w:r>
          </w:p>
        </w:tc>
        <w:tc>
          <w:tcPr>
            <w:tcW w:w="210" w:type="pct"/>
            <w:vMerge w:val="restart"/>
            <w:tcBorders>
              <w:tl2br w:val="nil"/>
              <w:tr2bl w:val="nil"/>
            </w:tcBorders>
            <w:shd w:val="clear" w:color="auto" w:fill="auto"/>
            <w:noWrap/>
            <w:vAlign w:val="center"/>
          </w:tcPr>
          <w:p w14:paraId="21411D7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6" w:type="pct"/>
            <w:vMerge w:val="restart"/>
            <w:tcBorders>
              <w:tl2br w:val="nil"/>
              <w:tr2bl w:val="nil"/>
            </w:tcBorders>
            <w:shd w:val="clear" w:color="auto" w:fill="auto"/>
            <w:noWrap/>
            <w:vAlign w:val="center"/>
          </w:tcPr>
          <w:p w14:paraId="576932F8">
            <w:pPr>
              <w:ind w:left="0" w:leftChars="0" w:right="0" w:rightChars="0" w:firstLine="0" w:firstLineChars="0"/>
              <w:rPr>
                <w:rFonts w:hint="eastAsia" w:ascii="宋体" w:hAnsi="宋体" w:eastAsia="宋体" w:cs="宋体"/>
                <w:i w:val="0"/>
                <w:iCs w:val="0"/>
                <w:color w:val="000000"/>
                <w:sz w:val="22"/>
                <w:szCs w:val="22"/>
                <w:u w:val="none"/>
              </w:rPr>
            </w:pPr>
          </w:p>
        </w:tc>
      </w:tr>
      <w:tr w14:paraId="37E2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191" w:type="pct"/>
            <w:vMerge w:val="restart"/>
            <w:tcBorders>
              <w:tl2br w:val="nil"/>
              <w:tr2bl w:val="nil"/>
            </w:tcBorders>
            <w:shd w:val="clear" w:color="auto" w:fill="auto"/>
            <w:noWrap/>
            <w:vAlign w:val="center"/>
          </w:tcPr>
          <w:p w14:paraId="70D5ECD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II. OT-Specific Interview (Focus on Occupational History &amp; Patient Goals)</w:t>
            </w:r>
          </w:p>
        </w:tc>
        <w:tc>
          <w:tcPr>
            <w:tcW w:w="3401" w:type="pct"/>
            <w:vMerge w:val="restart"/>
            <w:tcBorders>
              <w:tl2br w:val="nil"/>
              <w:tr2bl w:val="nil"/>
            </w:tcBorders>
            <w:shd w:val="clear" w:color="auto" w:fill="auto"/>
            <w:noWrap/>
            <w:vAlign w:val="center"/>
          </w:tcPr>
          <w:p w14:paraId="5E89389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 History and Life Background (10 points)</w:t>
            </w:r>
          </w:p>
          <w:p w14:paraId="12FDDD4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Presenting condition and medical history (with emphasis on pre-morbid occupational activity patterns) (4 points)</w:t>
            </w:r>
          </w:p>
          <w:p w14:paraId="016C1E0B">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Home environment, occupation/school, interests/hobbies, social support (3 points)</w:t>
            </w:r>
          </w:p>
          <w:p w14:paraId="11C0784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Current level of independence in daily living (e.g., eating, dressing, toileting) (3 points)</w:t>
            </w:r>
          </w:p>
        </w:tc>
        <w:tc>
          <w:tcPr>
            <w:tcW w:w="210" w:type="pct"/>
            <w:vMerge w:val="restart"/>
            <w:tcBorders>
              <w:tl2br w:val="nil"/>
              <w:tr2bl w:val="nil"/>
            </w:tcBorders>
            <w:shd w:val="clear" w:color="auto" w:fill="auto"/>
            <w:noWrap/>
            <w:vAlign w:val="center"/>
          </w:tcPr>
          <w:p w14:paraId="61201A6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6" w:type="pct"/>
            <w:vMerge w:val="restart"/>
            <w:tcBorders>
              <w:tl2br w:val="nil"/>
              <w:tr2bl w:val="nil"/>
            </w:tcBorders>
            <w:shd w:val="clear" w:color="auto" w:fill="auto"/>
            <w:noWrap/>
            <w:vAlign w:val="center"/>
          </w:tcPr>
          <w:p w14:paraId="2FDD3397">
            <w:pPr>
              <w:ind w:left="0" w:leftChars="0" w:right="0" w:rightChars="0" w:firstLine="0" w:firstLineChars="0"/>
              <w:rPr>
                <w:rFonts w:hint="eastAsia" w:ascii="宋体" w:hAnsi="宋体" w:eastAsia="宋体" w:cs="宋体"/>
                <w:i w:val="0"/>
                <w:iCs w:val="0"/>
                <w:color w:val="000000"/>
                <w:sz w:val="22"/>
                <w:szCs w:val="22"/>
                <w:u w:val="none"/>
              </w:rPr>
            </w:pPr>
          </w:p>
        </w:tc>
      </w:tr>
      <w:tr w14:paraId="35C7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191" w:type="pct"/>
            <w:vMerge w:val="continue"/>
            <w:tcBorders>
              <w:tl2br w:val="nil"/>
              <w:tr2bl w:val="nil"/>
            </w:tcBorders>
            <w:shd w:val="clear" w:color="auto" w:fill="auto"/>
            <w:noWrap/>
            <w:vAlign w:val="center"/>
          </w:tcPr>
          <w:p w14:paraId="7E85A3D5">
            <w:pPr>
              <w:ind w:left="0" w:leftChars="0" w:right="0" w:rightChars="0" w:firstLine="0" w:firstLineChars="0"/>
              <w:rPr>
                <w:rFonts w:hint="default" w:ascii="Times New Roman" w:hAnsi="Times New Roman" w:eastAsia="宋体" w:cs="Times New Roman"/>
                <w:i w:val="0"/>
                <w:iCs w:val="0"/>
                <w:color w:val="000000"/>
                <w:sz w:val="22"/>
                <w:szCs w:val="22"/>
                <w:u w:val="none"/>
              </w:rPr>
            </w:pPr>
          </w:p>
        </w:tc>
        <w:tc>
          <w:tcPr>
            <w:tcW w:w="3401" w:type="pct"/>
            <w:vMerge w:val="restart"/>
            <w:tcBorders>
              <w:tl2br w:val="nil"/>
              <w:tr2bl w:val="nil"/>
            </w:tcBorders>
            <w:shd w:val="clear" w:color="auto" w:fill="auto"/>
            <w:noWrap/>
            <w:vAlign w:val="center"/>
          </w:tcPr>
          <w:p w14:paraId="160304B9">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 Patient Expectations and Functional Goals (5 points)</w:t>
            </w:r>
          </w:p>
          <w:p w14:paraId="01939EC5">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Actively ask the patient about the most important daily activities they wish to resume (ADL/IADL) (3 points)</w:t>
            </w:r>
          </w:p>
          <w:p w14:paraId="304E970F">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Understand the patient's expectations regarding rehabilitation outcomes (2 points)</w:t>
            </w:r>
          </w:p>
        </w:tc>
        <w:tc>
          <w:tcPr>
            <w:tcW w:w="210" w:type="pct"/>
            <w:vMerge w:val="restart"/>
            <w:tcBorders>
              <w:tl2br w:val="nil"/>
              <w:tr2bl w:val="nil"/>
            </w:tcBorders>
            <w:shd w:val="clear" w:color="auto" w:fill="auto"/>
            <w:noWrap/>
            <w:vAlign w:val="center"/>
          </w:tcPr>
          <w:p w14:paraId="5865DD2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6" w:type="pct"/>
            <w:vMerge w:val="restart"/>
            <w:tcBorders>
              <w:tl2br w:val="nil"/>
              <w:tr2bl w:val="nil"/>
            </w:tcBorders>
            <w:shd w:val="clear" w:color="auto" w:fill="auto"/>
            <w:noWrap/>
            <w:vAlign w:val="center"/>
          </w:tcPr>
          <w:p w14:paraId="4D13E4C0">
            <w:pPr>
              <w:ind w:left="0" w:leftChars="0" w:right="0" w:rightChars="0" w:firstLine="0" w:firstLineChars="0"/>
              <w:rPr>
                <w:rFonts w:hint="eastAsia" w:ascii="宋体" w:hAnsi="宋体" w:eastAsia="宋体" w:cs="宋体"/>
                <w:i w:val="0"/>
                <w:iCs w:val="0"/>
                <w:color w:val="000000"/>
                <w:sz w:val="22"/>
                <w:szCs w:val="22"/>
                <w:u w:val="none"/>
              </w:rPr>
            </w:pPr>
          </w:p>
        </w:tc>
      </w:tr>
      <w:tr w14:paraId="75E3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191" w:type="pct"/>
            <w:vMerge w:val="continue"/>
            <w:tcBorders>
              <w:tl2br w:val="nil"/>
              <w:tr2bl w:val="nil"/>
            </w:tcBorders>
            <w:shd w:val="clear" w:color="auto" w:fill="auto"/>
            <w:noWrap/>
            <w:vAlign w:val="center"/>
          </w:tcPr>
          <w:p w14:paraId="502C9BDD">
            <w:pPr>
              <w:ind w:left="0" w:leftChars="0" w:right="0" w:rightChars="0" w:firstLine="0" w:firstLineChars="0"/>
              <w:rPr>
                <w:rFonts w:hint="default" w:ascii="Times New Roman" w:hAnsi="Times New Roman" w:eastAsia="宋体" w:cs="Times New Roman"/>
                <w:i w:val="0"/>
                <w:iCs w:val="0"/>
                <w:color w:val="000000"/>
                <w:sz w:val="22"/>
                <w:szCs w:val="22"/>
                <w:u w:val="none"/>
              </w:rPr>
            </w:pPr>
          </w:p>
        </w:tc>
        <w:tc>
          <w:tcPr>
            <w:tcW w:w="3401" w:type="pct"/>
            <w:vMerge w:val="restart"/>
            <w:tcBorders>
              <w:tl2br w:val="nil"/>
              <w:tr2bl w:val="nil"/>
            </w:tcBorders>
            <w:shd w:val="clear" w:color="auto" w:fill="auto"/>
            <w:noWrap/>
            <w:vAlign w:val="center"/>
          </w:tcPr>
          <w:p w14:paraId="050486B0">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 Interview Summary and Initial Plan (5 points)</w:t>
            </w:r>
          </w:p>
          <w:p w14:paraId="2F4995E7">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Summarise core problems and patient priorities (3 points)</w:t>
            </w:r>
          </w:p>
          <w:p w14:paraId="14009930">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Verbally present a brief initial rehabilitation direction (2 points)</w:t>
            </w:r>
          </w:p>
        </w:tc>
        <w:tc>
          <w:tcPr>
            <w:tcW w:w="210" w:type="pct"/>
            <w:vMerge w:val="restart"/>
            <w:tcBorders>
              <w:tl2br w:val="nil"/>
              <w:tr2bl w:val="nil"/>
            </w:tcBorders>
            <w:shd w:val="clear" w:color="auto" w:fill="auto"/>
            <w:noWrap/>
            <w:vAlign w:val="center"/>
          </w:tcPr>
          <w:p w14:paraId="34AF9973">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6" w:type="pct"/>
            <w:tcBorders>
              <w:tl2br w:val="nil"/>
              <w:tr2bl w:val="nil"/>
            </w:tcBorders>
            <w:shd w:val="clear" w:color="auto" w:fill="auto"/>
            <w:noWrap/>
            <w:vAlign w:val="center"/>
          </w:tcPr>
          <w:p w14:paraId="7022B006">
            <w:pPr>
              <w:ind w:left="0" w:leftChars="0" w:right="0" w:rightChars="0" w:firstLine="0" w:firstLineChars="0"/>
              <w:rPr>
                <w:rFonts w:hint="eastAsia" w:ascii="宋体" w:hAnsi="宋体" w:eastAsia="宋体" w:cs="宋体"/>
                <w:i w:val="0"/>
                <w:iCs w:val="0"/>
                <w:color w:val="000000"/>
                <w:sz w:val="22"/>
                <w:szCs w:val="22"/>
                <w:u w:val="none"/>
              </w:rPr>
            </w:pPr>
          </w:p>
        </w:tc>
      </w:tr>
      <w:tr w14:paraId="1987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191" w:type="pct"/>
            <w:vMerge w:val="restart"/>
            <w:tcBorders>
              <w:tl2br w:val="nil"/>
              <w:tr2bl w:val="nil"/>
            </w:tcBorders>
            <w:shd w:val="clear" w:color="auto" w:fill="auto"/>
            <w:noWrap/>
            <w:vAlign w:val="center"/>
          </w:tcPr>
          <w:p w14:paraId="2C88392D">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III. OT Assessment (Oral Presentation, Select and Describe One Assessment Tool)</w:t>
            </w:r>
          </w:p>
          <w:p w14:paraId="3003837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Including Goal Setting</w:t>
            </w:r>
          </w:p>
        </w:tc>
        <w:tc>
          <w:tcPr>
            <w:tcW w:w="3401" w:type="pct"/>
            <w:vMerge w:val="restart"/>
            <w:tcBorders>
              <w:tl2br w:val="nil"/>
              <w:tr2bl w:val="nil"/>
            </w:tcBorders>
            <w:shd w:val="clear" w:color="auto" w:fill="auto"/>
            <w:noWrap/>
            <w:vAlign w:val="center"/>
          </w:tcPr>
          <w:p w14:paraId="15CAE5D0">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Select one commonly used OT assessment tool to describe orally, such as the Barthel Index, FIM, upper limb ROM, MMT, grip/pinch strength, sensory assessment, cognitive screening, hemiplegic upper limb functional classification (e.g., Brunnstrom stage), or hemispatial neglect assessment.</w:t>
            </w:r>
          </w:p>
          <w:p w14:paraId="5466A2EC">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Appropriate assessment tool selected based on patient's presenting complaints and functional goals (5 points)</w:t>
            </w:r>
          </w:p>
          <w:p w14:paraId="42922137">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Complete description of the assessment procedure (positioning, steps, instructions, precautions) (10 points)</w:t>
            </w:r>
          </w:p>
          <w:p w14:paraId="0F0CA9D7">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Accurate recording and interpretation of results (5 points)</w:t>
            </w:r>
          </w:p>
          <w:p w14:paraId="2B483196">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Formulate brief rehabilitation goals: propose 1–2 functional goals based on assessment findings (e.g., "improve the ability to reach for objects with the affected hand in sitting") — SMART not required (5 points)</w:t>
            </w:r>
          </w:p>
          <w:p w14:paraId="58C8E906">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Fluent presentation, correct use of professional terminology (5 points)</w:t>
            </w:r>
          </w:p>
        </w:tc>
        <w:tc>
          <w:tcPr>
            <w:tcW w:w="210" w:type="pct"/>
            <w:vMerge w:val="restart"/>
            <w:tcBorders>
              <w:tl2br w:val="nil"/>
              <w:tr2bl w:val="nil"/>
            </w:tcBorders>
            <w:shd w:val="clear" w:color="auto" w:fill="auto"/>
            <w:noWrap/>
            <w:vAlign w:val="center"/>
          </w:tcPr>
          <w:p w14:paraId="29D09CE7">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96" w:type="pct"/>
            <w:tcBorders>
              <w:tl2br w:val="nil"/>
              <w:tr2bl w:val="nil"/>
            </w:tcBorders>
            <w:shd w:val="clear" w:color="auto" w:fill="auto"/>
            <w:noWrap/>
            <w:vAlign w:val="center"/>
          </w:tcPr>
          <w:p w14:paraId="2EE60016">
            <w:pPr>
              <w:ind w:left="0" w:leftChars="0" w:right="0" w:rightChars="0" w:firstLine="0" w:firstLineChars="0"/>
              <w:rPr>
                <w:rFonts w:hint="eastAsia" w:ascii="宋体" w:hAnsi="宋体" w:eastAsia="宋体" w:cs="宋体"/>
                <w:i w:val="0"/>
                <w:iCs w:val="0"/>
                <w:color w:val="000000"/>
                <w:sz w:val="22"/>
                <w:szCs w:val="22"/>
                <w:u w:val="none"/>
              </w:rPr>
            </w:pPr>
          </w:p>
        </w:tc>
      </w:tr>
      <w:tr w14:paraId="34BA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90" w:hRule="atLeast"/>
        </w:trPr>
        <w:tc>
          <w:tcPr>
            <w:tcW w:w="1191" w:type="pct"/>
            <w:vMerge w:val="continue"/>
            <w:tcBorders>
              <w:tl2br w:val="nil"/>
              <w:tr2bl w:val="nil"/>
            </w:tcBorders>
            <w:shd w:val="clear" w:color="auto" w:fill="auto"/>
            <w:noWrap/>
            <w:vAlign w:val="center"/>
          </w:tcPr>
          <w:p w14:paraId="2E793472">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p>
        </w:tc>
        <w:tc>
          <w:tcPr>
            <w:tcW w:w="3401" w:type="pct"/>
            <w:vMerge w:val="continue"/>
            <w:tcBorders>
              <w:tl2br w:val="nil"/>
              <w:tr2bl w:val="nil"/>
            </w:tcBorders>
            <w:shd w:val="clear" w:color="auto" w:fill="auto"/>
            <w:noWrap/>
            <w:vAlign w:val="center"/>
          </w:tcPr>
          <w:p w14:paraId="54560AC6">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p>
        </w:tc>
        <w:tc>
          <w:tcPr>
            <w:tcW w:w="210" w:type="pct"/>
            <w:vMerge w:val="continue"/>
            <w:tcBorders>
              <w:tl2br w:val="nil"/>
              <w:tr2bl w:val="nil"/>
            </w:tcBorders>
            <w:shd w:val="clear" w:color="auto" w:fill="auto"/>
            <w:noWrap/>
            <w:vAlign w:val="center"/>
          </w:tcPr>
          <w:p w14:paraId="5E60865E">
            <w:pPr>
              <w:ind w:left="0" w:leftChars="0" w:right="0" w:rightChars="0" w:firstLine="0" w:firstLineChars="0"/>
              <w:rPr>
                <w:rFonts w:hint="eastAsia" w:ascii="宋体" w:hAnsi="宋体" w:eastAsia="宋体" w:cs="宋体"/>
                <w:i w:val="0"/>
                <w:iCs w:val="0"/>
                <w:color w:val="000000"/>
                <w:sz w:val="22"/>
                <w:szCs w:val="22"/>
                <w:u w:val="none"/>
              </w:rPr>
            </w:pPr>
          </w:p>
        </w:tc>
        <w:tc>
          <w:tcPr>
            <w:tcW w:w="196" w:type="pct"/>
            <w:tcBorders>
              <w:tl2br w:val="nil"/>
              <w:tr2bl w:val="nil"/>
            </w:tcBorders>
            <w:shd w:val="clear" w:color="auto" w:fill="auto"/>
            <w:noWrap/>
            <w:vAlign w:val="center"/>
          </w:tcPr>
          <w:p w14:paraId="58A0EA70">
            <w:pPr>
              <w:ind w:left="0" w:leftChars="0" w:right="0" w:rightChars="0" w:firstLine="0" w:firstLineChars="0"/>
              <w:rPr>
                <w:rFonts w:hint="eastAsia" w:ascii="宋体" w:hAnsi="宋体" w:eastAsia="宋体" w:cs="宋体"/>
                <w:i w:val="0"/>
                <w:iCs w:val="0"/>
                <w:color w:val="000000"/>
                <w:sz w:val="22"/>
                <w:szCs w:val="22"/>
                <w:u w:val="none"/>
              </w:rPr>
            </w:pPr>
          </w:p>
        </w:tc>
      </w:tr>
      <w:tr w14:paraId="3312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66" w:hRule="atLeast"/>
        </w:trPr>
        <w:tc>
          <w:tcPr>
            <w:tcW w:w="1191" w:type="pct"/>
            <w:tcBorders>
              <w:tl2br w:val="nil"/>
              <w:tr2bl w:val="nil"/>
            </w:tcBorders>
            <w:shd w:val="clear" w:color="auto" w:fill="auto"/>
            <w:noWrap/>
            <w:vAlign w:val="center"/>
          </w:tcPr>
          <w:p w14:paraId="7D23AD87">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IV. OT Intervention (Oral Presentation, Select and Describe One Intervention Approach)</w:t>
            </w:r>
          </w:p>
          <w:p w14:paraId="3C3E423F">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Reflecting Goal Alignment</w:t>
            </w:r>
          </w:p>
        </w:tc>
        <w:tc>
          <w:tcPr>
            <w:tcW w:w="3401" w:type="pct"/>
            <w:tcBorders>
              <w:tl2br w:val="nil"/>
              <w:tr2bl w:val="nil"/>
            </w:tcBorders>
            <w:shd w:val="clear" w:color="auto" w:fill="auto"/>
            <w:noWrap/>
            <w:vAlign w:val="center"/>
          </w:tcPr>
          <w:p w14:paraId="3DDEDA04">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Select one OT intervention approach to describe orally, such as task-oriented training, constraint-induced movement therapy, cognitive training, ADL training, upper limb robotic training, mirror therapy, sensory re-education, splint/orthosis instruction, or environmental modification.</w:t>
            </w:r>
          </w:p>
          <w:p w14:paraId="784F7638">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Intervention addresses the core impairments identified in the assessment and patient's preferences (5 points)</w:t>
            </w:r>
          </w:p>
          <w:p w14:paraId="0446E101">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Complete and standardised description of the intervention procedure (activity content, positioning, equipment, parameters (intensity/duration/frequency), activity grading and modification strategies) (10 points)</w:t>
            </w:r>
          </w:p>
          <w:p w14:paraId="46AC2579">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Briefly explain the relationship between the intervention and the goal: verbally state how the intervention serves the stated goal (e.g., "This training is designed to improve the affected hand's reaching ability") (5 points)</w:t>
            </w:r>
          </w:p>
          <w:p w14:paraId="5EB72D58">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Patient education: home programme instructions, precautions, and recommendations for assistive devices (5 points)</w:t>
            </w:r>
          </w:p>
          <w:p w14:paraId="2DC29123">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Fluent presentation, clear logic, correct use of professional terminology (5 points)</w:t>
            </w:r>
          </w:p>
        </w:tc>
        <w:tc>
          <w:tcPr>
            <w:tcW w:w="210" w:type="pct"/>
            <w:tcBorders>
              <w:tl2br w:val="nil"/>
              <w:tr2bl w:val="nil"/>
            </w:tcBorders>
            <w:shd w:val="clear" w:color="auto" w:fill="auto"/>
            <w:noWrap/>
            <w:vAlign w:val="center"/>
          </w:tcPr>
          <w:p w14:paraId="06557FBC">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96" w:type="pct"/>
            <w:tcBorders>
              <w:tl2br w:val="nil"/>
              <w:tr2bl w:val="nil"/>
            </w:tcBorders>
            <w:shd w:val="clear" w:color="auto" w:fill="auto"/>
            <w:noWrap/>
            <w:vAlign w:val="center"/>
          </w:tcPr>
          <w:p w14:paraId="60F70ADF">
            <w:pPr>
              <w:ind w:left="0" w:leftChars="0" w:right="0" w:rightChars="0" w:firstLine="0" w:firstLineChars="0"/>
              <w:rPr>
                <w:rFonts w:hint="eastAsia" w:ascii="宋体" w:hAnsi="宋体" w:eastAsia="宋体" w:cs="宋体"/>
                <w:i w:val="0"/>
                <w:iCs w:val="0"/>
                <w:color w:val="000000"/>
                <w:sz w:val="22"/>
                <w:szCs w:val="22"/>
                <w:u w:val="none"/>
              </w:rPr>
            </w:pPr>
          </w:p>
        </w:tc>
      </w:tr>
      <w:tr w14:paraId="033E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191" w:type="pct"/>
            <w:tcBorders>
              <w:tl2br w:val="nil"/>
              <w:tr2bl w:val="nil"/>
            </w:tcBorders>
            <w:shd w:val="clear" w:color="auto" w:fill="auto"/>
            <w:noWrap/>
            <w:vAlign w:val="center"/>
          </w:tcPr>
          <w:p w14:paraId="77021483">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3401" w:type="pct"/>
            <w:tcBorders>
              <w:tl2br w:val="nil"/>
              <w:tr2bl w:val="nil"/>
            </w:tcBorders>
            <w:shd w:val="clear" w:color="auto" w:fill="auto"/>
            <w:noWrap/>
            <w:vAlign w:val="center"/>
          </w:tcPr>
          <w:p w14:paraId="1BED34C6">
            <w:pPr>
              <w:keepNext w:val="0"/>
              <w:keepLines w:val="0"/>
              <w:widowControl/>
              <w:suppressLineNumbers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210" w:type="pct"/>
            <w:tcBorders>
              <w:tl2br w:val="nil"/>
              <w:tr2bl w:val="nil"/>
            </w:tcBorders>
            <w:shd w:val="clear" w:color="auto" w:fill="auto"/>
            <w:noWrap/>
            <w:vAlign w:val="center"/>
          </w:tcPr>
          <w:p w14:paraId="09A199B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96" w:type="pct"/>
            <w:tcBorders>
              <w:tl2br w:val="nil"/>
              <w:tr2bl w:val="nil"/>
            </w:tcBorders>
            <w:shd w:val="clear" w:color="auto" w:fill="auto"/>
            <w:noWrap/>
            <w:vAlign w:val="center"/>
          </w:tcPr>
          <w:p w14:paraId="07949BCE">
            <w:pPr>
              <w:ind w:left="0" w:leftChars="0" w:right="0" w:rightChars="0" w:firstLine="0" w:firstLineChars="0"/>
              <w:rPr>
                <w:rFonts w:hint="eastAsia" w:ascii="宋体" w:hAnsi="宋体" w:eastAsia="宋体" w:cs="宋体"/>
                <w:i w:val="0"/>
                <w:iCs w:val="0"/>
                <w:color w:val="000000"/>
                <w:sz w:val="22"/>
                <w:szCs w:val="22"/>
                <w:u w:val="none"/>
              </w:rPr>
            </w:pPr>
          </w:p>
        </w:tc>
      </w:tr>
    </w:tbl>
    <w:p w14:paraId="2ED5BAD7">
      <w:pPr>
        <w:rPr>
          <w:rFonts w:hint="eastAsia"/>
          <w:lang w:val="en-US" w:eastAsia="zh-CN"/>
        </w:rPr>
      </w:pPr>
    </w:p>
    <w:p w14:paraId="1E3318CF">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OSCE Examination – Supplementary Information</w:t>
      </w:r>
    </w:p>
    <w:p w14:paraId="5979F71C">
      <w:pPr>
        <w:rPr>
          <w:rFonts w:hint="default" w:ascii="Times New Roman" w:hAnsi="Times New Roman" w:cs="Times New Roman"/>
          <w:sz w:val="22"/>
          <w:szCs w:val="22"/>
          <w:lang w:val="en-US" w:eastAsia="zh-CN"/>
        </w:rPr>
      </w:pPr>
    </w:p>
    <w:p w14:paraId="7BE9BA92">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Scoring Rubric Source: The OSCE scoring rubric was adapted from the Jiangsu Provincial Rehabilitation Skills Competition standards, which are widely recognized benchmark criteria for clinical competency assessment in rehabilitation professions.</w:t>
      </w:r>
    </w:p>
    <w:p w14:paraId="35D82F65">
      <w:pPr>
        <w:rPr>
          <w:rFonts w:hint="default" w:ascii="Times New Roman" w:hAnsi="Times New Roman" w:cs="Times New Roman"/>
          <w:sz w:val="22"/>
          <w:szCs w:val="22"/>
          <w:lang w:val="en-US" w:eastAsia="zh-CN"/>
        </w:rPr>
      </w:pPr>
    </w:p>
    <w:p w14:paraId="7EE5F11D">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Adaptation Process: The original competition standards were reviewed and adapted by the research team to align with the specific requirements of occupational therapy clinical internship education, while maintaining the core competency domains and scoring framework.</w:t>
      </w:r>
    </w:p>
    <w:p w14:paraId="3D45946E">
      <w:pPr>
        <w:rPr>
          <w:rFonts w:hint="default" w:ascii="Times New Roman" w:hAnsi="Times New Roman" w:cs="Times New Roman"/>
          <w:sz w:val="22"/>
          <w:szCs w:val="22"/>
          <w:lang w:val="en-US" w:eastAsia="zh-CN"/>
        </w:rPr>
      </w:pPr>
    </w:p>
    <w:p w14:paraId="6F51B850">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Expert Validation: The adapted rubric was reviewed and approved by two senior occupational therapy clinicians with over 10 years of clinical teaching experience to ensure content validity.</w:t>
      </w:r>
    </w:p>
    <w:p w14:paraId="37F395B6">
      <w:pPr>
        <w:rPr>
          <w:rFonts w:hint="default" w:ascii="Times New Roman" w:hAnsi="Times New Roman" w:cs="Times New Roman"/>
          <w:sz w:val="22"/>
          <w:szCs w:val="22"/>
          <w:lang w:val="en-US" w:eastAsia="zh-CN"/>
        </w:rPr>
      </w:pPr>
    </w:p>
    <w:p w14:paraId="120FB717">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Assessors, training and calibration</w:t>
      </w:r>
      <w:r>
        <w:rPr>
          <w:rFonts w:hint="eastAsia" w:ascii="Times New Roman" w:hAnsi="Times New Roman" w:cs="Times New Roman"/>
          <w:sz w:val="22"/>
          <w:szCs w:val="22"/>
          <w:lang w:val="en-US" w:eastAsia="zh-CN"/>
        </w:rPr>
        <w:t>:</w:t>
      </w:r>
    </w:p>
    <w:p w14:paraId="5309481F">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Two senior occupational therapists (&gt;5 years' experience) served as examiners and evaluated all participants across the four stations. Both completed a standardized training workshop. </w:t>
      </w:r>
    </w:p>
    <w:p w14:paraId="3A8EE0C5">
      <w:pPr>
        <w:rPr>
          <w:rFonts w:hint="default" w:ascii="Times New Roman" w:hAnsi="Times New Roman" w:cs="Times New Roman"/>
          <w:sz w:val="22"/>
          <w:szCs w:val="22"/>
          <w:lang w:val="en-US" w:eastAsia="zh-CN"/>
        </w:rPr>
      </w:pPr>
    </w:p>
    <w:p w14:paraId="0D6AADA8">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Inter-rater Reliability:</w:t>
      </w:r>
    </w:p>
    <w:p w14:paraId="5A06E008">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Inter-rater reliability was not formally assessed in this study. This is acknowledged as a limitation of the measurement.</w:t>
      </w:r>
    </w:p>
    <w:p w14:paraId="3CE37B8A">
      <w:pPr>
        <w:rPr>
          <w:rFonts w:hint="default" w:ascii="Times New Roman" w:hAnsi="Times New Roman" w:cs="Times New Roman"/>
          <w:sz w:val="22"/>
          <w:szCs w:val="22"/>
          <w:lang w:val="en-US" w:eastAsia="zh-CN"/>
        </w:rPr>
      </w:pPr>
    </w:p>
    <w:p w14:paraId="712F1B04">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Number and duration of stations：</w:t>
      </w:r>
    </w:p>
    <w:p w14:paraId="75B3F0A8">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The OSCE consisted of four sequential stations (General Competencies, OT-specific Interview, OT Assessment, and OT Intervention). The total examination time was approximately 15 minutes (approximately 3–4 minutes per station).</w:t>
      </w:r>
    </w:p>
    <w:p w14:paraId="7B9E90CA">
      <w:pPr>
        <w:rPr>
          <w:rFonts w:hint="default" w:ascii="Times New Roman" w:hAnsi="Times New Roman" w:cs="Times New Roman"/>
          <w:sz w:val="22"/>
          <w:szCs w:val="22"/>
          <w:lang w:val="en-US" w:eastAsia="zh-CN"/>
        </w:rPr>
      </w:pPr>
    </w:p>
    <w:p w14:paraId="0A729DBA">
      <w:pPr>
        <w:rPr>
          <w:rFonts w:hint="default" w:ascii="Times New Roman" w:hAnsi="Times New Roman" w:cs="Times New Roman"/>
          <w:sz w:val="22"/>
          <w:szCs w:val="22"/>
          <w:lang w:val="en-US" w:eastAsia="zh-CN"/>
        </w:rPr>
      </w:pPr>
    </w:p>
    <w:p w14:paraId="24FE8A30">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Score Interpretation:</w:t>
      </w:r>
    </w:p>
    <w:p w14:paraId="404F441D">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Scores ranged from 0 to 100. Higher scores indicated greater clinical competence. No formal pass/fail cutoffs were applied, as the scores were used as a continuous outcome measure for between-group comparisons.</w:t>
      </w:r>
    </w:p>
    <w:p w14:paraId="4F1D1E93">
      <w:pPr>
        <w:rPr>
          <w:rFonts w:hint="default" w:ascii="Times New Roman" w:hAnsi="Times New Roman" w:cs="Times New Roman"/>
          <w:sz w:val="22"/>
          <w:szCs w:val="22"/>
          <w:lang w:val="en-US" w:eastAsia="zh-CN"/>
        </w:rPr>
      </w:pPr>
    </w:p>
    <w:p w14:paraId="743E0FC3">
      <w:pPr>
        <w:rPr>
          <w:rFonts w:hint="default" w:ascii="Times New Roman" w:hAnsi="Times New Roman" w:cs="Times New Roman"/>
          <w:sz w:val="22"/>
          <w:szCs w:val="22"/>
          <w:lang w:val="en-US" w:eastAsia="zh-CN"/>
        </w:rPr>
      </w:pPr>
    </w:p>
    <w:p w14:paraId="4E98F397">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OSCE Case Scenario (Sample)</w:t>
      </w:r>
    </w:p>
    <w:p w14:paraId="34B4F9C5">
      <w:pPr>
        <w:rPr>
          <w:rFonts w:hint="default" w:ascii="Times New Roman" w:hAnsi="Times New Roman" w:cs="Times New Roman"/>
          <w:sz w:val="22"/>
          <w:szCs w:val="22"/>
          <w:lang w:val="en-US" w:eastAsia="zh-CN"/>
        </w:rPr>
      </w:pPr>
    </w:p>
    <w:p w14:paraId="531110D4">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Case Information:</w:t>
      </w:r>
    </w:p>
    <w:p w14:paraId="3BAD9BD0">
      <w:pPr>
        <w:rPr>
          <w:rFonts w:hint="default" w:ascii="Times New Roman" w:hAnsi="Times New Roman" w:cs="Times New Roman"/>
          <w:sz w:val="22"/>
          <w:szCs w:val="22"/>
          <w:lang w:val="en-US" w:eastAsia="zh-CN"/>
        </w:rPr>
      </w:pPr>
    </w:p>
    <w:p w14:paraId="5E144BDE">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Patient XX, male, 44 years old, employed in a public institution. Six months ago, the patient was found collapsed on the floor by a colleague and was unresponsive. He was immediately taken to the hospital where a cranial CT scan revealed Intracerebral hemorrhage. On the same day, he underwent craniotomy with decompressive craniectomy and haematoma evacuation at the local hospital.</w:t>
      </w:r>
    </w:p>
    <w:p w14:paraId="515BDA84">
      <w:pPr>
        <w:rPr>
          <w:rFonts w:hint="default" w:ascii="Times New Roman" w:hAnsi="Times New Roman" w:cs="Times New Roman"/>
          <w:sz w:val="22"/>
          <w:szCs w:val="22"/>
          <w:lang w:val="en-US" w:eastAsia="zh-CN"/>
        </w:rPr>
      </w:pPr>
    </w:p>
    <w:p w14:paraId="5C5BA3B3">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Currently, the patient's right upper limb and hand function are gradually improving; however, he only uses the affected limb when reminded by family members. His family reports that during daily activities, he frequently exhibits sudden task interruptions or disorganiz</w:t>
      </w:r>
      <w:r>
        <w:rPr>
          <w:rFonts w:hint="default" w:ascii="Times New Roman" w:hAnsi="Times New Roman" w:cs="Times New Roman"/>
          <w:sz w:val="22"/>
          <w:szCs w:val="22"/>
          <w:lang w:val="en-US" w:eastAsia="zh-CN"/>
        </w:rPr>
        <w:t>ed sequences of actions. His temper has become increasingly irritable, with frequent emotional outbursts. He is able to walk independently. Barthel Index score: 60/100.</w:t>
      </w:r>
    </w:p>
    <w:p w14:paraId="301E8A89">
      <w:pPr>
        <w:rPr>
          <w:rFonts w:hint="default" w:ascii="Times New Roman" w:hAnsi="Times New Roman" w:cs="Times New Roman"/>
          <w:sz w:val="22"/>
          <w:szCs w:val="22"/>
          <w:lang w:val="en-US" w:eastAsia="zh-CN"/>
        </w:rPr>
      </w:pPr>
    </w:p>
    <w:p w14:paraId="046C85EB">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Standardiz</w:t>
      </w:r>
      <w:r>
        <w:rPr>
          <w:rFonts w:hint="default" w:ascii="Times New Roman" w:hAnsi="Times New Roman" w:cs="Times New Roman"/>
          <w:sz w:val="22"/>
          <w:szCs w:val="22"/>
          <w:lang w:val="en-US" w:eastAsia="zh-CN"/>
        </w:rPr>
        <w:t>ed Patient (SP) Information:</w:t>
      </w:r>
    </w:p>
    <w:p w14:paraId="31276392">
      <w:pPr>
        <w:rPr>
          <w:rFonts w:hint="default" w:ascii="Times New Roman" w:hAnsi="Times New Roman" w:cs="Times New Roman"/>
          <w:sz w:val="22"/>
          <w:szCs w:val="22"/>
          <w:lang w:val="en-US" w:eastAsia="zh-CN"/>
        </w:rPr>
      </w:pPr>
    </w:p>
    <w:p w14:paraId="31F7A716">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 standardiz</w:t>
      </w:r>
      <w:r>
        <w:rPr>
          <w:rFonts w:hint="default" w:ascii="Times New Roman" w:hAnsi="Times New Roman" w:cs="Times New Roman"/>
          <w:sz w:val="22"/>
          <w:szCs w:val="22"/>
          <w:lang w:val="en-US" w:eastAsia="zh-CN"/>
        </w:rPr>
        <w:t>ed patient (trained volunteer) will present the case. Interns</w:t>
      </w:r>
      <w:r>
        <w:rPr>
          <w:rFonts w:hint="default" w:ascii="Times New Roman" w:hAnsi="Times New Roman" w:cs="Times New Roman"/>
          <w:sz w:val="22"/>
          <w:szCs w:val="22"/>
          <w:lang w:val="en-US" w:eastAsia="zh-CN"/>
        </w:rPr>
        <w:t xml:space="preserve"> are expected to interact with the SP as they would with a real patient during the interview and demonstration components.</w:t>
      </w:r>
    </w:p>
    <w:p w14:paraId="0984A0D8">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Blinding: All OSCE examiners were blinded to participants' group allocation. Candidates were identified by participant ID numbers only, and all scoring was completed using anonymised codes. Examiners did not participate in the teaching process and had no knowledge of which teaching method each candidate had received.</w:t>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D269D"/>
    <w:rsid w:val="0E2957E0"/>
    <w:rsid w:val="28A625BE"/>
    <w:rsid w:val="2B3E3D90"/>
    <w:rsid w:val="4A5C6A73"/>
    <w:rsid w:val="513C7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980</Words>
  <Characters>6256</Characters>
  <Lines>0</Lines>
  <Paragraphs>0</Paragraphs>
  <TotalTime>44</TotalTime>
  <ScaleCrop>false</ScaleCrop>
  <LinksUpToDate>false</LinksUpToDate>
  <CharactersWithSpaces>7159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2026-08-15T14:22:00Z</dcterms:created>
  <dc:creator>dammy.wang</dc:creator>
  <cp:lastModifiedBy>王O(∩_∩)O丹</cp:lastModifiedBy>
  <dcterms:modified xsi:type="dcterms:W3CDTF">2026-09-20T14:34:49Z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eyJoZGlkIjoiMjk5ODE3Njc5MjJlZjhkN2I3NTM0ODc2OTZjMjA5ZDMiLCJ1c2VySWQiOiIzMjAxMjgxNjgifQ==</vt:lpwstr>
  </property>
  <property fmtid="{D5CDD505-2E9C-101B-9397-08002B2CF9AE}" pid="4" name="ICV">
    <vt:lpwstr>FB08463C2FF144F1A423EB0DDEE323B4_12</vt:lpwstr>
  </property>
</Properties>
</file>