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8FCA" w14:textId="77A3B7D1" w:rsidR="007B5962" w:rsidRPr="00027F78" w:rsidRDefault="005839CA" w:rsidP="00027F78">
      <w:pPr>
        <w:jc w:val="center"/>
        <w:rPr>
          <w:rFonts w:ascii="Times New Roman" w:eastAsia="Times New Roman" w:hAnsi="Times New Roman" w:cs="Times New Roman"/>
          <w:b/>
          <w:bCs/>
          <w:sz w:val="24"/>
          <w:szCs w:val="24"/>
        </w:rPr>
      </w:pPr>
      <w:r w:rsidRPr="00027F78">
        <w:rPr>
          <w:rFonts w:ascii="Times New Roman" w:eastAsia="Times New Roman" w:hAnsi="Times New Roman" w:cs="Times New Roman"/>
          <w:b/>
          <w:bCs/>
          <w:sz w:val="24"/>
          <w:szCs w:val="24"/>
        </w:rPr>
        <w:t>DTI Scores</w:t>
      </w:r>
    </w:p>
    <w:p w14:paraId="6505DC6C" w14:textId="77777777" w:rsidR="005839CA" w:rsidRPr="005839CA" w:rsidRDefault="005839CA" w:rsidP="005839CA">
      <w:pPr>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Statistical analysis:</w:t>
      </w:r>
    </w:p>
    <w:p w14:paraId="7F4DFE68" w14:textId="0FA8E449" w:rsidR="005839CA" w:rsidRPr="005839CA" w:rsidRDefault="005839CA" w:rsidP="00027F78">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and standard deviation of DTI scores with its subcomponents (Flexibility in thinking and structure of memory) were compared across three studied groups using F-test (one way ANOVA), before application normality of DTI scores was assessed using Shapiro wilk test. Multiple comparison between groups was made using Tukey’s test. P-values less than 0.05 were considered statistically significant. Reliability of data was also assessed using Cronbach’s alpha. Bar diagram and pie chart were used to give graphical presentation of other studied parameters.</w:t>
      </w:r>
    </w:p>
    <w:p w14:paraId="6E25EAD1" w14:textId="77777777" w:rsidR="005839CA" w:rsidRPr="005839CA" w:rsidRDefault="005839CA" w:rsidP="005839CA">
      <w:pPr>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Table 1: Mean Comparison of DTI and its Subcomponent Scores</w:t>
      </w:r>
    </w:p>
    <w:tbl>
      <w:tblPr>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2045"/>
        <w:gridCol w:w="1654"/>
        <w:gridCol w:w="2216"/>
        <w:gridCol w:w="1413"/>
      </w:tblGrid>
      <w:tr w:rsidR="005839CA" w:rsidRPr="005839CA" w14:paraId="4B41FCDD" w14:textId="77777777" w:rsidTr="00346D47">
        <w:trPr>
          <w:trHeight w:val="326"/>
          <w:jc w:val="center"/>
        </w:trPr>
        <w:tc>
          <w:tcPr>
            <w:tcW w:w="1874" w:type="dxa"/>
            <w:vMerge w:val="restart"/>
            <w:noWrap/>
            <w:vAlign w:val="center"/>
            <w:hideMark/>
          </w:tcPr>
          <w:p w14:paraId="3FAE4AB0"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DTI Scores</w:t>
            </w:r>
          </w:p>
        </w:tc>
        <w:tc>
          <w:tcPr>
            <w:tcW w:w="2045" w:type="dxa"/>
            <w:noWrap/>
            <w:vAlign w:val="center"/>
            <w:hideMark/>
          </w:tcPr>
          <w:p w14:paraId="1C741808"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Original study group exposed to intervention in Indus Hospital (n=10)</w:t>
            </w:r>
          </w:p>
        </w:tc>
        <w:tc>
          <w:tcPr>
            <w:tcW w:w="1654" w:type="dxa"/>
            <w:noWrap/>
            <w:vAlign w:val="center"/>
            <w:hideMark/>
          </w:tcPr>
          <w:p w14:paraId="2CCAB96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Subsequent group exposed to intervention in Indus Hospital (n=9)</w:t>
            </w:r>
          </w:p>
        </w:tc>
        <w:tc>
          <w:tcPr>
            <w:tcW w:w="2216" w:type="dxa"/>
            <w:noWrap/>
            <w:vAlign w:val="center"/>
            <w:hideMark/>
          </w:tcPr>
          <w:p w14:paraId="78389895"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Control group: surgical subspecialty group in Indus Hospital (n=15)</w:t>
            </w:r>
          </w:p>
        </w:tc>
        <w:tc>
          <w:tcPr>
            <w:tcW w:w="1413" w:type="dxa"/>
            <w:vMerge w:val="restart"/>
            <w:vAlign w:val="center"/>
          </w:tcPr>
          <w:p w14:paraId="2E42945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p-value</w:t>
            </w:r>
          </w:p>
        </w:tc>
      </w:tr>
      <w:tr w:rsidR="005839CA" w:rsidRPr="005839CA" w14:paraId="4BEAB276" w14:textId="77777777" w:rsidTr="00346D47">
        <w:trPr>
          <w:trHeight w:val="315"/>
          <w:jc w:val="center"/>
        </w:trPr>
        <w:tc>
          <w:tcPr>
            <w:tcW w:w="1874" w:type="dxa"/>
            <w:vMerge/>
            <w:noWrap/>
            <w:vAlign w:val="bottom"/>
            <w:hideMark/>
          </w:tcPr>
          <w:p w14:paraId="3D8E7EA8" w14:textId="77777777" w:rsidR="005839CA" w:rsidRPr="005839CA" w:rsidRDefault="005839CA" w:rsidP="00346D47">
            <w:pPr>
              <w:spacing w:after="0" w:line="240" w:lineRule="auto"/>
              <w:rPr>
                <w:rFonts w:ascii="Times New Roman" w:eastAsia="Times New Roman" w:hAnsi="Times New Roman" w:cs="Times New Roman"/>
                <w:sz w:val="24"/>
                <w:szCs w:val="24"/>
              </w:rPr>
            </w:pPr>
          </w:p>
        </w:tc>
        <w:tc>
          <w:tcPr>
            <w:tcW w:w="2045" w:type="dxa"/>
            <w:noWrap/>
            <w:vAlign w:val="center"/>
            <w:hideMark/>
          </w:tcPr>
          <w:p w14:paraId="1E9DBABD"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(SD)</w:t>
            </w:r>
          </w:p>
        </w:tc>
        <w:tc>
          <w:tcPr>
            <w:tcW w:w="1654" w:type="dxa"/>
            <w:noWrap/>
            <w:vAlign w:val="center"/>
            <w:hideMark/>
          </w:tcPr>
          <w:p w14:paraId="2411B7FC"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(SD)</w:t>
            </w:r>
          </w:p>
        </w:tc>
        <w:tc>
          <w:tcPr>
            <w:tcW w:w="2216" w:type="dxa"/>
            <w:noWrap/>
            <w:vAlign w:val="center"/>
            <w:hideMark/>
          </w:tcPr>
          <w:p w14:paraId="56CBF16C"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(SD)</w:t>
            </w:r>
          </w:p>
        </w:tc>
        <w:tc>
          <w:tcPr>
            <w:tcW w:w="1413" w:type="dxa"/>
            <w:vMerge/>
            <w:vAlign w:val="center"/>
          </w:tcPr>
          <w:p w14:paraId="68F9A2E2" w14:textId="77777777" w:rsidR="005839CA" w:rsidRPr="005839CA" w:rsidRDefault="005839CA" w:rsidP="00346D47">
            <w:pPr>
              <w:spacing w:after="0" w:line="240" w:lineRule="auto"/>
              <w:rPr>
                <w:rFonts w:ascii="Times New Roman" w:eastAsia="Times New Roman" w:hAnsi="Times New Roman" w:cs="Times New Roman"/>
                <w:sz w:val="24"/>
                <w:szCs w:val="24"/>
              </w:rPr>
            </w:pPr>
          </w:p>
        </w:tc>
      </w:tr>
      <w:tr w:rsidR="005839CA" w:rsidRPr="005839CA" w14:paraId="33B1DBD1" w14:textId="77777777" w:rsidTr="00346D47">
        <w:trPr>
          <w:trHeight w:val="315"/>
          <w:jc w:val="center"/>
        </w:trPr>
        <w:tc>
          <w:tcPr>
            <w:tcW w:w="1874" w:type="dxa"/>
            <w:noWrap/>
            <w:vAlign w:val="bottom"/>
            <w:hideMark/>
          </w:tcPr>
          <w:p w14:paraId="05CD2419"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Flexibility in thinking</w:t>
            </w:r>
          </w:p>
        </w:tc>
        <w:tc>
          <w:tcPr>
            <w:tcW w:w="2045" w:type="dxa"/>
            <w:noWrap/>
            <w:vAlign w:val="center"/>
            <w:hideMark/>
          </w:tcPr>
          <w:p w14:paraId="29EE94A5"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90.4(9.2)</w:t>
            </w:r>
          </w:p>
        </w:tc>
        <w:tc>
          <w:tcPr>
            <w:tcW w:w="1654" w:type="dxa"/>
            <w:noWrap/>
            <w:vAlign w:val="center"/>
            <w:hideMark/>
          </w:tcPr>
          <w:p w14:paraId="40C9554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80.9(9.7)</w:t>
            </w:r>
          </w:p>
        </w:tc>
        <w:tc>
          <w:tcPr>
            <w:tcW w:w="2216" w:type="dxa"/>
            <w:noWrap/>
            <w:vAlign w:val="center"/>
            <w:hideMark/>
          </w:tcPr>
          <w:p w14:paraId="06DA899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85.7(10.9)</w:t>
            </w:r>
          </w:p>
        </w:tc>
        <w:tc>
          <w:tcPr>
            <w:tcW w:w="1413" w:type="dxa"/>
            <w:vAlign w:val="center"/>
          </w:tcPr>
          <w:p w14:paraId="08DD7A84"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0.13</w:t>
            </w:r>
          </w:p>
        </w:tc>
      </w:tr>
      <w:tr w:rsidR="005839CA" w:rsidRPr="005839CA" w14:paraId="60CF95A4" w14:textId="77777777" w:rsidTr="00346D47">
        <w:trPr>
          <w:trHeight w:val="315"/>
          <w:jc w:val="center"/>
        </w:trPr>
        <w:tc>
          <w:tcPr>
            <w:tcW w:w="1874" w:type="dxa"/>
            <w:noWrap/>
            <w:vAlign w:val="bottom"/>
            <w:hideMark/>
          </w:tcPr>
          <w:p w14:paraId="494AADCD"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Structure of memory</w:t>
            </w:r>
          </w:p>
        </w:tc>
        <w:tc>
          <w:tcPr>
            <w:tcW w:w="2045" w:type="dxa"/>
            <w:noWrap/>
            <w:vAlign w:val="center"/>
            <w:hideMark/>
          </w:tcPr>
          <w:p w14:paraId="50FA793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91.1(7.3)</w:t>
            </w:r>
          </w:p>
        </w:tc>
        <w:tc>
          <w:tcPr>
            <w:tcW w:w="1654" w:type="dxa"/>
            <w:noWrap/>
            <w:vAlign w:val="center"/>
            <w:hideMark/>
          </w:tcPr>
          <w:p w14:paraId="340A55AE"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80.8(10.7)</w:t>
            </w:r>
          </w:p>
        </w:tc>
        <w:tc>
          <w:tcPr>
            <w:tcW w:w="2216" w:type="dxa"/>
            <w:noWrap/>
            <w:vAlign w:val="center"/>
            <w:hideMark/>
          </w:tcPr>
          <w:p w14:paraId="0B85CE5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85.7(9.7)</w:t>
            </w:r>
          </w:p>
        </w:tc>
        <w:tc>
          <w:tcPr>
            <w:tcW w:w="1413" w:type="dxa"/>
            <w:vAlign w:val="center"/>
          </w:tcPr>
          <w:p w14:paraId="274A19E1"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0.071</w:t>
            </w:r>
          </w:p>
        </w:tc>
      </w:tr>
      <w:tr w:rsidR="005839CA" w:rsidRPr="005839CA" w14:paraId="0691BD94" w14:textId="77777777" w:rsidTr="00346D47">
        <w:trPr>
          <w:trHeight w:val="315"/>
          <w:jc w:val="center"/>
        </w:trPr>
        <w:tc>
          <w:tcPr>
            <w:tcW w:w="1874" w:type="dxa"/>
            <w:noWrap/>
            <w:vAlign w:val="bottom"/>
            <w:hideMark/>
          </w:tcPr>
          <w:p w14:paraId="16ACAAAB"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Total DTI Scores</w:t>
            </w:r>
          </w:p>
        </w:tc>
        <w:tc>
          <w:tcPr>
            <w:tcW w:w="2045" w:type="dxa"/>
            <w:noWrap/>
            <w:vAlign w:val="center"/>
            <w:hideMark/>
          </w:tcPr>
          <w:p w14:paraId="791C1FC9"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181.5(13)</w:t>
            </w:r>
          </w:p>
        </w:tc>
        <w:tc>
          <w:tcPr>
            <w:tcW w:w="1654" w:type="dxa"/>
            <w:noWrap/>
            <w:vAlign w:val="center"/>
            <w:hideMark/>
          </w:tcPr>
          <w:p w14:paraId="46FC4EA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161.7(19.3)</w:t>
            </w:r>
          </w:p>
        </w:tc>
        <w:tc>
          <w:tcPr>
            <w:tcW w:w="2216" w:type="dxa"/>
            <w:noWrap/>
            <w:vAlign w:val="center"/>
            <w:hideMark/>
          </w:tcPr>
          <w:p w14:paraId="5862B848"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171.4(16.8)</w:t>
            </w:r>
          </w:p>
        </w:tc>
        <w:tc>
          <w:tcPr>
            <w:tcW w:w="1413" w:type="dxa"/>
            <w:vAlign w:val="center"/>
          </w:tcPr>
          <w:p w14:paraId="5E448AE8"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0.046*</w:t>
            </w:r>
          </w:p>
        </w:tc>
      </w:tr>
      <w:tr w:rsidR="005839CA" w:rsidRPr="005839CA" w14:paraId="65E237EE" w14:textId="77777777" w:rsidTr="00346D47">
        <w:trPr>
          <w:trHeight w:val="315"/>
          <w:jc w:val="center"/>
        </w:trPr>
        <w:tc>
          <w:tcPr>
            <w:tcW w:w="9202" w:type="dxa"/>
            <w:gridSpan w:val="5"/>
            <w:noWrap/>
            <w:vAlign w:val="bottom"/>
          </w:tcPr>
          <w:p w14:paraId="20227B55"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p&lt;0.05 was considered statistically significant using one way ANOVA</w:t>
            </w:r>
          </w:p>
        </w:tc>
      </w:tr>
    </w:tbl>
    <w:p w14:paraId="32888D50" w14:textId="77777777" w:rsidR="005839CA" w:rsidRPr="005839CA" w:rsidRDefault="005839CA" w:rsidP="005839CA">
      <w:pPr>
        <w:rPr>
          <w:rFonts w:ascii="Times New Roman" w:eastAsia="Times New Roman" w:hAnsi="Times New Roman" w:cs="Times New Roman"/>
          <w:sz w:val="24"/>
          <w:szCs w:val="24"/>
        </w:rPr>
      </w:pPr>
    </w:p>
    <w:p w14:paraId="3BA20676" w14:textId="20337CF9"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 xml:space="preserve">Table-1 shows a mean comparison on DTI and its sub-components mean scores, for flexibility in thinking and structure of memory items there was no significant difference observed across the groups, however for total DTI scores a significant mean difference observed across the groups (p=0.046). Post hoc analysis was done using Tukey’s HSD test showed samples from </w:t>
      </w:r>
      <w:r>
        <w:rPr>
          <w:rFonts w:ascii="Times New Roman" w:eastAsia="Times New Roman" w:hAnsi="Times New Roman" w:cs="Times New Roman"/>
          <w:sz w:val="24"/>
          <w:szCs w:val="24"/>
        </w:rPr>
        <w:t>the s</w:t>
      </w:r>
      <w:r w:rsidRPr="005839CA">
        <w:rPr>
          <w:rFonts w:ascii="Times New Roman" w:eastAsia="Times New Roman" w:hAnsi="Times New Roman" w:cs="Times New Roman"/>
          <w:sz w:val="24"/>
          <w:szCs w:val="24"/>
        </w:rPr>
        <w:t xml:space="preserve">ubsequent group exposed to intervention in Indus Hospital had significantly lower mean DTI scores as compared to samples from </w:t>
      </w:r>
      <w:r>
        <w:rPr>
          <w:rFonts w:ascii="Times New Roman" w:eastAsia="Times New Roman" w:hAnsi="Times New Roman" w:cs="Times New Roman"/>
          <w:sz w:val="24"/>
          <w:szCs w:val="24"/>
        </w:rPr>
        <w:t>the o</w:t>
      </w:r>
      <w:r w:rsidRPr="005839CA">
        <w:rPr>
          <w:rFonts w:ascii="Times New Roman" w:eastAsia="Times New Roman" w:hAnsi="Times New Roman" w:cs="Times New Roman"/>
          <w:sz w:val="24"/>
          <w:szCs w:val="24"/>
        </w:rPr>
        <w:t xml:space="preserve">riginal study group exposed to intervention in Indus </w:t>
      </w:r>
      <w:r w:rsidRPr="005839CA">
        <w:rPr>
          <w:rFonts w:ascii="Times New Roman" w:eastAsia="Times New Roman" w:hAnsi="Times New Roman" w:cs="Times New Roman"/>
          <w:sz w:val="24"/>
          <w:szCs w:val="24"/>
        </w:rPr>
        <w:lastRenderedPageBreak/>
        <w:t>Hospital (MD=19.8,p=0.036), all other multiple comparisons between groups were found statistically insignificant (p&gt;0.05).</w:t>
      </w:r>
    </w:p>
    <w:p w14:paraId="51DEB2E2"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67817605"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6C998990"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593F3ACB"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69BF63B9"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6E619236" w14:textId="77777777"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Chart 1:</w:t>
      </w:r>
    </w:p>
    <w:p w14:paraId="303311F0" w14:textId="77777777"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noProof/>
          <w:sz w:val="24"/>
          <w:szCs w:val="24"/>
        </w:rPr>
        <w:drawing>
          <wp:inline distT="0" distB="0" distL="0" distR="0" wp14:anchorId="76628304" wp14:editId="3C492E42">
            <wp:extent cx="5943600" cy="3016250"/>
            <wp:effectExtent l="0" t="0" r="0" b="12700"/>
            <wp:docPr id="1295051649" name="Chart 1">
              <a:extLst xmlns:a="http://schemas.openxmlformats.org/drawingml/2006/main">
                <a:ext uri="{FF2B5EF4-FFF2-40B4-BE49-F238E27FC236}">
                  <a16:creationId xmlns:a16="http://schemas.microsoft.com/office/drawing/2014/main" id="{7A02E01E-EC94-70A3-C1D5-9F529921E1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05D4372C" w14:textId="77777777"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Table 2: Descriptive on Baseline Characteristic (n=34)</w:t>
      </w:r>
    </w:p>
    <w:tbl>
      <w:tblPr>
        <w:tblW w:w="942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29"/>
        <w:gridCol w:w="1497"/>
        <w:gridCol w:w="1645"/>
        <w:gridCol w:w="2357"/>
      </w:tblGrid>
      <w:tr w:rsidR="005839CA" w:rsidRPr="005839CA" w14:paraId="7A60C8A8" w14:textId="77777777" w:rsidTr="00346D47">
        <w:trPr>
          <w:cantSplit/>
          <w:trHeight w:val="662"/>
        </w:trPr>
        <w:tc>
          <w:tcPr>
            <w:tcW w:w="5426" w:type="dxa"/>
            <w:gridSpan w:val="2"/>
            <w:shd w:val="clear" w:color="auto" w:fill="FFFFFF"/>
            <w:vAlign w:val="center"/>
          </w:tcPr>
          <w:p w14:paraId="39554543"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Variables</w:t>
            </w:r>
          </w:p>
        </w:tc>
        <w:tc>
          <w:tcPr>
            <w:tcW w:w="4002" w:type="dxa"/>
            <w:gridSpan w:val="2"/>
            <w:shd w:val="clear" w:color="auto" w:fill="FFFFFF"/>
            <w:vAlign w:val="center"/>
          </w:tcPr>
          <w:p w14:paraId="174EF09C"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Statistics</w:t>
            </w:r>
          </w:p>
          <w:p w14:paraId="4A715F45"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Counts (%) or Mean (SD)</w:t>
            </w:r>
          </w:p>
        </w:tc>
      </w:tr>
      <w:tr w:rsidR="005839CA" w:rsidRPr="005839CA" w14:paraId="24EA01F7" w14:textId="77777777" w:rsidTr="00346D47">
        <w:trPr>
          <w:cantSplit/>
          <w:trHeight w:val="325"/>
        </w:trPr>
        <w:tc>
          <w:tcPr>
            <w:tcW w:w="3929" w:type="dxa"/>
            <w:vMerge w:val="restart"/>
            <w:shd w:val="clear" w:color="auto" w:fill="FFFFFF"/>
            <w:vAlign w:val="center"/>
          </w:tcPr>
          <w:p w14:paraId="6DFED921"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Gender</w:t>
            </w:r>
          </w:p>
        </w:tc>
        <w:tc>
          <w:tcPr>
            <w:tcW w:w="1497" w:type="dxa"/>
            <w:shd w:val="clear" w:color="auto" w:fill="FFFFFF"/>
            <w:vAlign w:val="center"/>
          </w:tcPr>
          <w:p w14:paraId="64DCA9D1"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Male</w:t>
            </w:r>
          </w:p>
        </w:tc>
        <w:tc>
          <w:tcPr>
            <w:tcW w:w="1645" w:type="dxa"/>
            <w:shd w:val="clear" w:color="auto" w:fill="FFFFFF"/>
            <w:vAlign w:val="center"/>
          </w:tcPr>
          <w:p w14:paraId="006BA73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12</w:t>
            </w:r>
          </w:p>
        </w:tc>
        <w:tc>
          <w:tcPr>
            <w:tcW w:w="2357" w:type="dxa"/>
            <w:shd w:val="clear" w:color="auto" w:fill="FFFFFF"/>
            <w:vAlign w:val="center"/>
          </w:tcPr>
          <w:p w14:paraId="3CFBDA14"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36.4</w:t>
            </w:r>
          </w:p>
        </w:tc>
      </w:tr>
      <w:tr w:rsidR="005839CA" w:rsidRPr="005839CA" w14:paraId="46EEE5DF" w14:textId="77777777" w:rsidTr="00346D47">
        <w:trPr>
          <w:cantSplit/>
          <w:trHeight w:val="171"/>
        </w:trPr>
        <w:tc>
          <w:tcPr>
            <w:tcW w:w="3929" w:type="dxa"/>
            <w:vMerge/>
            <w:shd w:val="clear" w:color="auto" w:fill="FFFFFF"/>
            <w:vAlign w:val="center"/>
          </w:tcPr>
          <w:p w14:paraId="405A37B9"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p>
        </w:tc>
        <w:tc>
          <w:tcPr>
            <w:tcW w:w="1497" w:type="dxa"/>
            <w:shd w:val="clear" w:color="auto" w:fill="FFFFFF"/>
            <w:vAlign w:val="center"/>
          </w:tcPr>
          <w:p w14:paraId="601889A0"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Female</w:t>
            </w:r>
          </w:p>
        </w:tc>
        <w:tc>
          <w:tcPr>
            <w:tcW w:w="1645" w:type="dxa"/>
            <w:shd w:val="clear" w:color="auto" w:fill="FFFFFF"/>
            <w:vAlign w:val="center"/>
          </w:tcPr>
          <w:p w14:paraId="28649BA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21</w:t>
            </w:r>
          </w:p>
        </w:tc>
        <w:tc>
          <w:tcPr>
            <w:tcW w:w="2357" w:type="dxa"/>
            <w:shd w:val="clear" w:color="auto" w:fill="FFFFFF"/>
            <w:vAlign w:val="center"/>
          </w:tcPr>
          <w:p w14:paraId="36B488B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63.6</w:t>
            </w:r>
          </w:p>
        </w:tc>
      </w:tr>
      <w:tr w:rsidR="005839CA" w:rsidRPr="005839CA" w14:paraId="4E1943E6" w14:textId="77777777" w:rsidTr="00346D47">
        <w:trPr>
          <w:cantSplit/>
          <w:trHeight w:val="171"/>
        </w:trPr>
        <w:tc>
          <w:tcPr>
            <w:tcW w:w="3929" w:type="dxa"/>
            <w:shd w:val="clear" w:color="auto" w:fill="FFFFFF"/>
            <w:vAlign w:val="center"/>
          </w:tcPr>
          <w:p w14:paraId="55F577B9"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lastRenderedPageBreak/>
              <w:t>Age (years)</w:t>
            </w:r>
          </w:p>
        </w:tc>
        <w:tc>
          <w:tcPr>
            <w:tcW w:w="1497" w:type="dxa"/>
            <w:shd w:val="clear" w:color="auto" w:fill="FFFFFF"/>
            <w:vAlign w:val="center"/>
          </w:tcPr>
          <w:p w14:paraId="44FEDAA2"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(SD)</w:t>
            </w:r>
          </w:p>
        </w:tc>
        <w:tc>
          <w:tcPr>
            <w:tcW w:w="1645" w:type="dxa"/>
            <w:shd w:val="clear" w:color="auto" w:fill="FFFFFF"/>
            <w:vAlign w:val="center"/>
          </w:tcPr>
          <w:p w14:paraId="00165E4F"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27.9</w:t>
            </w:r>
          </w:p>
        </w:tc>
        <w:tc>
          <w:tcPr>
            <w:tcW w:w="2357" w:type="dxa"/>
            <w:shd w:val="clear" w:color="auto" w:fill="FFFFFF"/>
            <w:vAlign w:val="center"/>
          </w:tcPr>
          <w:p w14:paraId="752CADED"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1.70</w:t>
            </w:r>
          </w:p>
        </w:tc>
      </w:tr>
      <w:tr w:rsidR="005839CA" w:rsidRPr="005839CA" w14:paraId="26E4F3C6" w14:textId="77777777" w:rsidTr="00346D47">
        <w:trPr>
          <w:cantSplit/>
          <w:trHeight w:val="337"/>
        </w:trPr>
        <w:tc>
          <w:tcPr>
            <w:tcW w:w="3929" w:type="dxa"/>
            <w:vMerge w:val="restart"/>
            <w:shd w:val="clear" w:color="auto" w:fill="FFFFFF"/>
            <w:vAlign w:val="center"/>
          </w:tcPr>
          <w:p w14:paraId="3A4EBE46"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Have you previously received formal training in clinical or diagnostic reasoning?</w:t>
            </w:r>
          </w:p>
        </w:tc>
        <w:tc>
          <w:tcPr>
            <w:tcW w:w="1497" w:type="dxa"/>
            <w:shd w:val="clear" w:color="auto" w:fill="FFFFFF"/>
            <w:vAlign w:val="center"/>
          </w:tcPr>
          <w:p w14:paraId="79E65699"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Yes</w:t>
            </w:r>
          </w:p>
        </w:tc>
        <w:tc>
          <w:tcPr>
            <w:tcW w:w="1645" w:type="dxa"/>
            <w:shd w:val="clear" w:color="auto" w:fill="FFFFFF"/>
            <w:vAlign w:val="center"/>
          </w:tcPr>
          <w:p w14:paraId="14951D40"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5</w:t>
            </w:r>
          </w:p>
        </w:tc>
        <w:tc>
          <w:tcPr>
            <w:tcW w:w="2357" w:type="dxa"/>
            <w:shd w:val="clear" w:color="auto" w:fill="FFFFFF"/>
            <w:vAlign w:val="center"/>
          </w:tcPr>
          <w:p w14:paraId="378FE8DB"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15.6</w:t>
            </w:r>
          </w:p>
        </w:tc>
      </w:tr>
      <w:tr w:rsidR="005839CA" w:rsidRPr="005839CA" w14:paraId="416380F7" w14:textId="77777777" w:rsidTr="00346D47">
        <w:trPr>
          <w:cantSplit/>
          <w:trHeight w:val="171"/>
        </w:trPr>
        <w:tc>
          <w:tcPr>
            <w:tcW w:w="3929" w:type="dxa"/>
            <w:vMerge/>
            <w:shd w:val="clear" w:color="auto" w:fill="FFFFFF"/>
            <w:vAlign w:val="center"/>
          </w:tcPr>
          <w:p w14:paraId="3868C115"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p>
        </w:tc>
        <w:tc>
          <w:tcPr>
            <w:tcW w:w="1497" w:type="dxa"/>
            <w:shd w:val="clear" w:color="auto" w:fill="FFFFFF"/>
            <w:vAlign w:val="center"/>
          </w:tcPr>
          <w:p w14:paraId="25C4076A"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No</w:t>
            </w:r>
          </w:p>
        </w:tc>
        <w:tc>
          <w:tcPr>
            <w:tcW w:w="1645" w:type="dxa"/>
            <w:shd w:val="clear" w:color="auto" w:fill="FFFFFF"/>
            <w:vAlign w:val="center"/>
          </w:tcPr>
          <w:p w14:paraId="6C5D3D9B"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27</w:t>
            </w:r>
          </w:p>
        </w:tc>
        <w:tc>
          <w:tcPr>
            <w:tcW w:w="2357" w:type="dxa"/>
            <w:shd w:val="clear" w:color="auto" w:fill="FFFFFF"/>
            <w:vAlign w:val="center"/>
          </w:tcPr>
          <w:p w14:paraId="501143D1"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84.4</w:t>
            </w:r>
          </w:p>
        </w:tc>
      </w:tr>
      <w:tr w:rsidR="005839CA" w:rsidRPr="005839CA" w14:paraId="5625AEB4" w14:textId="77777777" w:rsidTr="00346D47">
        <w:trPr>
          <w:cantSplit/>
          <w:trHeight w:val="171"/>
        </w:trPr>
        <w:tc>
          <w:tcPr>
            <w:tcW w:w="3929" w:type="dxa"/>
            <w:shd w:val="clear" w:color="auto" w:fill="FFFFFF"/>
            <w:vAlign w:val="center"/>
          </w:tcPr>
          <w:p w14:paraId="21576DFB"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Years of Clinical Experience post-MBBS (excluding House job)</w:t>
            </w:r>
          </w:p>
        </w:tc>
        <w:tc>
          <w:tcPr>
            <w:tcW w:w="1497" w:type="dxa"/>
            <w:shd w:val="clear" w:color="auto" w:fill="FFFFFF"/>
            <w:vAlign w:val="center"/>
          </w:tcPr>
          <w:p w14:paraId="3222FF64"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Mean (SD)</w:t>
            </w:r>
          </w:p>
        </w:tc>
        <w:tc>
          <w:tcPr>
            <w:tcW w:w="1645" w:type="dxa"/>
            <w:shd w:val="clear" w:color="auto" w:fill="FFFFFF"/>
            <w:vAlign w:val="center"/>
          </w:tcPr>
          <w:p w14:paraId="03AC6491"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2.7</w:t>
            </w:r>
          </w:p>
        </w:tc>
        <w:tc>
          <w:tcPr>
            <w:tcW w:w="2357" w:type="dxa"/>
            <w:shd w:val="clear" w:color="auto" w:fill="FFFFFF"/>
            <w:vAlign w:val="center"/>
          </w:tcPr>
          <w:p w14:paraId="079ABBDC"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1.8</w:t>
            </w:r>
          </w:p>
        </w:tc>
      </w:tr>
      <w:tr w:rsidR="005839CA" w:rsidRPr="005839CA" w14:paraId="3723A13B" w14:textId="77777777" w:rsidTr="00346D47">
        <w:trPr>
          <w:cantSplit/>
          <w:trHeight w:val="171"/>
        </w:trPr>
        <w:tc>
          <w:tcPr>
            <w:tcW w:w="3929" w:type="dxa"/>
            <w:shd w:val="clear" w:color="auto" w:fill="FFFFFF"/>
            <w:vAlign w:val="center"/>
          </w:tcPr>
          <w:p w14:paraId="7EAC09AD"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Reliability coefficient Cronbach’s α for DTI Scores.</w:t>
            </w:r>
          </w:p>
        </w:tc>
        <w:tc>
          <w:tcPr>
            <w:tcW w:w="1497" w:type="dxa"/>
            <w:shd w:val="clear" w:color="auto" w:fill="FFFFFF"/>
            <w:vAlign w:val="center"/>
          </w:tcPr>
          <w:p w14:paraId="28FC2D55"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41-items</w:t>
            </w:r>
          </w:p>
        </w:tc>
        <w:tc>
          <w:tcPr>
            <w:tcW w:w="1645" w:type="dxa"/>
            <w:shd w:val="clear" w:color="auto" w:fill="FFFFFF"/>
            <w:vAlign w:val="center"/>
          </w:tcPr>
          <w:p w14:paraId="6D63D68A"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0.52</w:t>
            </w:r>
          </w:p>
        </w:tc>
        <w:tc>
          <w:tcPr>
            <w:tcW w:w="2357" w:type="dxa"/>
            <w:shd w:val="clear" w:color="auto" w:fill="FFFFFF"/>
            <w:vAlign w:val="center"/>
          </w:tcPr>
          <w:p w14:paraId="2A2A62F9" w14:textId="77777777" w:rsidR="005839CA" w:rsidRPr="005839CA" w:rsidRDefault="005839CA" w:rsidP="00346D47">
            <w:pPr>
              <w:spacing w:after="0" w:line="240" w:lineRule="auto"/>
              <w:rPr>
                <w:rFonts w:ascii="Times New Roman" w:eastAsia="Times New Roman" w:hAnsi="Times New Roman" w:cs="Times New Roman"/>
                <w:sz w:val="24"/>
                <w:szCs w:val="24"/>
              </w:rPr>
            </w:pPr>
          </w:p>
        </w:tc>
      </w:tr>
      <w:tr w:rsidR="005839CA" w:rsidRPr="005839CA" w14:paraId="789C990A" w14:textId="77777777" w:rsidTr="00346D47">
        <w:trPr>
          <w:cantSplit/>
          <w:trHeight w:val="171"/>
        </w:trPr>
        <w:tc>
          <w:tcPr>
            <w:tcW w:w="3929" w:type="dxa"/>
            <w:shd w:val="clear" w:color="auto" w:fill="FFFFFF"/>
          </w:tcPr>
          <w:p w14:paraId="6CED25CE"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Reliability coefficient Cronbach’s α for items on Flexibility in thinking.</w:t>
            </w:r>
          </w:p>
        </w:tc>
        <w:tc>
          <w:tcPr>
            <w:tcW w:w="1497" w:type="dxa"/>
            <w:shd w:val="clear" w:color="auto" w:fill="FFFFFF"/>
            <w:vAlign w:val="center"/>
          </w:tcPr>
          <w:p w14:paraId="60D033B7"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21-items</w:t>
            </w:r>
          </w:p>
        </w:tc>
        <w:tc>
          <w:tcPr>
            <w:tcW w:w="1645" w:type="dxa"/>
            <w:shd w:val="clear" w:color="auto" w:fill="FFFFFF"/>
            <w:vAlign w:val="center"/>
          </w:tcPr>
          <w:p w14:paraId="2E5CD244"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0.20</w:t>
            </w:r>
          </w:p>
        </w:tc>
        <w:tc>
          <w:tcPr>
            <w:tcW w:w="2357" w:type="dxa"/>
            <w:shd w:val="clear" w:color="auto" w:fill="FFFFFF"/>
            <w:vAlign w:val="center"/>
          </w:tcPr>
          <w:p w14:paraId="39FB4BED" w14:textId="77777777" w:rsidR="005839CA" w:rsidRPr="005839CA" w:rsidRDefault="005839CA" w:rsidP="00346D47">
            <w:pPr>
              <w:spacing w:after="0" w:line="240" w:lineRule="auto"/>
              <w:rPr>
                <w:rFonts w:ascii="Times New Roman" w:eastAsia="Times New Roman" w:hAnsi="Times New Roman" w:cs="Times New Roman"/>
                <w:sz w:val="24"/>
                <w:szCs w:val="24"/>
              </w:rPr>
            </w:pPr>
          </w:p>
        </w:tc>
      </w:tr>
      <w:tr w:rsidR="005839CA" w:rsidRPr="005839CA" w14:paraId="768C8889" w14:textId="77777777" w:rsidTr="00346D47">
        <w:trPr>
          <w:cantSplit/>
          <w:trHeight w:val="171"/>
        </w:trPr>
        <w:tc>
          <w:tcPr>
            <w:tcW w:w="3929" w:type="dxa"/>
            <w:shd w:val="clear" w:color="auto" w:fill="FFFFFF"/>
          </w:tcPr>
          <w:p w14:paraId="2AA7FB96"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Reliability coefficient Cronbach’s α for items on structure of memory.</w:t>
            </w:r>
          </w:p>
        </w:tc>
        <w:tc>
          <w:tcPr>
            <w:tcW w:w="1497" w:type="dxa"/>
            <w:shd w:val="clear" w:color="auto" w:fill="FFFFFF"/>
            <w:vAlign w:val="center"/>
          </w:tcPr>
          <w:p w14:paraId="096B7326" w14:textId="77777777" w:rsidR="005839CA" w:rsidRPr="005839CA" w:rsidRDefault="005839CA" w:rsidP="00346D47">
            <w:pPr>
              <w:spacing w:after="0" w:line="24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20-items</w:t>
            </w:r>
          </w:p>
        </w:tc>
        <w:tc>
          <w:tcPr>
            <w:tcW w:w="1645" w:type="dxa"/>
            <w:shd w:val="clear" w:color="auto" w:fill="FFFFFF"/>
            <w:vAlign w:val="center"/>
          </w:tcPr>
          <w:p w14:paraId="7A2D417B" w14:textId="77777777" w:rsidR="005839CA" w:rsidRPr="005839CA" w:rsidRDefault="005839CA" w:rsidP="00346D47">
            <w:pPr>
              <w:spacing w:after="0" w:line="240" w:lineRule="auto"/>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0.38</w:t>
            </w:r>
          </w:p>
        </w:tc>
        <w:tc>
          <w:tcPr>
            <w:tcW w:w="2357" w:type="dxa"/>
            <w:shd w:val="clear" w:color="auto" w:fill="FFFFFF"/>
            <w:vAlign w:val="center"/>
          </w:tcPr>
          <w:p w14:paraId="3536133B" w14:textId="77777777" w:rsidR="005839CA" w:rsidRPr="005839CA" w:rsidRDefault="005839CA" w:rsidP="00346D47">
            <w:pPr>
              <w:spacing w:after="0" w:line="240" w:lineRule="auto"/>
              <w:rPr>
                <w:rFonts w:ascii="Times New Roman" w:eastAsia="Times New Roman" w:hAnsi="Times New Roman" w:cs="Times New Roman"/>
                <w:sz w:val="24"/>
                <w:szCs w:val="24"/>
              </w:rPr>
            </w:pPr>
          </w:p>
        </w:tc>
      </w:tr>
    </w:tbl>
    <w:p w14:paraId="085EE244"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3B1AECCC" w14:textId="44629512"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Table-2 reports the baseline characteristics of thirty-four studied samples, majority (63.6%) were females, mean age was 27.9 (SD=±1.70), nearly (15.6%) samples were reported for previously received formal training in clinical or diagnostic reasoning, average years of clinical experience post MBB</w:t>
      </w:r>
      <w:r>
        <w:rPr>
          <w:rFonts w:ascii="Times New Roman" w:eastAsia="Times New Roman" w:hAnsi="Times New Roman" w:cs="Times New Roman"/>
          <w:sz w:val="24"/>
          <w:szCs w:val="24"/>
        </w:rPr>
        <w:t>S</w:t>
      </w:r>
      <w:r w:rsidRPr="005839CA">
        <w:rPr>
          <w:rFonts w:ascii="Times New Roman" w:eastAsia="Times New Roman" w:hAnsi="Times New Roman" w:cs="Times New Roman"/>
          <w:sz w:val="24"/>
          <w:szCs w:val="24"/>
        </w:rPr>
        <w:t xml:space="preserve"> (excluding house job) was 2.7 (SD=±1.8) years. Reliability analysis showed highest Cronbach’s α (α=0.38) for items on structure of memory, whereas for overall DTI scores it was 0.52 considered statistically adequate.</w:t>
      </w:r>
    </w:p>
    <w:p w14:paraId="12FB1A64"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46301E5B"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3F097375"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689F26A5" w14:textId="77777777" w:rsidR="005839CA" w:rsidRPr="005839CA" w:rsidRDefault="005839CA" w:rsidP="005839CA">
      <w:pPr>
        <w:spacing w:line="480" w:lineRule="auto"/>
        <w:jc w:val="both"/>
        <w:rPr>
          <w:rFonts w:ascii="Times New Roman" w:eastAsia="Times New Roman" w:hAnsi="Times New Roman" w:cs="Times New Roman"/>
          <w:sz w:val="24"/>
          <w:szCs w:val="24"/>
        </w:rPr>
      </w:pPr>
    </w:p>
    <w:p w14:paraId="3C9A6B4C" w14:textId="77777777" w:rsidR="005839CA" w:rsidRPr="005839CA" w:rsidRDefault="005839CA" w:rsidP="005839CA">
      <w:pPr>
        <w:spacing w:line="480" w:lineRule="auto"/>
        <w:jc w:val="both"/>
        <w:rPr>
          <w:rFonts w:ascii="Times New Roman" w:eastAsia="Times New Roman" w:hAnsi="Times New Roman" w:cs="Times New Roman"/>
          <w:sz w:val="24"/>
          <w:szCs w:val="24"/>
        </w:rPr>
      </w:pPr>
      <w:r w:rsidRPr="005839CA">
        <w:rPr>
          <w:rFonts w:ascii="Times New Roman" w:eastAsia="Times New Roman" w:hAnsi="Times New Roman" w:cs="Times New Roman"/>
          <w:sz w:val="24"/>
          <w:szCs w:val="24"/>
        </w:rPr>
        <w:t>Chart 2:</w:t>
      </w:r>
    </w:p>
    <w:p w14:paraId="0B1316E8" w14:textId="77777777" w:rsidR="005839CA" w:rsidRDefault="005839CA" w:rsidP="005839CA">
      <w:pPr>
        <w:spacing w:line="480" w:lineRule="auto"/>
        <w:jc w:val="both"/>
        <w:rPr>
          <w:rFonts w:eastAsia="Times New Roman" w:cs="Times New Roman"/>
          <w:color w:val="000000"/>
          <w:szCs w:val="24"/>
        </w:rPr>
      </w:pPr>
      <w:r>
        <w:rPr>
          <w:noProof/>
        </w:rPr>
        <w:lastRenderedPageBreak/>
        <w:drawing>
          <wp:inline distT="0" distB="0" distL="0" distR="0" wp14:anchorId="5E8072EA" wp14:editId="00C56C27">
            <wp:extent cx="4572000" cy="2743200"/>
            <wp:effectExtent l="0" t="0" r="0" b="0"/>
            <wp:docPr id="1565604364" name="Chart 1">
              <a:extLst xmlns:a="http://schemas.openxmlformats.org/drawingml/2006/main">
                <a:ext uri="{FF2B5EF4-FFF2-40B4-BE49-F238E27FC236}">
                  <a16:creationId xmlns:a16="http://schemas.microsoft.com/office/drawing/2014/main" id="{F1A680BF-6416-7635-6329-B8612CE1E5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ECFCD5A" w14:textId="77777777" w:rsidR="005839CA" w:rsidRDefault="005839CA"/>
    <w:sectPr w:rsidR="00583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38"/>
    <w:rsid w:val="00027F78"/>
    <w:rsid w:val="00166682"/>
    <w:rsid w:val="001A2938"/>
    <w:rsid w:val="00266494"/>
    <w:rsid w:val="002C7E62"/>
    <w:rsid w:val="003147C1"/>
    <w:rsid w:val="004A0CC8"/>
    <w:rsid w:val="005443AF"/>
    <w:rsid w:val="005839CA"/>
    <w:rsid w:val="005F72AB"/>
    <w:rsid w:val="00615B0E"/>
    <w:rsid w:val="007B5962"/>
    <w:rsid w:val="007E25F2"/>
    <w:rsid w:val="008B3BAD"/>
    <w:rsid w:val="0097060E"/>
    <w:rsid w:val="00AC0968"/>
    <w:rsid w:val="00B03B3B"/>
    <w:rsid w:val="00C802A1"/>
    <w:rsid w:val="00DB64D7"/>
    <w:rsid w:val="00E274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22B5E"/>
  <w15:chartTrackingRefBased/>
  <w15:docId w15:val="{0F514350-4DFD-400C-81F8-E5E72899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C7E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4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C7E62"/>
    <w:rPr>
      <w:rFonts w:ascii="Times New Roman" w:eastAsia="Times New Roman" w:hAnsi="Times New Roman" w:cs="Times New Roman"/>
      <w:b/>
      <w:bCs/>
      <w:sz w:val="27"/>
      <w:szCs w:val="27"/>
    </w:rPr>
  </w:style>
  <w:style w:type="character" w:styleId="Strong">
    <w:name w:val="Strong"/>
    <w:basedOn w:val="DefaultParagraphFont"/>
    <w:uiPriority w:val="22"/>
    <w:qFormat/>
    <w:rsid w:val="001666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8291">
      <w:bodyDiv w:val="1"/>
      <w:marLeft w:val="0"/>
      <w:marRight w:val="0"/>
      <w:marTop w:val="0"/>
      <w:marBottom w:val="0"/>
      <w:divBdr>
        <w:top w:val="none" w:sz="0" w:space="0" w:color="auto"/>
        <w:left w:val="none" w:sz="0" w:space="0" w:color="auto"/>
        <w:bottom w:val="none" w:sz="0" w:space="0" w:color="auto"/>
        <w:right w:val="none" w:sz="0" w:space="0" w:color="auto"/>
      </w:divBdr>
    </w:div>
    <w:div w:id="750858850">
      <w:bodyDiv w:val="1"/>
      <w:marLeft w:val="0"/>
      <w:marRight w:val="0"/>
      <w:marTop w:val="0"/>
      <w:marBottom w:val="0"/>
      <w:divBdr>
        <w:top w:val="none" w:sz="0" w:space="0" w:color="auto"/>
        <w:left w:val="none" w:sz="0" w:space="0" w:color="auto"/>
        <w:bottom w:val="none" w:sz="0" w:space="0" w:color="auto"/>
        <w:right w:val="none" w:sz="0" w:space="0" w:color="auto"/>
      </w:divBdr>
    </w:div>
    <w:div w:id="760105399">
      <w:bodyDiv w:val="1"/>
      <w:marLeft w:val="0"/>
      <w:marRight w:val="0"/>
      <w:marTop w:val="0"/>
      <w:marBottom w:val="0"/>
      <w:divBdr>
        <w:top w:val="none" w:sz="0" w:space="0" w:color="auto"/>
        <w:left w:val="none" w:sz="0" w:space="0" w:color="auto"/>
        <w:bottom w:val="none" w:sz="0" w:space="0" w:color="auto"/>
        <w:right w:val="none" w:sz="0" w:space="0" w:color="auto"/>
      </w:divBdr>
    </w:div>
    <w:div w:id="1161122523">
      <w:bodyDiv w:val="1"/>
      <w:marLeft w:val="0"/>
      <w:marRight w:val="0"/>
      <w:marTop w:val="0"/>
      <w:marBottom w:val="0"/>
      <w:divBdr>
        <w:top w:val="none" w:sz="0" w:space="0" w:color="auto"/>
        <w:left w:val="none" w:sz="0" w:space="0" w:color="auto"/>
        <w:bottom w:val="none" w:sz="0" w:space="0" w:color="auto"/>
        <w:right w:val="none" w:sz="0" w:space="0" w:color="auto"/>
      </w:divBdr>
    </w:div>
    <w:div w:id="1370257853">
      <w:bodyDiv w:val="1"/>
      <w:marLeft w:val="0"/>
      <w:marRight w:val="0"/>
      <w:marTop w:val="0"/>
      <w:marBottom w:val="0"/>
      <w:divBdr>
        <w:top w:val="none" w:sz="0" w:space="0" w:color="auto"/>
        <w:left w:val="none" w:sz="0" w:space="0" w:color="auto"/>
        <w:bottom w:val="none" w:sz="0" w:space="0" w:color="auto"/>
        <w:right w:val="none" w:sz="0" w:space="0" w:color="auto"/>
      </w:divBdr>
    </w:div>
    <w:div w:id="210980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Desktop\year%202026\Dr.shafaq%20BMC\DTI%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esktop\year%202026\Dr.shafaq%20BMC\DTI%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Mean Comparison of DTI Scores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Sheet3!$B$2</c:f>
              <c:strCache>
                <c:ptCount val="1"/>
                <c:pt idx="0">
                  <c:v>Flexibility in thinking</c:v>
                </c:pt>
              </c:strCache>
            </c:strRef>
          </c:tx>
          <c:spPr>
            <a:solidFill>
              <a:schemeClr val="accent1"/>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Sheet3!$C$1:$E$1</c:f>
              <c:strCache>
                <c:ptCount val="3"/>
                <c:pt idx="0">
                  <c:v>Original study group exposed to intervention in Indus Hospital (n=10)</c:v>
                </c:pt>
                <c:pt idx="1">
                  <c:v>Subsequent group exposed to intervention in Indus Hospital (n=9)</c:v>
                </c:pt>
                <c:pt idx="2">
                  <c:v>Control group: surgical subspecialty group in Indus Hospital (n=16)</c:v>
                </c:pt>
              </c:strCache>
            </c:strRef>
          </c:cat>
          <c:val>
            <c:numRef>
              <c:f>Sheet3!$C$2:$E$2</c:f>
              <c:numCache>
                <c:formatCode>General</c:formatCode>
                <c:ptCount val="3"/>
                <c:pt idx="0">
                  <c:v>90.4</c:v>
                </c:pt>
                <c:pt idx="1">
                  <c:v>80.900000000000006</c:v>
                </c:pt>
                <c:pt idx="2">
                  <c:v>85.7</c:v>
                </c:pt>
              </c:numCache>
            </c:numRef>
          </c:val>
          <c:extLst>
            <c:ext xmlns:c16="http://schemas.microsoft.com/office/drawing/2014/chart" uri="{C3380CC4-5D6E-409C-BE32-E72D297353CC}">
              <c16:uniqueId val="{00000000-6F11-43A2-8970-0B0FF4586332}"/>
            </c:ext>
          </c:extLst>
        </c:ser>
        <c:ser>
          <c:idx val="1"/>
          <c:order val="1"/>
          <c:tx>
            <c:strRef>
              <c:f>Sheet3!$B$3</c:f>
              <c:strCache>
                <c:ptCount val="1"/>
                <c:pt idx="0">
                  <c:v>Structure of memory</c:v>
                </c:pt>
              </c:strCache>
            </c:strRef>
          </c:tx>
          <c:spPr>
            <a:solidFill>
              <a:schemeClr val="accent2"/>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Sheet3!$C$1:$E$1</c:f>
              <c:strCache>
                <c:ptCount val="3"/>
                <c:pt idx="0">
                  <c:v>Original study group exposed to intervention in Indus Hospital (n=10)</c:v>
                </c:pt>
                <c:pt idx="1">
                  <c:v>Subsequent group exposed to intervention in Indus Hospital (n=9)</c:v>
                </c:pt>
                <c:pt idx="2">
                  <c:v>Control group: surgical subspecialty group in Indus Hospital (n=16)</c:v>
                </c:pt>
              </c:strCache>
            </c:strRef>
          </c:cat>
          <c:val>
            <c:numRef>
              <c:f>Sheet3!$C$3:$E$3</c:f>
              <c:numCache>
                <c:formatCode>General</c:formatCode>
                <c:ptCount val="3"/>
                <c:pt idx="0">
                  <c:v>91.1</c:v>
                </c:pt>
                <c:pt idx="1">
                  <c:v>80.8</c:v>
                </c:pt>
                <c:pt idx="2">
                  <c:v>85.7</c:v>
                </c:pt>
              </c:numCache>
            </c:numRef>
          </c:val>
          <c:extLst>
            <c:ext xmlns:c16="http://schemas.microsoft.com/office/drawing/2014/chart" uri="{C3380CC4-5D6E-409C-BE32-E72D297353CC}">
              <c16:uniqueId val="{00000001-6F11-43A2-8970-0B0FF4586332}"/>
            </c:ext>
          </c:extLst>
        </c:ser>
        <c:ser>
          <c:idx val="2"/>
          <c:order val="2"/>
          <c:tx>
            <c:strRef>
              <c:f>Sheet3!$B$4</c:f>
              <c:strCache>
                <c:ptCount val="1"/>
                <c:pt idx="0">
                  <c:v>Total DTI Scores</c:v>
                </c:pt>
              </c:strCache>
            </c:strRef>
          </c:tx>
          <c:spPr>
            <a:solidFill>
              <a:schemeClr val="accent3"/>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Sheet3!$C$1:$E$1</c:f>
              <c:strCache>
                <c:ptCount val="3"/>
                <c:pt idx="0">
                  <c:v>Original study group exposed to intervention in Indus Hospital (n=10)</c:v>
                </c:pt>
                <c:pt idx="1">
                  <c:v>Subsequent group exposed to intervention in Indus Hospital (n=9)</c:v>
                </c:pt>
                <c:pt idx="2">
                  <c:v>Control group: surgical subspecialty group in Indus Hospital (n=16)</c:v>
                </c:pt>
              </c:strCache>
            </c:strRef>
          </c:cat>
          <c:val>
            <c:numRef>
              <c:f>Sheet3!$C$4:$E$4</c:f>
              <c:numCache>
                <c:formatCode>General</c:formatCode>
                <c:ptCount val="3"/>
                <c:pt idx="0">
                  <c:v>181.5</c:v>
                </c:pt>
                <c:pt idx="1">
                  <c:v>161.69999999999999</c:v>
                </c:pt>
                <c:pt idx="2">
                  <c:v>171.4</c:v>
                </c:pt>
              </c:numCache>
            </c:numRef>
          </c:val>
          <c:extLst>
            <c:ext xmlns:c16="http://schemas.microsoft.com/office/drawing/2014/chart" uri="{C3380CC4-5D6E-409C-BE32-E72D297353CC}">
              <c16:uniqueId val="{00000002-6F11-43A2-8970-0B0FF4586332}"/>
            </c:ext>
          </c:extLst>
        </c:ser>
        <c:dLbls>
          <c:showLegendKey val="0"/>
          <c:showVal val="0"/>
          <c:showCatName val="0"/>
          <c:showSerName val="0"/>
          <c:showPercent val="0"/>
          <c:showBubbleSize val="0"/>
        </c:dLbls>
        <c:gapWidth val="219"/>
        <c:overlap val="-27"/>
        <c:axId val="1198068383"/>
        <c:axId val="1198068863"/>
      </c:barChart>
      <c:catAx>
        <c:axId val="1198068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8068863"/>
        <c:crosses val="autoZero"/>
        <c:auto val="1"/>
        <c:lblAlgn val="ctr"/>
        <c:lblOffset val="100"/>
        <c:noMultiLvlLbl val="0"/>
      </c:catAx>
      <c:valAx>
        <c:axId val="11980688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8068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Gender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9F6-4EE6-81BF-E921DCB3B28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9F6-4EE6-81BF-E921DCB3B2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Sheet3!$B$31:$B$32</c:f>
              <c:strCache>
                <c:ptCount val="2"/>
                <c:pt idx="0">
                  <c:v>Male</c:v>
                </c:pt>
                <c:pt idx="1">
                  <c:v>Female</c:v>
                </c:pt>
              </c:strCache>
            </c:strRef>
          </c:cat>
          <c:val>
            <c:numRef>
              <c:f>Sheet3!$C$31:$C$32</c:f>
              <c:numCache>
                <c:formatCode>General</c:formatCode>
                <c:ptCount val="2"/>
                <c:pt idx="0">
                  <c:v>36.4</c:v>
                </c:pt>
                <c:pt idx="1">
                  <c:v>63.6</c:v>
                </c:pt>
              </c:numCache>
            </c:numRef>
          </c:val>
          <c:extLst>
            <c:ext xmlns:c16="http://schemas.microsoft.com/office/drawing/2014/chart" uri="{C3380CC4-5D6E-409C-BE32-E72D297353CC}">
              <c16:uniqueId val="{00000004-A9F6-4EE6-81BF-E921DCB3B28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MADIHA ATA</dc:creator>
  <cp:keywords/>
  <dc:description/>
  <cp:lastModifiedBy>MADIHA ATA</cp:lastModifiedBy>
  <cp:revision>2</cp:revision>
  <dcterms:created xsi:type="dcterms:W3CDTF">2026-06-05T06:04:00Z</dcterms:created>
  <dcterms:modified xsi:type="dcterms:W3CDTF">2026-06-05T06:04:00Z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04d958aa-ac4c-452f-9392-ed7253af31dc</vt:lpwstr>
  </property>
</Properties>
</file>