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394CC" w14:textId="0DDA65DF" w:rsidR="0059750A" w:rsidRPr="00C007FF" w:rsidRDefault="007249EE" w:rsidP="00C007F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750A">
        <w:rPr>
          <w:rFonts w:ascii="Times New Roman" w:hAnsi="Times New Roman" w:cs="Times New Roman"/>
          <w:b/>
          <w:sz w:val="24"/>
          <w:szCs w:val="24"/>
        </w:rPr>
        <w:t>Supplementary File 2</w:t>
      </w:r>
    </w:p>
    <w:p w14:paraId="4BB0C387" w14:textId="77777777" w:rsidR="007249EE" w:rsidRPr="00046132" w:rsidRDefault="007249EE" w:rsidP="0059750A">
      <w:pPr>
        <w:keepNext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Supplementary Table S1. Surgical specialty entries by rank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7"/>
        <w:gridCol w:w="1625"/>
        <w:gridCol w:w="1626"/>
        <w:gridCol w:w="1626"/>
        <w:gridCol w:w="1626"/>
      </w:tblGrid>
      <w:tr w:rsidR="007249EE" w:rsidRPr="00046132" w14:paraId="01F167CD" w14:textId="77777777" w:rsidTr="00C96E9A">
        <w:tc>
          <w:tcPr>
            <w:tcW w:w="2847" w:type="dxa"/>
          </w:tcPr>
          <w:p w14:paraId="2D0597E4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  <w:b/>
              </w:rPr>
              <w:t>Surgical specialty</w:t>
            </w:r>
          </w:p>
        </w:tc>
        <w:tc>
          <w:tcPr>
            <w:tcW w:w="1625" w:type="dxa"/>
          </w:tcPr>
          <w:p w14:paraId="4AA0C6CA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046132">
              <w:rPr>
                <w:rFonts w:ascii="Times New Roman" w:hAnsi="Times New Roman" w:cs="Times New Roman"/>
                <w:b/>
              </w:rPr>
              <w:t>First-ranked</w:t>
            </w:r>
            <w:proofErr w:type="gramEnd"/>
          </w:p>
        </w:tc>
        <w:tc>
          <w:tcPr>
            <w:tcW w:w="1626" w:type="dxa"/>
          </w:tcPr>
          <w:p w14:paraId="14F71FBB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046132">
              <w:rPr>
                <w:rFonts w:ascii="Times New Roman" w:hAnsi="Times New Roman" w:cs="Times New Roman"/>
                <w:b/>
              </w:rPr>
              <w:t>Second-ranked</w:t>
            </w:r>
            <w:proofErr w:type="gramEnd"/>
          </w:p>
        </w:tc>
        <w:tc>
          <w:tcPr>
            <w:tcW w:w="1626" w:type="dxa"/>
          </w:tcPr>
          <w:p w14:paraId="6789156F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  <w:b/>
              </w:rPr>
              <w:t>Third-ranked</w:t>
            </w:r>
          </w:p>
        </w:tc>
        <w:tc>
          <w:tcPr>
            <w:tcW w:w="1626" w:type="dxa"/>
          </w:tcPr>
          <w:p w14:paraId="11082EA0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  <w:b/>
              </w:rPr>
              <w:t>Total</w:t>
            </w:r>
          </w:p>
        </w:tc>
      </w:tr>
      <w:tr w:rsidR="007249EE" w:rsidRPr="00046132" w14:paraId="5568D900" w14:textId="77777777" w:rsidTr="00C96E9A">
        <w:tc>
          <w:tcPr>
            <w:tcW w:w="2847" w:type="dxa"/>
          </w:tcPr>
          <w:p w14:paraId="2527D560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General Surgery</w:t>
            </w:r>
          </w:p>
        </w:tc>
        <w:tc>
          <w:tcPr>
            <w:tcW w:w="1625" w:type="dxa"/>
          </w:tcPr>
          <w:p w14:paraId="04319CAC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26" w:type="dxa"/>
          </w:tcPr>
          <w:p w14:paraId="7E541FF6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26" w:type="dxa"/>
          </w:tcPr>
          <w:p w14:paraId="7C5B2A62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6" w:type="dxa"/>
          </w:tcPr>
          <w:p w14:paraId="5075E1EB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31</w:t>
            </w:r>
          </w:p>
        </w:tc>
      </w:tr>
      <w:tr w:rsidR="007249EE" w:rsidRPr="00046132" w14:paraId="105521C4" w14:textId="77777777" w:rsidTr="00C96E9A">
        <w:tc>
          <w:tcPr>
            <w:tcW w:w="2847" w:type="dxa"/>
          </w:tcPr>
          <w:p w14:paraId="3259ACAB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Plastic &amp; Cosmetic Surgery</w:t>
            </w:r>
          </w:p>
        </w:tc>
        <w:tc>
          <w:tcPr>
            <w:tcW w:w="1625" w:type="dxa"/>
          </w:tcPr>
          <w:p w14:paraId="3541E387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26" w:type="dxa"/>
          </w:tcPr>
          <w:p w14:paraId="3BC28FDB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6" w:type="dxa"/>
          </w:tcPr>
          <w:p w14:paraId="321587EC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6" w:type="dxa"/>
          </w:tcPr>
          <w:p w14:paraId="7F0C2785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24</w:t>
            </w:r>
          </w:p>
        </w:tc>
      </w:tr>
      <w:tr w:rsidR="007249EE" w:rsidRPr="00046132" w14:paraId="55BAE26D" w14:textId="77777777" w:rsidTr="00C96E9A">
        <w:tc>
          <w:tcPr>
            <w:tcW w:w="2847" w:type="dxa"/>
          </w:tcPr>
          <w:p w14:paraId="2CFD06D7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Orthopedic Surgery</w:t>
            </w:r>
          </w:p>
        </w:tc>
        <w:tc>
          <w:tcPr>
            <w:tcW w:w="1625" w:type="dxa"/>
          </w:tcPr>
          <w:p w14:paraId="01FC2726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26" w:type="dxa"/>
          </w:tcPr>
          <w:p w14:paraId="41768365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6" w:type="dxa"/>
          </w:tcPr>
          <w:p w14:paraId="7A9B8212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6" w:type="dxa"/>
          </w:tcPr>
          <w:p w14:paraId="3AD9EF37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18</w:t>
            </w:r>
          </w:p>
        </w:tc>
      </w:tr>
      <w:tr w:rsidR="007249EE" w:rsidRPr="00046132" w14:paraId="6B30D5A8" w14:textId="77777777" w:rsidTr="00C96E9A">
        <w:tc>
          <w:tcPr>
            <w:tcW w:w="2847" w:type="dxa"/>
          </w:tcPr>
          <w:p w14:paraId="7D8D5A71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Cardiovascular Surgery</w:t>
            </w:r>
          </w:p>
        </w:tc>
        <w:tc>
          <w:tcPr>
            <w:tcW w:w="1625" w:type="dxa"/>
          </w:tcPr>
          <w:p w14:paraId="32D3A201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6" w:type="dxa"/>
          </w:tcPr>
          <w:p w14:paraId="7BFACB10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6" w:type="dxa"/>
          </w:tcPr>
          <w:p w14:paraId="5F4D28AF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6" w:type="dxa"/>
          </w:tcPr>
          <w:p w14:paraId="2E1EB5CA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14</w:t>
            </w:r>
          </w:p>
        </w:tc>
      </w:tr>
      <w:tr w:rsidR="007249EE" w:rsidRPr="00046132" w14:paraId="7F973F66" w14:textId="77777777" w:rsidTr="00C96E9A">
        <w:tc>
          <w:tcPr>
            <w:tcW w:w="2847" w:type="dxa"/>
          </w:tcPr>
          <w:p w14:paraId="4B816E9D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Oncologic Surgery</w:t>
            </w:r>
          </w:p>
        </w:tc>
        <w:tc>
          <w:tcPr>
            <w:tcW w:w="1625" w:type="dxa"/>
          </w:tcPr>
          <w:p w14:paraId="3F7D5C1F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6" w:type="dxa"/>
          </w:tcPr>
          <w:p w14:paraId="4743D7FE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6" w:type="dxa"/>
          </w:tcPr>
          <w:p w14:paraId="10C21719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6" w:type="dxa"/>
          </w:tcPr>
          <w:p w14:paraId="00FCDC2C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6</w:t>
            </w:r>
          </w:p>
        </w:tc>
      </w:tr>
      <w:tr w:rsidR="007249EE" w:rsidRPr="00046132" w14:paraId="4A4E721E" w14:textId="77777777" w:rsidTr="00C96E9A">
        <w:tc>
          <w:tcPr>
            <w:tcW w:w="2847" w:type="dxa"/>
          </w:tcPr>
          <w:p w14:paraId="68682DD4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Cardiothoracic Surgery</w:t>
            </w:r>
          </w:p>
        </w:tc>
        <w:tc>
          <w:tcPr>
            <w:tcW w:w="1625" w:type="dxa"/>
          </w:tcPr>
          <w:p w14:paraId="7FB31A78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6" w:type="dxa"/>
          </w:tcPr>
          <w:p w14:paraId="150B627C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6" w:type="dxa"/>
          </w:tcPr>
          <w:p w14:paraId="70CDF04F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6" w:type="dxa"/>
          </w:tcPr>
          <w:p w14:paraId="2788E88F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3</w:t>
            </w:r>
          </w:p>
        </w:tc>
      </w:tr>
      <w:tr w:rsidR="007249EE" w:rsidRPr="00046132" w14:paraId="0A2BF5F6" w14:textId="77777777" w:rsidTr="00C96E9A">
        <w:tc>
          <w:tcPr>
            <w:tcW w:w="2847" w:type="dxa"/>
          </w:tcPr>
          <w:p w14:paraId="3E7CBD45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Pediatric Surgery</w:t>
            </w:r>
          </w:p>
        </w:tc>
        <w:tc>
          <w:tcPr>
            <w:tcW w:w="1625" w:type="dxa"/>
          </w:tcPr>
          <w:p w14:paraId="5275C7C6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6" w:type="dxa"/>
          </w:tcPr>
          <w:p w14:paraId="0B7DCA41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6" w:type="dxa"/>
          </w:tcPr>
          <w:p w14:paraId="73C4D27D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6" w:type="dxa"/>
          </w:tcPr>
          <w:p w14:paraId="60CBEC0F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5</w:t>
            </w:r>
          </w:p>
        </w:tc>
      </w:tr>
      <w:tr w:rsidR="007249EE" w:rsidRPr="00046132" w14:paraId="2E303FD1" w14:textId="77777777" w:rsidTr="00C96E9A">
        <w:tc>
          <w:tcPr>
            <w:tcW w:w="2847" w:type="dxa"/>
          </w:tcPr>
          <w:p w14:paraId="5387912B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Urology</w:t>
            </w:r>
          </w:p>
        </w:tc>
        <w:tc>
          <w:tcPr>
            <w:tcW w:w="1625" w:type="dxa"/>
          </w:tcPr>
          <w:p w14:paraId="12D8FE4F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6" w:type="dxa"/>
          </w:tcPr>
          <w:p w14:paraId="29A0CE74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6" w:type="dxa"/>
          </w:tcPr>
          <w:p w14:paraId="191D02FF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6" w:type="dxa"/>
          </w:tcPr>
          <w:p w14:paraId="0908B5B9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3</w:t>
            </w:r>
          </w:p>
        </w:tc>
      </w:tr>
      <w:tr w:rsidR="007249EE" w:rsidRPr="00046132" w14:paraId="5D2E53B6" w14:textId="77777777" w:rsidTr="00C96E9A">
        <w:tc>
          <w:tcPr>
            <w:tcW w:w="2847" w:type="dxa"/>
          </w:tcPr>
          <w:p w14:paraId="0C0D04F4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Head and Neck Surgery</w:t>
            </w:r>
          </w:p>
        </w:tc>
        <w:tc>
          <w:tcPr>
            <w:tcW w:w="1625" w:type="dxa"/>
          </w:tcPr>
          <w:p w14:paraId="6A83B7D0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6" w:type="dxa"/>
          </w:tcPr>
          <w:p w14:paraId="5A2FA916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6" w:type="dxa"/>
          </w:tcPr>
          <w:p w14:paraId="71769ADD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6" w:type="dxa"/>
          </w:tcPr>
          <w:p w14:paraId="6E20035F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9</w:t>
            </w:r>
          </w:p>
        </w:tc>
      </w:tr>
      <w:tr w:rsidR="007249EE" w:rsidRPr="00046132" w14:paraId="03D72807" w14:textId="77777777" w:rsidTr="00C96E9A">
        <w:tc>
          <w:tcPr>
            <w:tcW w:w="2847" w:type="dxa"/>
          </w:tcPr>
          <w:p w14:paraId="554E653A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Transplant Surgery</w:t>
            </w:r>
          </w:p>
        </w:tc>
        <w:tc>
          <w:tcPr>
            <w:tcW w:w="1625" w:type="dxa"/>
          </w:tcPr>
          <w:p w14:paraId="3B8E426E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6" w:type="dxa"/>
          </w:tcPr>
          <w:p w14:paraId="5B974010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6" w:type="dxa"/>
          </w:tcPr>
          <w:p w14:paraId="5481984D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6" w:type="dxa"/>
          </w:tcPr>
          <w:p w14:paraId="0ABCB0CC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4</w:t>
            </w:r>
          </w:p>
        </w:tc>
      </w:tr>
      <w:tr w:rsidR="007249EE" w:rsidRPr="00046132" w14:paraId="40A347F0" w14:textId="77777777" w:rsidTr="00C96E9A">
        <w:tc>
          <w:tcPr>
            <w:tcW w:w="2847" w:type="dxa"/>
          </w:tcPr>
          <w:p w14:paraId="70274492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Neurosurgery</w:t>
            </w:r>
          </w:p>
        </w:tc>
        <w:tc>
          <w:tcPr>
            <w:tcW w:w="1625" w:type="dxa"/>
          </w:tcPr>
          <w:p w14:paraId="2D7E7F70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6" w:type="dxa"/>
          </w:tcPr>
          <w:p w14:paraId="68EBC2D4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6" w:type="dxa"/>
          </w:tcPr>
          <w:p w14:paraId="379E225F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6" w:type="dxa"/>
          </w:tcPr>
          <w:p w14:paraId="48996ACE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</w:t>
            </w:r>
          </w:p>
        </w:tc>
      </w:tr>
      <w:tr w:rsidR="007249EE" w:rsidRPr="00046132" w14:paraId="7AF0985E" w14:textId="77777777" w:rsidTr="00C96E9A">
        <w:tc>
          <w:tcPr>
            <w:tcW w:w="2847" w:type="dxa"/>
          </w:tcPr>
          <w:p w14:paraId="530B99A1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625" w:type="dxa"/>
          </w:tcPr>
          <w:p w14:paraId="7F118E5A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626" w:type="dxa"/>
          </w:tcPr>
          <w:p w14:paraId="5F8EFCDE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626" w:type="dxa"/>
          </w:tcPr>
          <w:p w14:paraId="0B87B954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626" w:type="dxa"/>
          </w:tcPr>
          <w:p w14:paraId="70DD7579" w14:textId="77777777" w:rsidR="007249EE" w:rsidRPr="00046132" w:rsidRDefault="007249EE" w:rsidP="005975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46132">
              <w:rPr>
                <w:rFonts w:ascii="Times New Roman" w:hAnsi="Times New Roman" w:cs="Times New Roman"/>
              </w:rPr>
              <w:t>118</w:t>
            </w:r>
          </w:p>
        </w:tc>
      </w:tr>
    </w:tbl>
    <w:p w14:paraId="5749E8F5" w14:textId="77777777" w:rsidR="007249EE" w:rsidRPr="00046132" w:rsidRDefault="007249EE" w:rsidP="0059750A">
      <w:pPr>
        <w:spacing w:line="240" w:lineRule="auto"/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  <w:i/>
        </w:rPr>
        <w:t>The denominator is 74 respondents. The 118 entries comprise 49 first-, 33 second-, and 36 third-ranked preferences. Repeated identical named specialties and generic surgical responses were retained only at their highest rank, without shifting the remaining ranks. A respondent could contribute more than one different surgical specialty.</w:t>
      </w:r>
    </w:p>
    <w:p w14:paraId="497AF3D1" w14:textId="77777777" w:rsidR="007249EE" w:rsidRPr="00046132" w:rsidRDefault="007249EE" w:rsidP="0059750A">
      <w:pPr>
        <w:keepNext/>
        <w:pageBreakBefore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lastRenderedPageBreak/>
        <w:t>Supplementary Table S2. Exploratory cohort-adjusted Firth models using categorical leadership and research/teaching ratings</w:t>
      </w:r>
    </w:p>
    <w:tbl>
      <w:tblPr>
        <w:tblStyle w:val="TableGrid"/>
        <w:tblW w:w="9360" w:type="dxa"/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2020"/>
        <w:gridCol w:w="850"/>
        <w:gridCol w:w="2020"/>
        <w:gridCol w:w="850"/>
      </w:tblGrid>
      <w:tr w:rsidR="00E84D8C" w14:paraId="0667ECF3" w14:textId="77777777">
        <w:trPr>
          <w:cantSplit/>
          <w:tblHeader/>
        </w:trPr>
        <w:tc>
          <w:tcPr>
            <w:tcW w:w="3620" w:type="dxa"/>
            <w:vAlign w:val="center"/>
          </w:tcPr>
          <w:p w14:paraId="3C5500D1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variable</w:t>
            </w:r>
          </w:p>
        </w:tc>
        <w:tc>
          <w:tcPr>
            <w:tcW w:w="2870" w:type="dxa"/>
            <w:gridSpan w:val="2"/>
            <w:vAlign w:val="center"/>
          </w:tcPr>
          <w:p w14:paraId="240D1BE2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First-ranked surgical preference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n=131; 49 events</w:t>
            </w:r>
          </w:p>
        </w:tc>
        <w:tc>
          <w:tcPr>
            <w:tcW w:w="2870" w:type="dxa"/>
            <w:gridSpan w:val="2"/>
            <w:vAlign w:val="center"/>
          </w:tcPr>
          <w:p w14:paraId="25F36B4B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Any-ranked surgical preference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n=131; 74 events</w:t>
            </w:r>
          </w:p>
        </w:tc>
      </w:tr>
      <w:tr w:rsidR="00E84D8C" w14:paraId="7D793D6B" w14:textId="77777777">
        <w:trPr>
          <w:cantSplit/>
          <w:tblHeader/>
        </w:trPr>
        <w:tc>
          <w:tcPr>
            <w:tcW w:w="3620" w:type="dxa"/>
            <w:vAlign w:val="center"/>
          </w:tcPr>
          <w:p w14:paraId="5BF9CB71" w14:textId="77777777" w:rsidR="00E84D8C" w:rsidRDefault="00E84D8C">
            <w:pPr>
              <w:widowControl w:val="0"/>
              <w:spacing w:after="40" w:line="240" w:lineRule="auto"/>
              <w:jc w:val="center"/>
            </w:pPr>
          </w:p>
        </w:tc>
        <w:tc>
          <w:tcPr>
            <w:tcW w:w="2020" w:type="dxa"/>
            <w:vAlign w:val="center"/>
          </w:tcPr>
          <w:p w14:paraId="18FE8B7D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850" w:type="dxa"/>
            <w:vAlign w:val="center"/>
          </w:tcPr>
          <w:p w14:paraId="783A014A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2020" w:type="dxa"/>
            <w:vAlign w:val="center"/>
          </w:tcPr>
          <w:p w14:paraId="64506DA4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850" w:type="dxa"/>
            <w:vAlign w:val="center"/>
          </w:tcPr>
          <w:p w14:paraId="7C8B0CDC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p-value</w:t>
            </w:r>
          </w:p>
        </w:tc>
      </w:tr>
      <w:tr w:rsidR="00E84D8C" w14:paraId="0EB7BEF0" w14:textId="77777777">
        <w:trPr>
          <w:cantSplit/>
        </w:trPr>
        <w:tc>
          <w:tcPr>
            <w:tcW w:w="3620" w:type="dxa"/>
            <w:vAlign w:val="center"/>
          </w:tcPr>
          <w:p w14:paraId="2F36287C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Male gender</w:t>
            </w:r>
          </w:p>
        </w:tc>
        <w:tc>
          <w:tcPr>
            <w:tcW w:w="2020" w:type="dxa"/>
            <w:vAlign w:val="center"/>
          </w:tcPr>
          <w:p w14:paraId="4BBBE534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2.52 (1.16–5.64)</w:t>
            </w:r>
          </w:p>
        </w:tc>
        <w:tc>
          <w:tcPr>
            <w:tcW w:w="850" w:type="dxa"/>
            <w:vAlign w:val="center"/>
          </w:tcPr>
          <w:p w14:paraId="0254D2A9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2020" w:type="dxa"/>
            <w:vAlign w:val="center"/>
          </w:tcPr>
          <w:p w14:paraId="0B225DE9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2.79 (1.32–6.05)</w:t>
            </w:r>
          </w:p>
        </w:tc>
        <w:tc>
          <w:tcPr>
            <w:tcW w:w="850" w:type="dxa"/>
            <w:vAlign w:val="center"/>
          </w:tcPr>
          <w:p w14:paraId="4079762F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</w:tr>
      <w:tr w:rsidR="00E84D8C" w14:paraId="5FE077CD" w14:textId="77777777">
        <w:trPr>
          <w:cantSplit/>
        </w:trPr>
        <w:tc>
          <w:tcPr>
            <w:tcW w:w="3620" w:type="dxa"/>
            <w:vAlign w:val="center"/>
          </w:tcPr>
          <w:p w14:paraId="3A24A786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Hanoi/Ho Chi Minh City residence</w:t>
            </w:r>
          </w:p>
        </w:tc>
        <w:tc>
          <w:tcPr>
            <w:tcW w:w="2020" w:type="dxa"/>
            <w:vAlign w:val="center"/>
          </w:tcPr>
          <w:p w14:paraId="2B3B8B36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 (0.47–3.95)</w:t>
            </w:r>
          </w:p>
        </w:tc>
        <w:tc>
          <w:tcPr>
            <w:tcW w:w="850" w:type="dxa"/>
            <w:vAlign w:val="center"/>
          </w:tcPr>
          <w:p w14:paraId="26584DB1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0.615</w:t>
            </w:r>
          </w:p>
        </w:tc>
        <w:tc>
          <w:tcPr>
            <w:tcW w:w="2020" w:type="dxa"/>
            <w:vAlign w:val="center"/>
          </w:tcPr>
          <w:p w14:paraId="24A9462F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 (0.38–2.92)</w:t>
            </w:r>
          </w:p>
        </w:tc>
        <w:tc>
          <w:tcPr>
            <w:tcW w:w="850" w:type="dxa"/>
            <w:vAlign w:val="center"/>
          </w:tcPr>
          <w:p w14:paraId="0CF64C79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0.915</w:t>
            </w:r>
          </w:p>
        </w:tc>
      </w:tr>
      <w:tr w:rsidR="00E84D8C" w14:paraId="25771937" w14:textId="77777777">
        <w:trPr>
          <w:cantSplit/>
        </w:trPr>
        <w:tc>
          <w:tcPr>
            <w:tcW w:w="3620" w:type="dxa"/>
            <w:vAlign w:val="center"/>
          </w:tcPr>
          <w:p w14:paraId="4160D601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Cohort 2 vs Cohort 1</w:t>
            </w:r>
          </w:p>
        </w:tc>
        <w:tc>
          <w:tcPr>
            <w:tcW w:w="2020" w:type="dxa"/>
            <w:vAlign w:val="center"/>
          </w:tcPr>
          <w:p w14:paraId="3AFEB8BC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 (0.17–1.25)</w:t>
            </w:r>
          </w:p>
        </w:tc>
        <w:tc>
          <w:tcPr>
            <w:tcW w:w="850" w:type="dxa"/>
            <w:vAlign w:val="center"/>
          </w:tcPr>
          <w:p w14:paraId="5901CC01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2020" w:type="dxa"/>
            <w:vAlign w:val="center"/>
          </w:tcPr>
          <w:p w14:paraId="34FC15AF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 (0.32–1.97)</w:t>
            </w:r>
          </w:p>
        </w:tc>
        <w:tc>
          <w:tcPr>
            <w:tcW w:w="850" w:type="dxa"/>
            <w:vAlign w:val="center"/>
          </w:tcPr>
          <w:p w14:paraId="45D8B3D0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0.625</w:t>
            </w:r>
          </w:p>
        </w:tc>
      </w:tr>
      <w:tr w:rsidR="00E84D8C" w14:paraId="4AE648CA" w14:textId="77777777">
        <w:trPr>
          <w:cantSplit/>
        </w:trPr>
        <w:tc>
          <w:tcPr>
            <w:tcW w:w="3620" w:type="dxa"/>
            <w:vAlign w:val="center"/>
          </w:tcPr>
          <w:p w14:paraId="650F26F9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Cohort 3 vs Cohort 1</w:t>
            </w:r>
          </w:p>
        </w:tc>
        <w:tc>
          <w:tcPr>
            <w:tcW w:w="2020" w:type="dxa"/>
            <w:vAlign w:val="center"/>
          </w:tcPr>
          <w:p w14:paraId="1157100D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 (0.67–3.95)</w:t>
            </w:r>
          </w:p>
        </w:tc>
        <w:tc>
          <w:tcPr>
            <w:tcW w:w="850" w:type="dxa"/>
            <w:vAlign w:val="center"/>
          </w:tcPr>
          <w:p w14:paraId="540F8449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0.286</w:t>
            </w:r>
          </w:p>
        </w:tc>
        <w:tc>
          <w:tcPr>
            <w:tcW w:w="2020" w:type="dxa"/>
            <w:vAlign w:val="center"/>
          </w:tcPr>
          <w:p w14:paraId="7252BBE2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2.65 (1.08–6.68)</w:t>
            </w:r>
          </w:p>
        </w:tc>
        <w:tc>
          <w:tcPr>
            <w:tcW w:w="850" w:type="dxa"/>
            <w:vAlign w:val="center"/>
          </w:tcPr>
          <w:p w14:paraId="6AFEC55C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</w:tr>
      <w:tr w:rsidR="00E84D8C" w14:paraId="0475EA10" w14:textId="77777777">
        <w:trPr>
          <w:cantSplit/>
        </w:trPr>
        <w:tc>
          <w:tcPr>
            <w:tcW w:w="3620" w:type="dxa"/>
            <w:vAlign w:val="center"/>
          </w:tcPr>
          <w:p w14:paraId="7F835CA6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Leadership moderate (3) vs low (1–2)</w:t>
            </w:r>
          </w:p>
        </w:tc>
        <w:tc>
          <w:tcPr>
            <w:tcW w:w="2020" w:type="dxa"/>
            <w:vAlign w:val="center"/>
          </w:tcPr>
          <w:p w14:paraId="6D864264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 (0.52–5.31)</w:t>
            </w:r>
          </w:p>
        </w:tc>
        <w:tc>
          <w:tcPr>
            <w:tcW w:w="850" w:type="dxa"/>
            <w:vAlign w:val="center"/>
          </w:tcPr>
          <w:p w14:paraId="52ADDA5B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0.384</w:t>
            </w:r>
          </w:p>
        </w:tc>
        <w:tc>
          <w:tcPr>
            <w:tcW w:w="2020" w:type="dxa"/>
            <w:vAlign w:val="center"/>
          </w:tcPr>
          <w:p w14:paraId="729EC1C7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 (0.79–7.74)</w:t>
            </w:r>
          </w:p>
        </w:tc>
        <w:tc>
          <w:tcPr>
            <w:tcW w:w="850" w:type="dxa"/>
            <w:vAlign w:val="center"/>
          </w:tcPr>
          <w:p w14:paraId="4F7CDEA3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0.126</w:t>
            </w:r>
          </w:p>
        </w:tc>
      </w:tr>
      <w:tr w:rsidR="00E84D8C" w14:paraId="00FA8870" w14:textId="77777777">
        <w:trPr>
          <w:cantSplit/>
        </w:trPr>
        <w:tc>
          <w:tcPr>
            <w:tcW w:w="3620" w:type="dxa"/>
            <w:vAlign w:val="center"/>
          </w:tcPr>
          <w:p w14:paraId="3AA108EE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Leadership high (4–5) vs low (1–2)</w:t>
            </w:r>
          </w:p>
        </w:tc>
        <w:tc>
          <w:tcPr>
            <w:tcW w:w="2020" w:type="dxa"/>
            <w:vAlign w:val="center"/>
          </w:tcPr>
          <w:p w14:paraId="4EE0773D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3.60 (1.38–10.13)</w:t>
            </w:r>
          </w:p>
        </w:tc>
        <w:tc>
          <w:tcPr>
            <w:tcW w:w="850" w:type="dxa"/>
            <w:vAlign w:val="center"/>
          </w:tcPr>
          <w:p w14:paraId="144B44C4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2020" w:type="dxa"/>
            <w:vAlign w:val="center"/>
          </w:tcPr>
          <w:p w14:paraId="2699D25F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2.59 (1.00–7.12)</w:t>
            </w:r>
          </w:p>
        </w:tc>
        <w:tc>
          <w:tcPr>
            <w:tcW w:w="850" w:type="dxa"/>
            <w:vAlign w:val="center"/>
          </w:tcPr>
          <w:p w14:paraId="76283EB4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</w:t>
            </w:r>
          </w:p>
        </w:tc>
      </w:tr>
      <w:tr w:rsidR="00E84D8C" w14:paraId="74247A68" w14:textId="77777777">
        <w:trPr>
          <w:cantSplit/>
        </w:trPr>
        <w:tc>
          <w:tcPr>
            <w:tcW w:w="3620" w:type="dxa"/>
            <w:vAlign w:val="center"/>
          </w:tcPr>
          <w:p w14:paraId="2650ECB5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Research/teaching moderate (3) vs low (1–2)</w:t>
            </w:r>
          </w:p>
        </w:tc>
        <w:tc>
          <w:tcPr>
            <w:tcW w:w="2020" w:type="dxa"/>
            <w:vAlign w:val="center"/>
          </w:tcPr>
          <w:p w14:paraId="0995A231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 (0.31–2.32)</w:t>
            </w:r>
          </w:p>
        </w:tc>
        <w:tc>
          <w:tcPr>
            <w:tcW w:w="850" w:type="dxa"/>
            <w:vAlign w:val="center"/>
          </w:tcPr>
          <w:p w14:paraId="4C7BE6E3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0.776</w:t>
            </w:r>
          </w:p>
        </w:tc>
        <w:tc>
          <w:tcPr>
            <w:tcW w:w="2020" w:type="dxa"/>
            <w:vAlign w:val="center"/>
          </w:tcPr>
          <w:p w14:paraId="485573AF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 (0.20–1.47)</w:t>
            </w:r>
          </w:p>
        </w:tc>
        <w:tc>
          <w:tcPr>
            <w:tcW w:w="850" w:type="dxa"/>
            <w:vAlign w:val="center"/>
          </w:tcPr>
          <w:p w14:paraId="1143E13C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0.237</w:t>
            </w:r>
          </w:p>
        </w:tc>
      </w:tr>
      <w:tr w:rsidR="00E84D8C" w14:paraId="127A461B" w14:textId="77777777">
        <w:trPr>
          <w:cantSplit/>
        </w:trPr>
        <w:tc>
          <w:tcPr>
            <w:tcW w:w="3620" w:type="dxa"/>
            <w:vAlign w:val="center"/>
          </w:tcPr>
          <w:p w14:paraId="3678F027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Research/teaching high (4–5) vs low (1–2)</w:t>
            </w:r>
          </w:p>
        </w:tc>
        <w:tc>
          <w:tcPr>
            <w:tcW w:w="2020" w:type="dxa"/>
            <w:vAlign w:val="center"/>
          </w:tcPr>
          <w:p w14:paraId="58A1D21F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 (0.15–1.23)</w:t>
            </w:r>
          </w:p>
        </w:tc>
        <w:tc>
          <w:tcPr>
            <w:tcW w:w="850" w:type="dxa"/>
            <w:vAlign w:val="center"/>
          </w:tcPr>
          <w:p w14:paraId="5306D3D1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2020" w:type="dxa"/>
            <w:vAlign w:val="center"/>
          </w:tcPr>
          <w:p w14:paraId="47F8C9A0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 (0.15–1.23)</w:t>
            </w:r>
          </w:p>
        </w:tc>
        <w:tc>
          <w:tcPr>
            <w:tcW w:w="850" w:type="dxa"/>
            <w:vAlign w:val="center"/>
          </w:tcPr>
          <w:p w14:paraId="2E5BCAA7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0.118</w:t>
            </w:r>
          </w:p>
        </w:tc>
      </w:tr>
    </w:tbl>
    <w:p w14:paraId="77E040B0" w14:textId="2A6F1A49" w:rsidR="007249EE" w:rsidRDefault="007249EE" w:rsidP="0059750A">
      <w:pPr>
        <w:spacing w:line="240" w:lineRule="auto"/>
        <w:rPr>
          <w:rFonts w:ascii="Times New Roman" w:hAnsi="Times New Roman" w:cs="Times New Roman"/>
          <w:i/>
        </w:rPr>
      </w:pPr>
      <w:r w:rsidRPr="00046132">
        <w:rPr>
          <w:rFonts w:ascii="Times New Roman" w:hAnsi="Times New Roman" w:cs="Times New Roman"/>
          <w:i/>
        </w:rPr>
        <w:t xml:space="preserve">Note: First-ranked preference is primary; any-ranked preference is secondary. Study-specific perceived-influence ratings were categorized as low (1–2; reference), moderate (3), or high (4–5). Other reference categories are female gender, other/undisclosed residence, and Cohort 1. Similar moderate and high leadership estimates in the secondary model do not establish a linear gradient or dose-response relationship. CIs are </w:t>
      </w:r>
      <w:proofErr w:type="gramStart"/>
      <w:r w:rsidRPr="00046132">
        <w:rPr>
          <w:rFonts w:ascii="Times New Roman" w:hAnsi="Times New Roman" w:cs="Times New Roman"/>
          <w:i/>
        </w:rPr>
        <w:t>penalized</w:t>
      </w:r>
      <w:proofErr w:type="gramEnd"/>
      <w:r w:rsidRPr="00046132">
        <w:rPr>
          <w:rFonts w:ascii="Times New Roman" w:hAnsi="Times New Roman" w:cs="Times New Roman"/>
          <w:i/>
        </w:rPr>
        <w:t xml:space="preserve"> profile-likelihood 95% CIs; p-values are nominal penalized likelihood-ratio p-values. Neither </w:t>
      </w:r>
      <w:proofErr w:type="gramStart"/>
      <w:r w:rsidRPr="00046132">
        <w:rPr>
          <w:rFonts w:ascii="Times New Roman" w:hAnsi="Times New Roman" w:cs="Times New Roman"/>
          <w:i/>
        </w:rPr>
        <w:t>accounts</w:t>
      </w:r>
      <w:proofErr w:type="gramEnd"/>
      <w:r w:rsidRPr="00046132">
        <w:rPr>
          <w:rFonts w:ascii="Times New Roman" w:hAnsi="Times New Roman" w:cs="Times New Roman"/>
          <w:i/>
        </w:rPr>
        <w:t xml:space="preserve"> for data-informed selection or multiple model specifications.</w:t>
      </w:r>
    </w:p>
    <w:p w14:paraId="15D98313" w14:textId="77777777" w:rsidR="00FB2A3A" w:rsidRDefault="00FB2A3A" w:rsidP="0059750A">
      <w:pPr>
        <w:spacing w:line="240" w:lineRule="auto"/>
        <w:rPr>
          <w:rFonts w:ascii="Times New Roman" w:hAnsi="Times New Roman" w:cs="Times New Roman"/>
          <w:i/>
        </w:rPr>
      </w:pPr>
    </w:p>
    <w:p w14:paraId="3D40E149" w14:textId="77777777" w:rsidR="00FB2A3A" w:rsidRDefault="00FB2A3A" w:rsidP="0059750A">
      <w:pPr>
        <w:spacing w:line="240" w:lineRule="auto"/>
        <w:rPr>
          <w:rFonts w:ascii="Times New Roman" w:hAnsi="Times New Roman" w:cs="Times New Roman"/>
          <w:i/>
        </w:rPr>
      </w:pPr>
    </w:p>
    <w:p w14:paraId="557880BC" w14:textId="77777777" w:rsidR="00FB2A3A" w:rsidRDefault="00FB2A3A" w:rsidP="0059750A">
      <w:pPr>
        <w:spacing w:line="240" w:lineRule="auto"/>
        <w:rPr>
          <w:rFonts w:ascii="Times New Roman" w:hAnsi="Times New Roman" w:cs="Times New Roman"/>
          <w:i/>
        </w:rPr>
      </w:pPr>
    </w:p>
    <w:p w14:paraId="22A636A1" w14:textId="77777777" w:rsidR="00FB2A3A" w:rsidRDefault="00FB2A3A" w:rsidP="0059750A">
      <w:pPr>
        <w:spacing w:line="240" w:lineRule="auto"/>
        <w:rPr>
          <w:rFonts w:ascii="Times New Roman" w:hAnsi="Times New Roman" w:cs="Times New Roman"/>
          <w:i/>
        </w:rPr>
      </w:pPr>
    </w:p>
    <w:p w14:paraId="2661FE74" w14:textId="77777777" w:rsidR="00FB2A3A" w:rsidRDefault="00FB2A3A" w:rsidP="0059750A">
      <w:pPr>
        <w:spacing w:line="240" w:lineRule="auto"/>
        <w:rPr>
          <w:rFonts w:ascii="Times New Roman" w:hAnsi="Times New Roman" w:cs="Times New Roman"/>
          <w:i/>
        </w:rPr>
      </w:pPr>
    </w:p>
    <w:p w14:paraId="6A5E85CB" w14:textId="77777777" w:rsidR="00FB2A3A" w:rsidRDefault="00FB2A3A" w:rsidP="0059750A">
      <w:pPr>
        <w:spacing w:line="240" w:lineRule="auto"/>
        <w:rPr>
          <w:rFonts w:ascii="Times New Roman" w:hAnsi="Times New Roman" w:cs="Times New Roman"/>
          <w:i/>
        </w:rPr>
      </w:pPr>
    </w:p>
    <w:p w14:paraId="6E2782A9" w14:textId="77777777" w:rsidR="00FB2A3A" w:rsidRDefault="00FB2A3A" w:rsidP="0059750A">
      <w:pPr>
        <w:spacing w:line="240" w:lineRule="auto"/>
        <w:rPr>
          <w:rFonts w:ascii="Times New Roman" w:hAnsi="Times New Roman" w:cs="Times New Roman"/>
          <w:i/>
        </w:rPr>
      </w:pPr>
    </w:p>
    <w:p w14:paraId="4CFC885D" w14:textId="77777777" w:rsidR="00FB2A3A" w:rsidRDefault="00FB2A3A" w:rsidP="0059750A">
      <w:pPr>
        <w:spacing w:line="240" w:lineRule="auto"/>
        <w:rPr>
          <w:rFonts w:ascii="Times New Roman" w:hAnsi="Times New Roman" w:cs="Times New Roman"/>
          <w:i/>
        </w:rPr>
      </w:pPr>
    </w:p>
    <w:p w14:paraId="4B38F835" w14:textId="77777777" w:rsidR="00FB2A3A" w:rsidRDefault="00FB2A3A" w:rsidP="0059750A">
      <w:pPr>
        <w:spacing w:line="240" w:lineRule="auto"/>
        <w:rPr>
          <w:rFonts w:ascii="Times New Roman" w:hAnsi="Times New Roman" w:cs="Times New Roman"/>
          <w:i/>
        </w:rPr>
      </w:pPr>
    </w:p>
    <w:p w14:paraId="2E1A26D3" w14:textId="77777777" w:rsidR="00FB2A3A" w:rsidRDefault="00FB2A3A" w:rsidP="0059750A">
      <w:pPr>
        <w:spacing w:line="240" w:lineRule="auto"/>
        <w:rPr>
          <w:rFonts w:ascii="Times New Roman" w:hAnsi="Times New Roman" w:cs="Times New Roman"/>
          <w:i/>
        </w:rPr>
      </w:pPr>
    </w:p>
    <w:p w14:paraId="6BCD428D" w14:textId="77777777" w:rsidR="00FB2A3A" w:rsidRDefault="00FB2A3A" w:rsidP="0059750A">
      <w:pPr>
        <w:spacing w:line="240" w:lineRule="auto"/>
        <w:rPr>
          <w:rFonts w:ascii="Times New Roman" w:hAnsi="Times New Roman" w:cs="Times New Roman"/>
          <w:i/>
        </w:rPr>
      </w:pPr>
    </w:p>
    <w:p w14:paraId="705AD83A" w14:textId="77777777" w:rsidR="00FB2A3A" w:rsidRPr="00046132" w:rsidRDefault="00FB2A3A" w:rsidP="0059750A">
      <w:pPr>
        <w:spacing w:line="240" w:lineRule="auto"/>
        <w:rPr>
          <w:rFonts w:ascii="Times New Roman" w:hAnsi="Times New Roman" w:cs="Times New Roman"/>
        </w:rPr>
      </w:pPr>
    </w:p>
    <w:p w14:paraId="711E99B1" w14:textId="77777777" w:rsidR="007249EE" w:rsidRPr="00046132" w:rsidRDefault="007249EE" w:rsidP="0059750A">
      <w:pPr>
        <w:keepNext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lastRenderedPageBreak/>
        <w:t>Supplementary Table S3. First-ranked-outcome sensitivity analyses for specialty-response coding</w:t>
      </w:r>
    </w:p>
    <w:tbl>
      <w:tblPr>
        <w:tblStyle w:val="TableGrid"/>
        <w:tblW w:w="9360" w:type="dxa"/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2020"/>
        <w:gridCol w:w="850"/>
        <w:gridCol w:w="2020"/>
        <w:gridCol w:w="850"/>
      </w:tblGrid>
      <w:tr w:rsidR="00E84D8C" w14:paraId="7ACDE872" w14:textId="77777777">
        <w:trPr>
          <w:cantSplit/>
          <w:tblHeader/>
        </w:trPr>
        <w:tc>
          <w:tcPr>
            <w:tcW w:w="3620" w:type="dxa"/>
            <w:vAlign w:val="center"/>
          </w:tcPr>
          <w:p w14:paraId="3DFB21F3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variable</w:t>
            </w:r>
          </w:p>
        </w:tc>
        <w:tc>
          <w:tcPr>
            <w:tcW w:w="2870" w:type="dxa"/>
            <w:gridSpan w:val="2"/>
            <w:vAlign w:val="center"/>
          </w:tcPr>
          <w:p w14:paraId="66522A7C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“Procedural” reclassified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n=131; 46 events</w:t>
            </w:r>
          </w:p>
        </w:tc>
        <w:tc>
          <w:tcPr>
            <w:tcW w:w="2870" w:type="dxa"/>
            <w:gridSpan w:val="2"/>
            <w:vAlign w:val="center"/>
          </w:tcPr>
          <w:p w14:paraId="7934D4A0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Unnamed preference excluded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n=127; 49 events</w:t>
            </w:r>
          </w:p>
        </w:tc>
      </w:tr>
      <w:tr w:rsidR="00E84D8C" w14:paraId="6221DF8D" w14:textId="77777777">
        <w:trPr>
          <w:cantSplit/>
          <w:tblHeader/>
        </w:trPr>
        <w:tc>
          <w:tcPr>
            <w:tcW w:w="3620" w:type="dxa"/>
            <w:vAlign w:val="center"/>
          </w:tcPr>
          <w:p w14:paraId="485B5406" w14:textId="77777777" w:rsidR="00E84D8C" w:rsidRDefault="00E84D8C">
            <w:pPr>
              <w:widowControl w:val="0"/>
              <w:spacing w:after="40" w:line="240" w:lineRule="auto"/>
              <w:jc w:val="center"/>
            </w:pPr>
          </w:p>
        </w:tc>
        <w:tc>
          <w:tcPr>
            <w:tcW w:w="2020" w:type="dxa"/>
            <w:vAlign w:val="center"/>
          </w:tcPr>
          <w:p w14:paraId="72B358B2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850" w:type="dxa"/>
            <w:vAlign w:val="center"/>
          </w:tcPr>
          <w:p w14:paraId="655EA1CB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2020" w:type="dxa"/>
            <w:vAlign w:val="center"/>
          </w:tcPr>
          <w:p w14:paraId="7A71CFC5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850" w:type="dxa"/>
            <w:vAlign w:val="center"/>
          </w:tcPr>
          <w:p w14:paraId="7B3CAF66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p-value</w:t>
            </w:r>
          </w:p>
        </w:tc>
      </w:tr>
      <w:tr w:rsidR="00E84D8C" w14:paraId="289EDE49" w14:textId="77777777">
        <w:trPr>
          <w:cantSplit/>
        </w:trPr>
        <w:tc>
          <w:tcPr>
            <w:tcW w:w="3620" w:type="dxa"/>
            <w:vAlign w:val="center"/>
          </w:tcPr>
          <w:p w14:paraId="488A1C08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Male gender</w:t>
            </w:r>
          </w:p>
        </w:tc>
        <w:tc>
          <w:tcPr>
            <w:tcW w:w="2020" w:type="dxa"/>
            <w:vAlign w:val="center"/>
          </w:tcPr>
          <w:p w14:paraId="756249C0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2.71 (1.23–6.16)</w:t>
            </w:r>
          </w:p>
        </w:tc>
        <w:tc>
          <w:tcPr>
            <w:tcW w:w="850" w:type="dxa"/>
            <w:vAlign w:val="center"/>
          </w:tcPr>
          <w:p w14:paraId="56B44BB3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2020" w:type="dxa"/>
            <w:vAlign w:val="center"/>
          </w:tcPr>
          <w:p w14:paraId="5DC90318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2.52 (1.16–5.61)</w:t>
            </w:r>
          </w:p>
        </w:tc>
        <w:tc>
          <w:tcPr>
            <w:tcW w:w="850" w:type="dxa"/>
            <w:vAlign w:val="center"/>
          </w:tcPr>
          <w:p w14:paraId="03888D3C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</w:t>
            </w:r>
          </w:p>
        </w:tc>
      </w:tr>
      <w:tr w:rsidR="00E84D8C" w14:paraId="56630092" w14:textId="77777777">
        <w:trPr>
          <w:cantSplit/>
        </w:trPr>
        <w:tc>
          <w:tcPr>
            <w:tcW w:w="3620" w:type="dxa"/>
            <w:vAlign w:val="center"/>
          </w:tcPr>
          <w:p w14:paraId="71C265CA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Hanoi/Ho Chi Minh City residence</w:t>
            </w:r>
          </w:p>
        </w:tc>
        <w:tc>
          <w:tcPr>
            <w:tcW w:w="2020" w:type="dxa"/>
            <w:vAlign w:val="center"/>
          </w:tcPr>
          <w:p w14:paraId="49C7FD54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 (0.66–6.77)</w:t>
            </w:r>
          </w:p>
        </w:tc>
        <w:tc>
          <w:tcPr>
            <w:tcW w:w="850" w:type="dxa"/>
            <w:vAlign w:val="center"/>
          </w:tcPr>
          <w:p w14:paraId="184E5E9A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2020" w:type="dxa"/>
            <w:vAlign w:val="center"/>
          </w:tcPr>
          <w:p w14:paraId="119000AE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 (0.44–3.65)</w:t>
            </w:r>
          </w:p>
        </w:tc>
        <w:tc>
          <w:tcPr>
            <w:tcW w:w="850" w:type="dxa"/>
            <w:vAlign w:val="center"/>
          </w:tcPr>
          <w:p w14:paraId="5C76D8AB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0.712</w:t>
            </w:r>
          </w:p>
        </w:tc>
      </w:tr>
      <w:tr w:rsidR="00E84D8C" w14:paraId="7DB0E762" w14:textId="77777777">
        <w:trPr>
          <w:cantSplit/>
        </w:trPr>
        <w:tc>
          <w:tcPr>
            <w:tcW w:w="3620" w:type="dxa"/>
            <w:vAlign w:val="center"/>
          </w:tcPr>
          <w:p w14:paraId="2F19C2D2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Cohort 2 vs Cohort 1</w:t>
            </w:r>
          </w:p>
        </w:tc>
        <w:tc>
          <w:tcPr>
            <w:tcW w:w="2020" w:type="dxa"/>
            <w:vAlign w:val="center"/>
          </w:tcPr>
          <w:p w14:paraId="0A53CDB5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 (0.14–1.14)</w:t>
            </w:r>
          </w:p>
        </w:tc>
        <w:tc>
          <w:tcPr>
            <w:tcW w:w="850" w:type="dxa"/>
            <w:vAlign w:val="center"/>
          </w:tcPr>
          <w:p w14:paraId="4C073CF2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2020" w:type="dxa"/>
            <w:vAlign w:val="center"/>
          </w:tcPr>
          <w:p w14:paraId="4CB9DF7D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 (0.15–1.18)</w:t>
            </w:r>
          </w:p>
        </w:tc>
        <w:tc>
          <w:tcPr>
            <w:tcW w:w="850" w:type="dxa"/>
            <w:vAlign w:val="center"/>
          </w:tcPr>
          <w:p w14:paraId="11BF9482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</w:tr>
      <w:tr w:rsidR="00E84D8C" w14:paraId="2C347BDF" w14:textId="77777777">
        <w:trPr>
          <w:cantSplit/>
        </w:trPr>
        <w:tc>
          <w:tcPr>
            <w:tcW w:w="3620" w:type="dxa"/>
            <w:vAlign w:val="center"/>
          </w:tcPr>
          <w:p w14:paraId="06A9A898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Cohort 3 vs Cohort 1</w:t>
            </w:r>
          </w:p>
        </w:tc>
        <w:tc>
          <w:tcPr>
            <w:tcW w:w="2020" w:type="dxa"/>
            <w:vAlign w:val="center"/>
          </w:tcPr>
          <w:p w14:paraId="35B58ACA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 (0.62–3.94)</w:t>
            </w:r>
          </w:p>
        </w:tc>
        <w:tc>
          <w:tcPr>
            <w:tcW w:w="850" w:type="dxa"/>
            <w:vAlign w:val="center"/>
          </w:tcPr>
          <w:p w14:paraId="109A2A5F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0.344</w:t>
            </w:r>
          </w:p>
        </w:tc>
        <w:tc>
          <w:tcPr>
            <w:tcW w:w="2020" w:type="dxa"/>
            <w:vAlign w:val="center"/>
          </w:tcPr>
          <w:p w14:paraId="055840D4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 (0.57–3.55)</w:t>
            </w:r>
          </w:p>
        </w:tc>
        <w:tc>
          <w:tcPr>
            <w:tcW w:w="850" w:type="dxa"/>
            <w:vAlign w:val="center"/>
          </w:tcPr>
          <w:p w14:paraId="25BBAEFA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0.454</w:t>
            </w:r>
          </w:p>
        </w:tc>
      </w:tr>
      <w:tr w:rsidR="00E84D8C" w14:paraId="13CAB8B7" w14:textId="77777777">
        <w:trPr>
          <w:cantSplit/>
        </w:trPr>
        <w:tc>
          <w:tcPr>
            <w:tcW w:w="3620" w:type="dxa"/>
            <w:vAlign w:val="center"/>
          </w:tcPr>
          <w:p w14:paraId="7480E5B0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Administrative/leadership-role rating, per 1-point increase</w:t>
            </w:r>
          </w:p>
        </w:tc>
        <w:tc>
          <w:tcPr>
            <w:tcW w:w="2020" w:type="dxa"/>
            <w:vAlign w:val="center"/>
          </w:tcPr>
          <w:p w14:paraId="0FF87C50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 (1.11–2.23)</w:t>
            </w:r>
          </w:p>
        </w:tc>
        <w:tc>
          <w:tcPr>
            <w:tcW w:w="850" w:type="dxa"/>
            <w:vAlign w:val="center"/>
          </w:tcPr>
          <w:p w14:paraId="4AC5C7C7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2020" w:type="dxa"/>
            <w:vAlign w:val="center"/>
          </w:tcPr>
          <w:p w14:paraId="208DF868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 (1.17–2.34)</w:t>
            </w:r>
          </w:p>
        </w:tc>
        <w:tc>
          <w:tcPr>
            <w:tcW w:w="850" w:type="dxa"/>
            <w:vAlign w:val="center"/>
          </w:tcPr>
          <w:p w14:paraId="017F82D4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E84D8C" w14:paraId="0EA01E6A" w14:textId="77777777">
        <w:trPr>
          <w:cantSplit/>
        </w:trPr>
        <w:tc>
          <w:tcPr>
            <w:tcW w:w="3620" w:type="dxa"/>
            <w:vAlign w:val="center"/>
          </w:tcPr>
          <w:p w14:paraId="631CF2B6" w14:textId="77777777" w:rsidR="00E84D8C" w:rsidRDefault="00C50A78">
            <w:pPr>
              <w:widowControl w:val="0"/>
              <w:spacing w:after="4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Research/teaching rating, per 1-point increase</w:t>
            </w:r>
          </w:p>
        </w:tc>
        <w:tc>
          <w:tcPr>
            <w:tcW w:w="2020" w:type="dxa"/>
            <w:vAlign w:val="center"/>
          </w:tcPr>
          <w:p w14:paraId="6898183A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 (0.52–1.09)</w:t>
            </w:r>
          </w:p>
        </w:tc>
        <w:tc>
          <w:tcPr>
            <w:tcW w:w="850" w:type="dxa"/>
            <w:vAlign w:val="center"/>
          </w:tcPr>
          <w:p w14:paraId="2DE66501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2020" w:type="dxa"/>
            <w:vAlign w:val="center"/>
          </w:tcPr>
          <w:p w14:paraId="7ABD9B78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 (0.51–1.07)</w:t>
            </w:r>
          </w:p>
        </w:tc>
        <w:tc>
          <w:tcPr>
            <w:tcW w:w="850" w:type="dxa"/>
            <w:vAlign w:val="center"/>
          </w:tcPr>
          <w:p w14:paraId="57024F11" w14:textId="77777777" w:rsidR="00E84D8C" w:rsidRDefault="00C50A78">
            <w:pPr>
              <w:widowControl w:val="0"/>
              <w:spacing w:after="4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0.117</w:t>
            </w:r>
          </w:p>
        </w:tc>
      </w:tr>
    </w:tbl>
    <w:p w14:paraId="2FBB76D1" w14:textId="62F6A043" w:rsidR="007249EE" w:rsidRPr="00046132" w:rsidRDefault="007249EE" w:rsidP="0059750A">
      <w:pPr>
        <w:spacing w:line="240" w:lineRule="auto"/>
        <w:rPr>
          <w:rFonts w:ascii="Times New Roman" w:hAnsi="Times New Roman" w:cs="Times New Roman"/>
        </w:rPr>
      </w:pPr>
      <w:r w:rsidRPr="00046132">
        <w:rPr>
          <w:rFonts w:ascii="Times New Roman" w:hAnsi="Times New Roman" w:cs="Times New Roman"/>
          <w:i/>
        </w:rPr>
        <w:t xml:space="preserve">Note: The first model reclassifies three “procedural” first-ranked responses as non-events (n=131). The second excludes four unnamed first-ranked responses (“non-procedural,” “research,” “undecided,” and “I don’t know yet”; n=127). Reference categories are female gender, other/undisclosed residence, and Cohort 1. Per-point ORs for the study-specific perceived-influence items assume a constant change in log odds; they do not establish a linear gradient or dose-response relationship. CIs are </w:t>
      </w:r>
      <w:proofErr w:type="gramStart"/>
      <w:r w:rsidRPr="00046132">
        <w:rPr>
          <w:rFonts w:ascii="Times New Roman" w:hAnsi="Times New Roman" w:cs="Times New Roman"/>
          <w:i/>
        </w:rPr>
        <w:t>penalized</w:t>
      </w:r>
      <w:proofErr w:type="gramEnd"/>
      <w:r w:rsidRPr="00046132">
        <w:rPr>
          <w:rFonts w:ascii="Times New Roman" w:hAnsi="Times New Roman" w:cs="Times New Roman"/>
          <w:i/>
        </w:rPr>
        <w:t xml:space="preserve"> profile-likelihood 95% CIs; p-values are nominal penalized likelihood-ratio p-values. Neither </w:t>
      </w:r>
      <w:proofErr w:type="gramStart"/>
      <w:r w:rsidRPr="00046132">
        <w:rPr>
          <w:rFonts w:ascii="Times New Roman" w:hAnsi="Times New Roman" w:cs="Times New Roman"/>
          <w:i/>
        </w:rPr>
        <w:t>accounts</w:t>
      </w:r>
      <w:proofErr w:type="gramEnd"/>
      <w:r w:rsidRPr="00046132">
        <w:rPr>
          <w:rFonts w:ascii="Times New Roman" w:hAnsi="Times New Roman" w:cs="Times New Roman"/>
          <w:i/>
        </w:rPr>
        <w:t xml:space="preserve"> for data-informed selection or multiple model specifications.</w:t>
      </w:r>
    </w:p>
    <w:sectPr w:rsidR="007249EE" w:rsidRPr="00046132" w:rsidSect="007249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EE"/>
    <w:rsid w:val="00041982"/>
    <w:rsid w:val="003325CF"/>
    <w:rsid w:val="00332FAE"/>
    <w:rsid w:val="003B5F49"/>
    <w:rsid w:val="0059750A"/>
    <w:rsid w:val="005F5AA4"/>
    <w:rsid w:val="00716CAD"/>
    <w:rsid w:val="007249EE"/>
    <w:rsid w:val="009D7CD9"/>
    <w:rsid w:val="00AC5ED7"/>
    <w:rsid w:val="00BE5023"/>
    <w:rsid w:val="00BF684D"/>
    <w:rsid w:val="00C007FF"/>
    <w:rsid w:val="00C96E9A"/>
    <w:rsid w:val="00D76CA1"/>
    <w:rsid w:val="00E07422"/>
    <w:rsid w:val="00E84D8C"/>
    <w:rsid w:val="00F47474"/>
    <w:rsid w:val="00FB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97DE4"/>
  <w15:chartTrackingRefBased/>
  <w15:docId w15:val="{8691F364-3DCF-4AE5-91C5-F59BCA8C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9E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49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9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9E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9E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9E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9E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9E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9E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9E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9E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9E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9EE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9EE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9EE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9EE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9EE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9EE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9EE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24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7249E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9E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7249EE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249E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7249EE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249EE"/>
    <w:pPr>
      <w:spacing w:line="278" w:lineRule="auto"/>
      <w:ind w:left="720"/>
      <w:contextualSpacing/>
    </w:pPr>
    <w:rPr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724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9EE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249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49E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Quang Thanh Nguyen</dc:creator>
  <cp:lastModifiedBy>Quang Nguyen</cp:lastModifiedBy>
  <cp:revision>2</cp:revision>
  <dcterms:created xsi:type="dcterms:W3CDTF">2026-10-09T01:34:00Z</dcterms:created>
  <dcterms:modified xsi:type="dcterms:W3CDTF">2026-10-09T01:34:00Z</dcterms:modified>
</cp:coreProperties>
</file>