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FE5" w:rsidRPr="00971A72" w:rsidRDefault="00666FE5" w:rsidP="00666FE5">
      <w:pPr>
        <w:jc w:val="both"/>
        <w:rPr>
          <w:b/>
          <w:bCs/>
          <w:color w:val="000000" w:themeColor="text1"/>
          <w:lang w:val="en-US"/>
        </w:rPr>
      </w:pPr>
      <w:r w:rsidRPr="00971A72">
        <w:rPr>
          <w:b/>
          <w:bCs/>
          <w:color w:val="000000" w:themeColor="text1"/>
          <w:lang w:val="en-US"/>
        </w:rPr>
        <w:t>Supplementary Files</w:t>
      </w:r>
    </w:p>
    <w:p w:rsidR="00666FE5" w:rsidRPr="00971A72" w:rsidRDefault="00666FE5" w:rsidP="00666FE5">
      <w:pPr>
        <w:jc w:val="both"/>
        <w:rPr>
          <w:color w:val="000000" w:themeColor="text1"/>
          <w:highlight w:val="yellow"/>
          <w:lang w:val="en-US"/>
        </w:rPr>
      </w:pPr>
    </w:p>
    <w:p w:rsidR="00666FE5" w:rsidRPr="00971A72" w:rsidRDefault="00666FE5" w:rsidP="00666FE5">
      <w:pPr>
        <w:rPr>
          <w:color w:val="000000" w:themeColor="text1"/>
          <w:sz w:val="16"/>
          <w:szCs w:val="16"/>
          <w:vertAlign w:val="superscript"/>
          <w:lang w:val="en-US"/>
        </w:rPr>
      </w:pPr>
    </w:p>
    <w:tbl>
      <w:tblPr>
        <w:tblStyle w:val="Rastertabel5donker-Accent51"/>
        <w:tblW w:w="0" w:type="auto"/>
        <w:tblLook w:val="04A0" w:firstRow="1" w:lastRow="0" w:firstColumn="1" w:lastColumn="0" w:noHBand="0" w:noVBand="1"/>
      </w:tblPr>
      <w:tblGrid>
        <w:gridCol w:w="3155"/>
        <w:gridCol w:w="3077"/>
        <w:gridCol w:w="2824"/>
      </w:tblGrid>
      <w:tr w:rsidR="00666FE5" w:rsidRPr="00971A72" w:rsidTr="002B43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gridSpan w:val="3"/>
            <w:shd w:val="clear" w:color="auto" w:fill="4472C4" w:themeFill="accent1"/>
            <w:vAlign w:val="center"/>
          </w:tcPr>
          <w:p w:rsidR="00666FE5" w:rsidRPr="00971A72" w:rsidRDefault="00666FE5" w:rsidP="002B43D1">
            <w:pPr>
              <w:autoSpaceDE w:val="0"/>
              <w:autoSpaceDN w:val="0"/>
              <w:adjustRightInd w:val="0"/>
              <w:spacing w:line="276" w:lineRule="auto"/>
              <w:jc w:val="both"/>
              <w:rPr>
                <w:rFonts w:cstheme="minorHAnsi"/>
                <w:b w:val="0"/>
                <w:sz w:val="20"/>
                <w:szCs w:val="20"/>
                <w:lang w:val="en-US"/>
              </w:rPr>
            </w:pPr>
            <w:r w:rsidRPr="00971A72">
              <w:rPr>
                <w:rFonts w:cstheme="minorHAnsi"/>
                <w:sz w:val="20"/>
                <w:szCs w:val="20"/>
                <w:lang w:val="en-US"/>
              </w:rPr>
              <w:t xml:space="preserve">Overview of different types of IRB reactions </w:t>
            </w:r>
          </w:p>
        </w:tc>
      </w:tr>
      <w:tr w:rsidR="00666FE5" w:rsidRPr="00971A72" w:rsidTr="002B4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5" w:type="dxa"/>
            <w:shd w:val="clear" w:color="auto" w:fill="4472C4" w:themeFill="accent1"/>
            <w:vAlign w:val="center"/>
          </w:tcPr>
          <w:p w:rsidR="00666FE5" w:rsidRPr="00971A72" w:rsidRDefault="00666FE5" w:rsidP="002B43D1">
            <w:pPr>
              <w:spacing w:line="360" w:lineRule="auto"/>
              <w:rPr>
                <w:rFonts w:cstheme="minorHAnsi"/>
                <w:sz w:val="20"/>
                <w:szCs w:val="20"/>
                <w:lang w:val="en-US"/>
              </w:rPr>
            </w:pPr>
            <w:r w:rsidRPr="00971A72">
              <w:rPr>
                <w:rFonts w:cstheme="minorHAnsi"/>
                <w:sz w:val="20"/>
                <w:szCs w:val="20"/>
                <w:lang w:val="en-US"/>
              </w:rPr>
              <w:t>Types of feedback</w:t>
            </w:r>
          </w:p>
        </w:tc>
        <w:tc>
          <w:tcPr>
            <w:tcW w:w="3077" w:type="dxa"/>
            <w:shd w:val="clear" w:color="auto" w:fill="4472C4"/>
          </w:tcPr>
          <w:p w:rsidR="00666FE5" w:rsidRPr="00971A72" w:rsidRDefault="00666FE5" w:rsidP="002B43D1">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color w:val="FFFFFF" w:themeColor="background1"/>
                <w:sz w:val="18"/>
                <w:szCs w:val="18"/>
                <w:lang w:val="en-US"/>
              </w:rPr>
            </w:pPr>
            <w:r w:rsidRPr="00971A72">
              <w:rPr>
                <w:rFonts w:cstheme="minorHAnsi"/>
                <w:color w:val="FFFFFF" w:themeColor="background1"/>
                <w:sz w:val="18"/>
                <w:szCs w:val="18"/>
                <w:lang w:val="en-US"/>
              </w:rPr>
              <w:t>First review round</w:t>
            </w:r>
          </w:p>
          <w:p w:rsidR="00666FE5" w:rsidRPr="00971A72" w:rsidRDefault="00666FE5" w:rsidP="002B43D1">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color w:val="FFFFFF" w:themeColor="background1"/>
                <w:sz w:val="14"/>
                <w:szCs w:val="14"/>
                <w:lang w:val="en-US"/>
              </w:rPr>
            </w:pPr>
            <w:r w:rsidRPr="00971A72">
              <w:rPr>
                <w:rFonts w:cstheme="minorHAnsi"/>
                <w:color w:val="FFFFFF" w:themeColor="background1"/>
                <w:sz w:val="14"/>
                <w:szCs w:val="14"/>
                <w:lang w:val="en-US"/>
              </w:rPr>
              <w:t>N =10 (%)</w:t>
            </w:r>
          </w:p>
        </w:tc>
        <w:tc>
          <w:tcPr>
            <w:tcW w:w="2824" w:type="dxa"/>
            <w:shd w:val="clear" w:color="auto" w:fill="4472C4"/>
          </w:tcPr>
          <w:p w:rsidR="00666FE5" w:rsidRPr="00971A72" w:rsidRDefault="00666FE5" w:rsidP="002B43D1">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color w:val="FFFFFF" w:themeColor="background1"/>
                <w:sz w:val="18"/>
                <w:szCs w:val="18"/>
                <w:lang w:val="en-US"/>
              </w:rPr>
            </w:pPr>
            <w:r w:rsidRPr="00971A72">
              <w:rPr>
                <w:rFonts w:cstheme="minorHAnsi"/>
                <w:color w:val="FFFFFF" w:themeColor="background1"/>
                <w:sz w:val="18"/>
                <w:szCs w:val="18"/>
                <w:lang w:val="en-US"/>
              </w:rPr>
              <w:t>Second review round</w:t>
            </w:r>
          </w:p>
          <w:p w:rsidR="00666FE5" w:rsidRPr="00971A72" w:rsidRDefault="00666FE5" w:rsidP="002B43D1">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color w:val="FFFFFF" w:themeColor="background1"/>
                <w:sz w:val="14"/>
                <w:szCs w:val="14"/>
                <w:lang w:val="en-US"/>
              </w:rPr>
            </w:pPr>
            <w:r w:rsidRPr="00971A72">
              <w:rPr>
                <w:rFonts w:cstheme="minorHAnsi"/>
                <w:color w:val="FFFFFF" w:themeColor="background1"/>
                <w:sz w:val="14"/>
                <w:szCs w:val="14"/>
                <w:lang w:val="en-US"/>
              </w:rPr>
              <w:t>N = 5 (%)</w:t>
            </w:r>
          </w:p>
        </w:tc>
      </w:tr>
      <w:tr w:rsidR="00666FE5" w:rsidRPr="00971A72" w:rsidTr="002B43D1">
        <w:tc>
          <w:tcPr>
            <w:cnfStyle w:val="001000000000" w:firstRow="0" w:lastRow="0" w:firstColumn="1" w:lastColumn="0" w:oddVBand="0" w:evenVBand="0" w:oddHBand="0" w:evenHBand="0" w:firstRowFirstColumn="0" w:firstRowLastColumn="0" w:lastRowFirstColumn="0" w:lastRowLastColumn="0"/>
            <w:tcW w:w="3155" w:type="dxa"/>
            <w:shd w:val="clear" w:color="auto" w:fill="4472C4" w:themeFill="accent1"/>
            <w:vAlign w:val="center"/>
          </w:tcPr>
          <w:p w:rsidR="00666FE5" w:rsidRPr="00971A72" w:rsidRDefault="00666FE5" w:rsidP="002B43D1">
            <w:pPr>
              <w:spacing w:line="360" w:lineRule="auto"/>
              <w:rPr>
                <w:rFonts w:cstheme="minorHAnsi"/>
                <w:b w:val="0"/>
                <w:bCs w:val="0"/>
                <w:sz w:val="18"/>
                <w:szCs w:val="18"/>
                <w:lang w:val="en-US"/>
              </w:rPr>
            </w:pPr>
            <w:r w:rsidRPr="00971A72">
              <w:rPr>
                <w:rFonts w:cstheme="minorHAnsi"/>
                <w:b w:val="0"/>
                <w:bCs w:val="0"/>
                <w:sz w:val="18"/>
                <w:szCs w:val="18"/>
                <w:lang w:val="en-US"/>
              </w:rPr>
              <w:t>Procedure</w:t>
            </w:r>
          </w:p>
        </w:tc>
        <w:tc>
          <w:tcPr>
            <w:tcW w:w="3077" w:type="dxa"/>
            <w:vAlign w:val="center"/>
          </w:tcPr>
          <w:p w:rsidR="00666FE5" w:rsidRPr="00971A72" w:rsidRDefault="00666FE5" w:rsidP="002B43D1">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971A72">
              <w:rPr>
                <w:rFonts w:cstheme="minorHAnsi"/>
                <w:sz w:val="18"/>
                <w:szCs w:val="18"/>
                <w:lang w:val="en-US"/>
              </w:rPr>
              <w:t>8 (80)</w:t>
            </w:r>
          </w:p>
        </w:tc>
        <w:tc>
          <w:tcPr>
            <w:tcW w:w="2824" w:type="dxa"/>
            <w:vAlign w:val="center"/>
          </w:tcPr>
          <w:p w:rsidR="00666FE5" w:rsidRPr="00971A72" w:rsidRDefault="00666FE5" w:rsidP="002B43D1">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971A72">
              <w:rPr>
                <w:rFonts w:cstheme="minorHAnsi"/>
                <w:sz w:val="18"/>
                <w:szCs w:val="18"/>
                <w:lang w:val="en-US"/>
              </w:rPr>
              <w:t>2 (40)</w:t>
            </w:r>
          </w:p>
        </w:tc>
      </w:tr>
      <w:tr w:rsidR="00666FE5" w:rsidRPr="00971A72" w:rsidTr="002B4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5" w:type="dxa"/>
            <w:shd w:val="clear" w:color="auto" w:fill="4472C4" w:themeFill="accent1"/>
          </w:tcPr>
          <w:p w:rsidR="00666FE5" w:rsidRPr="00971A72" w:rsidRDefault="00666FE5" w:rsidP="002B43D1">
            <w:pPr>
              <w:spacing w:line="360" w:lineRule="auto"/>
              <w:rPr>
                <w:rFonts w:cstheme="minorHAnsi"/>
                <w:b w:val="0"/>
                <w:bCs w:val="0"/>
                <w:sz w:val="18"/>
                <w:szCs w:val="18"/>
                <w:lang w:val="en-US"/>
              </w:rPr>
            </w:pPr>
            <w:r w:rsidRPr="00971A72">
              <w:rPr>
                <w:rFonts w:cstheme="minorHAnsi"/>
                <w:b w:val="0"/>
                <w:bCs w:val="0"/>
                <w:sz w:val="18"/>
                <w:szCs w:val="18"/>
                <w:lang w:val="en-US"/>
              </w:rPr>
              <w:t>Blood collection and biomarkers</w:t>
            </w:r>
          </w:p>
        </w:tc>
        <w:tc>
          <w:tcPr>
            <w:tcW w:w="3077" w:type="dxa"/>
            <w:vAlign w:val="center"/>
          </w:tcPr>
          <w:p w:rsidR="00666FE5" w:rsidRPr="00971A72" w:rsidRDefault="00666FE5" w:rsidP="002B43D1">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971A72">
              <w:rPr>
                <w:rFonts w:cstheme="minorHAnsi"/>
                <w:sz w:val="18"/>
                <w:szCs w:val="18"/>
                <w:lang w:val="en-US"/>
              </w:rPr>
              <w:t>5 (50)</w:t>
            </w:r>
          </w:p>
        </w:tc>
        <w:tc>
          <w:tcPr>
            <w:tcW w:w="2824" w:type="dxa"/>
            <w:vAlign w:val="center"/>
          </w:tcPr>
          <w:p w:rsidR="00666FE5" w:rsidRPr="00971A72" w:rsidRDefault="00666FE5" w:rsidP="002B43D1">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971A72">
              <w:rPr>
                <w:rFonts w:cstheme="minorHAnsi"/>
                <w:sz w:val="18"/>
                <w:szCs w:val="18"/>
                <w:lang w:val="en-US"/>
              </w:rPr>
              <w:t>1 (20)</w:t>
            </w:r>
          </w:p>
        </w:tc>
      </w:tr>
      <w:tr w:rsidR="00666FE5" w:rsidRPr="00971A72" w:rsidTr="002B43D1">
        <w:tc>
          <w:tcPr>
            <w:cnfStyle w:val="001000000000" w:firstRow="0" w:lastRow="0" w:firstColumn="1" w:lastColumn="0" w:oddVBand="0" w:evenVBand="0" w:oddHBand="0" w:evenHBand="0" w:firstRowFirstColumn="0" w:firstRowLastColumn="0" w:lastRowFirstColumn="0" w:lastRowLastColumn="0"/>
            <w:tcW w:w="3155" w:type="dxa"/>
            <w:shd w:val="clear" w:color="auto" w:fill="4472C4" w:themeFill="accent1"/>
            <w:vAlign w:val="center"/>
          </w:tcPr>
          <w:p w:rsidR="00666FE5" w:rsidRPr="00971A72" w:rsidRDefault="00666FE5" w:rsidP="002B43D1">
            <w:pPr>
              <w:spacing w:line="360" w:lineRule="auto"/>
              <w:rPr>
                <w:rFonts w:cstheme="minorHAnsi"/>
                <w:b w:val="0"/>
                <w:bCs w:val="0"/>
                <w:sz w:val="18"/>
                <w:szCs w:val="18"/>
                <w:lang w:val="en-US"/>
              </w:rPr>
            </w:pPr>
            <w:r w:rsidRPr="00971A72">
              <w:rPr>
                <w:rFonts w:cstheme="minorHAnsi"/>
                <w:b w:val="0"/>
                <w:bCs w:val="0"/>
                <w:sz w:val="18"/>
                <w:szCs w:val="18"/>
                <w:lang w:val="en-US"/>
              </w:rPr>
              <w:t>MRI</w:t>
            </w:r>
          </w:p>
        </w:tc>
        <w:tc>
          <w:tcPr>
            <w:tcW w:w="3077" w:type="dxa"/>
            <w:vAlign w:val="center"/>
          </w:tcPr>
          <w:p w:rsidR="00666FE5" w:rsidRPr="00971A72" w:rsidRDefault="00666FE5" w:rsidP="002B43D1">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971A72">
              <w:rPr>
                <w:rFonts w:cstheme="minorHAnsi"/>
                <w:sz w:val="18"/>
                <w:szCs w:val="18"/>
                <w:lang w:val="en-US"/>
              </w:rPr>
              <w:t>5 (50)</w:t>
            </w:r>
          </w:p>
        </w:tc>
        <w:tc>
          <w:tcPr>
            <w:tcW w:w="2824" w:type="dxa"/>
            <w:vAlign w:val="center"/>
          </w:tcPr>
          <w:p w:rsidR="00666FE5" w:rsidRPr="00971A72" w:rsidRDefault="00666FE5" w:rsidP="002B43D1">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971A72">
              <w:rPr>
                <w:rFonts w:cstheme="minorHAnsi"/>
                <w:sz w:val="18"/>
                <w:szCs w:val="18"/>
                <w:lang w:val="en-US"/>
              </w:rPr>
              <w:t>0 (0)</w:t>
            </w:r>
          </w:p>
        </w:tc>
      </w:tr>
      <w:tr w:rsidR="00666FE5" w:rsidRPr="00971A72" w:rsidTr="002B43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5" w:type="dxa"/>
            <w:shd w:val="clear" w:color="auto" w:fill="4472C4" w:themeFill="accent1"/>
            <w:vAlign w:val="center"/>
          </w:tcPr>
          <w:p w:rsidR="00666FE5" w:rsidRPr="00971A72" w:rsidRDefault="00666FE5" w:rsidP="002B43D1">
            <w:pPr>
              <w:spacing w:line="360" w:lineRule="auto"/>
              <w:rPr>
                <w:rFonts w:cstheme="minorHAnsi"/>
                <w:b w:val="0"/>
                <w:bCs w:val="0"/>
                <w:sz w:val="18"/>
                <w:szCs w:val="18"/>
                <w:lang w:val="en-US"/>
              </w:rPr>
            </w:pPr>
            <w:r w:rsidRPr="00971A72">
              <w:rPr>
                <w:rFonts w:cstheme="minorHAnsi"/>
                <w:b w:val="0"/>
                <w:bCs w:val="0"/>
                <w:sz w:val="18"/>
                <w:szCs w:val="18"/>
                <w:lang w:val="en-US"/>
              </w:rPr>
              <w:t>Privacy and data security</w:t>
            </w:r>
          </w:p>
        </w:tc>
        <w:tc>
          <w:tcPr>
            <w:tcW w:w="3077" w:type="dxa"/>
            <w:vAlign w:val="center"/>
          </w:tcPr>
          <w:p w:rsidR="00666FE5" w:rsidRPr="00971A72" w:rsidRDefault="00666FE5" w:rsidP="002B43D1">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971A72">
              <w:rPr>
                <w:rFonts w:cstheme="minorHAnsi"/>
                <w:sz w:val="18"/>
                <w:szCs w:val="18"/>
                <w:lang w:val="en-US"/>
              </w:rPr>
              <w:t>4 (40)</w:t>
            </w:r>
          </w:p>
        </w:tc>
        <w:tc>
          <w:tcPr>
            <w:tcW w:w="2824" w:type="dxa"/>
            <w:vAlign w:val="center"/>
          </w:tcPr>
          <w:p w:rsidR="00666FE5" w:rsidRPr="00971A72" w:rsidRDefault="00666FE5" w:rsidP="002B43D1">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971A72">
              <w:rPr>
                <w:rFonts w:cstheme="minorHAnsi"/>
                <w:sz w:val="18"/>
                <w:szCs w:val="18"/>
                <w:lang w:val="en-US"/>
              </w:rPr>
              <w:t>0 (0)</w:t>
            </w:r>
          </w:p>
        </w:tc>
      </w:tr>
      <w:tr w:rsidR="00666FE5" w:rsidRPr="00971A72" w:rsidTr="002B43D1">
        <w:tc>
          <w:tcPr>
            <w:cnfStyle w:val="001000000000" w:firstRow="0" w:lastRow="0" w:firstColumn="1" w:lastColumn="0" w:oddVBand="0" w:evenVBand="0" w:oddHBand="0" w:evenHBand="0" w:firstRowFirstColumn="0" w:firstRowLastColumn="0" w:lastRowFirstColumn="0" w:lastRowLastColumn="0"/>
            <w:tcW w:w="3155" w:type="dxa"/>
            <w:shd w:val="clear" w:color="auto" w:fill="4472C4" w:themeFill="accent1"/>
            <w:vAlign w:val="center"/>
          </w:tcPr>
          <w:p w:rsidR="00666FE5" w:rsidRPr="00971A72" w:rsidRDefault="00666FE5" w:rsidP="002B43D1">
            <w:pPr>
              <w:spacing w:line="360" w:lineRule="auto"/>
              <w:rPr>
                <w:rFonts w:cstheme="minorHAnsi"/>
                <w:b w:val="0"/>
                <w:bCs w:val="0"/>
                <w:sz w:val="18"/>
                <w:szCs w:val="18"/>
                <w:lang w:val="en-US"/>
              </w:rPr>
            </w:pPr>
            <w:r w:rsidRPr="00971A72">
              <w:rPr>
                <w:rFonts w:cstheme="minorHAnsi"/>
                <w:b w:val="0"/>
                <w:bCs w:val="0"/>
                <w:sz w:val="18"/>
                <w:szCs w:val="18"/>
                <w:lang w:val="en-US"/>
              </w:rPr>
              <w:t>Other or unknown</w:t>
            </w:r>
          </w:p>
        </w:tc>
        <w:tc>
          <w:tcPr>
            <w:tcW w:w="3077" w:type="dxa"/>
            <w:vAlign w:val="center"/>
          </w:tcPr>
          <w:p w:rsidR="00666FE5" w:rsidRPr="00971A72" w:rsidRDefault="00666FE5" w:rsidP="002B43D1">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971A72">
              <w:rPr>
                <w:rFonts w:cstheme="minorHAnsi"/>
                <w:sz w:val="18"/>
                <w:szCs w:val="18"/>
                <w:lang w:val="en-US"/>
              </w:rPr>
              <w:t>1 (10)</w:t>
            </w:r>
          </w:p>
        </w:tc>
        <w:tc>
          <w:tcPr>
            <w:tcW w:w="2824" w:type="dxa"/>
            <w:vAlign w:val="center"/>
          </w:tcPr>
          <w:p w:rsidR="00666FE5" w:rsidRPr="00971A72" w:rsidRDefault="00666FE5" w:rsidP="002B43D1">
            <w:pPr>
              <w:spacing w:line="36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971A72">
              <w:rPr>
                <w:rFonts w:cstheme="minorHAnsi"/>
                <w:sz w:val="18"/>
                <w:szCs w:val="18"/>
                <w:lang w:val="en-US"/>
              </w:rPr>
              <w:t>2 (40)</w:t>
            </w:r>
          </w:p>
        </w:tc>
      </w:tr>
    </w:tbl>
    <w:p w:rsidR="00666FE5" w:rsidRPr="00971A72" w:rsidRDefault="00666FE5" w:rsidP="00666FE5">
      <w:pPr>
        <w:jc w:val="both"/>
        <w:rPr>
          <w:color w:val="000000" w:themeColor="text1"/>
          <w:highlight w:val="yellow"/>
          <w:lang w:val="en-US"/>
        </w:rPr>
      </w:pPr>
    </w:p>
    <w:tbl>
      <w:tblPr>
        <w:tblStyle w:val="Rastertabel5donker-Accent51"/>
        <w:tblW w:w="0" w:type="auto"/>
        <w:tblLook w:val="04A0" w:firstRow="1" w:lastRow="0" w:firstColumn="1" w:lastColumn="0" w:noHBand="0" w:noVBand="1"/>
      </w:tblPr>
      <w:tblGrid>
        <w:gridCol w:w="1696"/>
        <w:gridCol w:w="7360"/>
      </w:tblGrid>
      <w:tr w:rsidR="00666FE5" w:rsidRPr="00971A72" w:rsidTr="00A823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gridSpan w:val="2"/>
            <w:shd w:val="clear" w:color="auto" w:fill="4472C4" w:themeFill="accent1"/>
            <w:vAlign w:val="center"/>
          </w:tcPr>
          <w:p w:rsidR="00666FE5" w:rsidRPr="00971A72" w:rsidRDefault="00666FE5" w:rsidP="00A8234A">
            <w:pPr>
              <w:autoSpaceDE w:val="0"/>
              <w:autoSpaceDN w:val="0"/>
              <w:adjustRightInd w:val="0"/>
              <w:spacing w:line="276" w:lineRule="auto"/>
              <w:jc w:val="both"/>
              <w:rPr>
                <w:rFonts w:cstheme="minorHAnsi"/>
                <w:b w:val="0"/>
                <w:sz w:val="20"/>
                <w:szCs w:val="20"/>
                <w:lang w:val="en-US"/>
              </w:rPr>
            </w:pPr>
            <w:bookmarkStart w:id="0" w:name="_GoBack"/>
            <w:r w:rsidRPr="00971A72">
              <w:rPr>
                <w:rFonts w:cstheme="minorHAnsi"/>
                <w:sz w:val="20"/>
                <w:szCs w:val="20"/>
                <w:lang w:val="en-US"/>
              </w:rPr>
              <w:t>Translated examples from</w:t>
            </w:r>
            <w:r w:rsidRPr="00971A72">
              <w:rPr>
                <w:rFonts w:eastAsia="Times New Roman" w:cstheme="minorHAnsi"/>
                <w:sz w:val="20"/>
                <w:szCs w:val="20"/>
                <w:lang w:val="en-US" w:eastAsia="nl-NL"/>
              </w:rPr>
              <w:t xml:space="preserve"> communication records</w:t>
            </w:r>
          </w:p>
        </w:tc>
      </w:tr>
      <w:tr w:rsidR="00666FE5" w:rsidRPr="00971A72" w:rsidTr="00A82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4472C4" w:themeFill="accent1"/>
            <w:vAlign w:val="center"/>
          </w:tcPr>
          <w:p w:rsidR="00666FE5" w:rsidRPr="00971A72" w:rsidRDefault="00666FE5" w:rsidP="00A8234A">
            <w:pPr>
              <w:autoSpaceDE w:val="0"/>
              <w:autoSpaceDN w:val="0"/>
              <w:adjustRightInd w:val="0"/>
              <w:spacing w:line="276" w:lineRule="auto"/>
              <w:jc w:val="center"/>
              <w:rPr>
                <w:rFonts w:cstheme="minorHAnsi"/>
                <w:b w:val="0"/>
                <w:bCs w:val="0"/>
                <w:sz w:val="18"/>
                <w:szCs w:val="18"/>
                <w:lang w:val="en-US"/>
              </w:rPr>
            </w:pPr>
            <w:r w:rsidRPr="00971A72">
              <w:rPr>
                <w:rFonts w:cstheme="minorHAnsi"/>
                <w:b w:val="0"/>
                <w:sz w:val="18"/>
                <w:szCs w:val="18"/>
                <w:lang w:val="en-US"/>
              </w:rPr>
              <w:t>Types of feedback</w:t>
            </w:r>
          </w:p>
        </w:tc>
        <w:tc>
          <w:tcPr>
            <w:tcW w:w="7360" w:type="dxa"/>
            <w:shd w:val="clear" w:color="auto" w:fill="4472C4" w:themeFill="accent1"/>
            <w:vAlign w:val="center"/>
          </w:tcPr>
          <w:p w:rsidR="00666FE5" w:rsidRPr="00971A72" w:rsidRDefault="00666FE5" w:rsidP="00A8234A">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971A72">
              <w:rPr>
                <w:rFonts w:cstheme="minorHAnsi"/>
                <w:color w:val="FFFFFF" w:themeColor="background1"/>
                <w:sz w:val="20"/>
                <w:szCs w:val="20"/>
                <w:lang w:val="en-US"/>
              </w:rPr>
              <w:t>Examples of feedback</w:t>
            </w:r>
          </w:p>
        </w:tc>
      </w:tr>
      <w:tr w:rsidR="00666FE5" w:rsidRPr="00971A72" w:rsidTr="00A8234A">
        <w:tc>
          <w:tcPr>
            <w:cnfStyle w:val="001000000000" w:firstRow="0" w:lastRow="0" w:firstColumn="1" w:lastColumn="0" w:oddVBand="0" w:evenVBand="0" w:oddHBand="0" w:evenHBand="0" w:firstRowFirstColumn="0" w:firstRowLastColumn="0" w:lastRowFirstColumn="0" w:lastRowLastColumn="0"/>
            <w:tcW w:w="1696" w:type="dxa"/>
            <w:vMerge w:val="restart"/>
            <w:shd w:val="clear" w:color="auto" w:fill="4472C4" w:themeFill="accent1"/>
            <w:vAlign w:val="center"/>
          </w:tcPr>
          <w:p w:rsidR="00666FE5" w:rsidRPr="00971A72" w:rsidRDefault="00666FE5" w:rsidP="00A8234A">
            <w:pPr>
              <w:spacing w:line="360" w:lineRule="auto"/>
              <w:rPr>
                <w:rFonts w:cstheme="minorHAnsi"/>
                <w:b w:val="0"/>
                <w:sz w:val="18"/>
                <w:szCs w:val="18"/>
                <w:lang w:val="en-US"/>
              </w:rPr>
            </w:pPr>
            <w:r w:rsidRPr="00971A72">
              <w:rPr>
                <w:rFonts w:cstheme="minorHAnsi"/>
                <w:b w:val="0"/>
                <w:sz w:val="18"/>
                <w:szCs w:val="18"/>
                <w:lang w:val="en-US"/>
              </w:rPr>
              <w:t>Procedure</w:t>
            </w:r>
          </w:p>
        </w:tc>
        <w:tc>
          <w:tcPr>
            <w:tcW w:w="7360" w:type="dxa"/>
          </w:tcPr>
          <w:p w:rsidR="00666FE5" w:rsidRPr="00971A72" w:rsidRDefault="00666FE5" w:rsidP="00A8234A">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en-US"/>
              </w:rPr>
            </w:pPr>
            <w:r w:rsidRPr="00971A72">
              <w:rPr>
                <w:rFonts w:cstheme="minorHAnsi"/>
                <w:color w:val="000000" w:themeColor="text1"/>
                <w:sz w:val="18"/>
                <w:szCs w:val="18"/>
                <w:lang w:val="en-US"/>
              </w:rPr>
              <w:t xml:space="preserve">IRB of country A: </w:t>
            </w:r>
          </w:p>
          <w:p w:rsidR="00666FE5" w:rsidRPr="00971A72" w:rsidRDefault="00666FE5" w:rsidP="00A8234A">
            <w:pPr>
              <w:spacing w:after="12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971A72">
              <w:rPr>
                <w:rFonts w:cstheme="minorHAnsi"/>
                <w:i/>
                <w:color w:val="000000" w:themeColor="text1"/>
                <w:sz w:val="18"/>
                <w:szCs w:val="18"/>
                <w:lang w:val="en-US"/>
              </w:rPr>
              <w:t xml:space="preserve">‘Indicate how much blood is collected at which time intervals, how many MRI examinations take place at which intervals, which tests and questionnaires must be completed how many times, the time required for study participation to be specified. The MRI examination should be described, if a contrast agent is used, this should be indicated, including the resulting risks. It is necessary to provide an overview of which patients' data are stored.”  </w:t>
            </w:r>
          </w:p>
        </w:tc>
      </w:tr>
      <w:tr w:rsidR="00666FE5" w:rsidRPr="00971A72" w:rsidTr="00A82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4472C4" w:themeFill="accent1"/>
            <w:vAlign w:val="center"/>
          </w:tcPr>
          <w:p w:rsidR="00666FE5" w:rsidRPr="00971A72" w:rsidRDefault="00666FE5" w:rsidP="00A8234A">
            <w:pPr>
              <w:spacing w:line="360" w:lineRule="auto"/>
              <w:rPr>
                <w:rFonts w:cstheme="minorHAnsi"/>
                <w:sz w:val="20"/>
                <w:szCs w:val="20"/>
                <w:lang w:val="en-US"/>
              </w:rPr>
            </w:pPr>
          </w:p>
        </w:tc>
        <w:tc>
          <w:tcPr>
            <w:tcW w:w="7360" w:type="dxa"/>
          </w:tcPr>
          <w:p w:rsidR="00666FE5" w:rsidRPr="00971A72" w:rsidRDefault="00666FE5" w:rsidP="00A8234A">
            <w:p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en-US"/>
              </w:rPr>
            </w:pPr>
            <w:r w:rsidRPr="00971A72">
              <w:rPr>
                <w:rFonts w:cstheme="minorHAnsi"/>
                <w:color w:val="000000" w:themeColor="text1"/>
                <w:sz w:val="18"/>
                <w:szCs w:val="18"/>
                <w:lang w:val="en-US"/>
              </w:rPr>
              <w:t>IRB of country B:</w:t>
            </w:r>
          </w:p>
          <w:p w:rsidR="00666FE5" w:rsidRPr="00971A72" w:rsidRDefault="00666FE5" w:rsidP="00A8234A">
            <w:pPr>
              <w:spacing w:after="120" w:line="276" w:lineRule="auto"/>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18"/>
                <w:szCs w:val="18"/>
                <w:lang w:val="en-US"/>
              </w:rPr>
            </w:pPr>
            <w:r w:rsidRPr="00971A72">
              <w:rPr>
                <w:rFonts w:cstheme="minorHAnsi"/>
                <w:i/>
                <w:color w:val="000000" w:themeColor="text1"/>
                <w:sz w:val="18"/>
                <w:szCs w:val="18"/>
                <w:lang w:val="en-US"/>
              </w:rPr>
              <w:t>‘The committee's reason for postponing final evaluation of the application was mainly directed at the planned inclusion of children, as well as some uncertainties related to the planned genetic studies and, if any, reuse of the material in other studies.’</w:t>
            </w:r>
          </w:p>
        </w:tc>
      </w:tr>
      <w:tr w:rsidR="00666FE5" w:rsidRPr="00971A72" w:rsidTr="00A8234A">
        <w:tc>
          <w:tcPr>
            <w:cnfStyle w:val="001000000000" w:firstRow="0" w:lastRow="0" w:firstColumn="1" w:lastColumn="0" w:oddVBand="0" w:evenVBand="0" w:oddHBand="0" w:evenHBand="0" w:firstRowFirstColumn="0" w:firstRowLastColumn="0" w:lastRowFirstColumn="0" w:lastRowLastColumn="0"/>
            <w:tcW w:w="1696" w:type="dxa"/>
            <w:vMerge w:val="restart"/>
            <w:shd w:val="clear" w:color="auto" w:fill="4472C4" w:themeFill="accent1"/>
            <w:vAlign w:val="center"/>
          </w:tcPr>
          <w:p w:rsidR="00666FE5" w:rsidRPr="00971A72" w:rsidRDefault="00666FE5" w:rsidP="00A8234A">
            <w:pPr>
              <w:spacing w:line="360" w:lineRule="auto"/>
              <w:rPr>
                <w:rFonts w:cstheme="minorHAnsi"/>
                <w:b w:val="0"/>
                <w:sz w:val="18"/>
                <w:szCs w:val="18"/>
                <w:lang w:val="en-US"/>
              </w:rPr>
            </w:pPr>
            <w:r w:rsidRPr="00971A72">
              <w:rPr>
                <w:rFonts w:cstheme="minorHAnsi"/>
                <w:b w:val="0"/>
                <w:sz w:val="18"/>
                <w:szCs w:val="18"/>
                <w:lang w:val="en-US"/>
              </w:rPr>
              <w:t>Blood collection and biomarkers</w:t>
            </w:r>
          </w:p>
        </w:tc>
        <w:tc>
          <w:tcPr>
            <w:tcW w:w="7360" w:type="dxa"/>
          </w:tcPr>
          <w:p w:rsidR="00666FE5" w:rsidRPr="00971A72" w:rsidRDefault="00666FE5" w:rsidP="00A8234A">
            <w:pPr>
              <w:tabs>
                <w:tab w:val="left" w:pos="1356"/>
              </w:tabs>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en-US"/>
              </w:rPr>
            </w:pPr>
            <w:r w:rsidRPr="00971A72">
              <w:rPr>
                <w:rFonts w:cstheme="minorHAnsi"/>
                <w:color w:val="000000" w:themeColor="text1"/>
                <w:sz w:val="18"/>
                <w:szCs w:val="18"/>
                <w:lang w:val="en-US"/>
              </w:rPr>
              <w:t xml:space="preserve">Researcher of country C </w:t>
            </w:r>
          </w:p>
          <w:p w:rsidR="00666FE5" w:rsidRPr="00971A72" w:rsidRDefault="00666FE5" w:rsidP="00A8234A">
            <w:pPr>
              <w:spacing w:after="12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971A72">
              <w:rPr>
                <w:rFonts w:cstheme="minorHAnsi"/>
                <w:i/>
                <w:color w:val="000000" w:themeColor="text1"/>
                <w:sz w:val="18"/>
                <w:szCs w:val="18"/>
                <w:lang w:val="en-US"/>
              </w:rPr>
              <w:t>‘In all patients, blood samples will be extracted through routine laboratory tests as well as standard clinical procedures. For the purposes of the study, all patients of all strata will obtain 19 ml extracted within 24 hours of the lesion, of which 9 ml will be for biomarker analysis and the other 10 ml will be for genetic analysis. The amount of blood that is extracted for the purposes of the research will not exceed 20 ml any day. The donation of sample does not imply any extra expense for the patient (or their legal representative).’</w:t>
            </w:r>
          </w:p>
        </w:tc>
      </w:tr>
      <w:tr w:rsidR="00666FE5" w:rsidRPr="00971A72" w:rsidTr="00A82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4472C4" w:themeFill="accent1"/>
            <w:vAlign w:val="center"/>
          </w:tcPr>
          <w:p w:rsidR="00666FE5" w:rsidRPr="00971A72" w:rsidRDefault="00666FE5" w:rsidP="00A8234A">
            <w:pPr>
              <w:spacing w:line="360" w:lineRule="auto"/>
              <w:rPr>
                <w:rFonts w:cstheme="minorHAnsi"/>
                <w:sz w:val="18"/>
                <w:szCs w:val="18"/>
                <w:lang w:val="en-US"/>
              </w:rPr>
            </w:pPr>
          </w:p>
        </w:tc>
        <w:tc>
          <w:tcPr>
            <w:tcW w:w="7360" w:type="dxa"/>
          </w:tcPr>
          <w:p w:rsidR="00666FE5" w:rsidRPr="00971A72" w:rsidRDefault="00666FE5" w:rsidP="00A8234A">
            <w:p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en-US"/>
              </w:rPr>
            </w:pPr>
            <w:r w:rsidRPr="00971A72">
              <w:rPr>
                <w:rFonts w:cstheme="minorHAnsi"/>
                <w:color w:val="000000" w:themeColor="text1"/>
                <w:sz w:val="18"/>
                <w:szCs w:val="18"/>
                <w:lang w:val="en-US"/>
              </w:rPr>
              <w:t>IRB of country D</w:t>
            </w:r>
          </w:p>
          <w:p w:rsidR="00666FE5" w:rsidRPr="00971A72" w:rsidRDefault="00666FE5" w:rsidP="00A8234A">
            <w:pPr>
              <w:spacing w:after="12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971A72">
              <w:rPr>
                <w:rFonts w:cstheme="minorHAnsi"/>
                <w:i/>
                <w:color w:val="000000" w:themeColor="text1"/>
                <w:sz w:val="18"/>
                <w:szCs w:val="18"/>
                <w:lang w:val="en-US"/>
              </w:rPr>
              <w:t>‘Without the written consent a blood sample for the study could be taken in conjunction with other blood samples taken for normal care. (…) The requirement makes it impossible to conduct an acute phase of blood samples from critically ill patients, which is not in the interests of the investigators. If this is not the case, it is not possible to initiate the study in full (including a blood sample) only after written consent.’</w:t>
            </w:r>
          </w:p>
        </w:tc>
      </w:tr>
      <w:tr w:rsidR="00666FE5" w:rsidRPr="00971A72" w:rsidTr="00A8234A">
        <w:tc>
          <w:tcPr>
            <w:cnfStyle w:val="001000000000" w:firstRow="0" w:lastRow="0" w:firstColumn="1" w:lastColumn="0" w:oddVBand="0" w:evenVBand="0" w:oddHBand="0" w:evenHBand="0" w:firstRowFirstColumn="0" w:firstRowLastColumn="0" w:lastRowFirstColumn="0" w:lastRowLastColumn="0"/>
            <w:tcW w:w="1696" w:type="dxa"/>
            <w:vMerge w:val="restart"/>
            <w:shd w:val="clear" w:color="auto" w:fill="4472C4" w:themeFill="accent1"/>
            <w:vAlign w:val="center"/>
          </w:tcPr>
          <w:p w:rsidR="00666FE5" w:rsidRPr="00971A72" w:rsidRDefault="00666FE5" w:rsidP="00A8234A">
            <w:pPr>
              <w:spacing w:line="360" w:lineRule="auto"/>
              <w:rPr>
                <w:rFonts w:cstheme="minorHAnsi"/>
                <w:b w:val="0"/>
                <w:sz w:val="18"/>
                <w:szCs w:val="18"/>
                <w:lang w:val="en-US"/>
              </w:rPr>
            </w:pPr>
            <w:r w:rsidRPr="00971A72">
              <w:rPr>
                <w:rFonts w:cstheme="minorHAnsi"/>
                <w:b w:val="0"/>
                <w:sz w:val="18"/>
                <w:szCs w:val="18"/>
                <w:lang w:val="en-US"/>
              </w:rPr>
              <w:t>MRI</w:t>
            </w:r>
          </w:p>
        </w:tc>
        <w:tc>
          <w:tcPr>
            <w:tcW w:w="7360" w:type="dxa"/>
          </w:tcPr>
          <w:p w:rsidR="00666FE5" w:rsidRPr="00971A72" w:rsidRDefault="00666FE5" w:rsidP="00A8234A">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en-US"/>
              </w:rPr>
            </w:pPr>
            <w:r w:rsidRPr="00971A72">
              <w:rPr>
                <w:rFonts w:cstheme="minorHAnsi"/>
                <w:color w:val="000000" w:themeColor="text1"/>
                <w:sz w:val="18"/>
                <w:szCs w:val="18"/>
                <w:lang w:val="en-US"/>
              </w:rPr>
              <w:t>IRB of country E</w:t>
            </w:r>
          </w:p>
          <w:p w:rsidR="00666FE5" w:rsidRPr="00971A72" w:rsidRDefault="00666FE5" w:rsidP="00A8234A">
            <w:pPr>
              <w:spacing w:after="12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971A72">
              <w:rPr>
                <w:rFonts w:cstheme="minorHAnsi"/>
                <w:i/>
                <w:color w:val="000000" w:themeColor="text1"/>
                <w:sz w:val="18"/>
                <w:szCs w:val="18"/>
                <w:lang w:val="en-US"/>
              </w:rPr>
              <w:t>‘The collection of data on children who are taking MRI, can be considered as a non-intervention registration / quality assurance study, as long as the MRI is part of the normal treatment practice. Taking MRI additional to normal care cannot be approved as far as sedation is needed because the sedation itself can cause disadvantages and risks to the children. (…) Parents has to be informed that their child cannot enter the trial if the child need sedation during the MRI. The protocol has to outline the reasons for the inclusion of such participants in the MRI. There has to be available participant information for this group.’</w:t>
            </w:r>
          </w:p>
        </w:tc>
      </w:tr>
      <w:tr w:rsidR="00666FE5" w:rsidRPr="00971A72" w:rsidTr="00A82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4472C4" w:themeFill="accent1"/>
            <w:vAlign w:val="center"/>
          </w:tcPr>
          <w:p w:rsidR="00666FE5" w:rsidRPr="00971A72" w:rsidRDefault="00666FE5" w:rsidP="00A8234A">
            <w:pPr>
              <w:spacing w:line="360" w:lineRule="auto"/>
              <w:rPr>
                <w:rFonts w:cstheme="minorHAnsi"/>
                <w:sz w:val="20"/>
                <w:szCs w:val="20"/>
                <w:lang w:val="en-US"/>
              </w:rPr>
            </w:pPr>
          </w:p>
        </w:tc>
        <w:tc>
          <w:tcPr>
            <w:tcW w:w="7360" w:type="dxa"/>
          </w:tcPr>
          <w:p w:rsidR="00666FE5" w:rsidRPr="00971A72" w:rsidRDefault="00666FE5" w:rsidP="00A8234A">
            <w:p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en-US"/>
              </w:rPr>
            </w:pPr>
            <w:r w:rsidRPr="00971A72">
              <w:rPr>
                <w:rFonts w:cstheme="minorHAnsi"/>
                <w:color w:val="000000" w:themeColor="text1"/>
                <w:sz w:val="18"/>
                <w:szCs w:val="18"/>
                <w:lang w:val="en-US"/>
              </w:rPr>
              <w:t>Researcher of country F</w:t>
            </w:r>
          </w:p>
          <w:p w:rsidR="00666FE5" w:rsidRPr="00971A72" w:rsidRDefault="00666FE5" w:rsidP="00A8234A">
            <w:pPr>
              <w:spacing w:after="12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971A72">
              <w:rPr>
                <w:rFonts w:cstheme="minorHAnsi"/>
                <w:i/>
                <w:color w:val="000000" w:themeColor="text1"/>
                <w:sz w:val="18"/>
                <w:szCs w:val="18"/>
                <w:lang w:val="en-US"/>
              </w:rPr>
              <w:t xml:space="preserve">‘About healthy research participant: Healthy volunteers are necessary to obtain reference values. Diffusion values are required for the advanced analysis of Diffusion Tensor Images. The total inclusion is limited to nine healthy volunteers. They are invited to undergo the MRI on a </w:t>
            </w:r>
            <w:r w:rsidRPr="00971A72">
              <w:rPr>
                <w:rFonts w:cstheme="minorHAnsi"/>
                <w:i/>
                <w:color w:val="000000" w:themeColor="text1"/>
                <w:sz w:val="18"/>
                <w:szCs w:val="18"/>
                <w:lang w:val="en-US"/>
              </w:rPr>
              <w:lastRenderedPageBreak/>
              <w:t>completely voluntary basis. The volunteers must be in the 18-65 age group. They will be informed in advance about the chance of discovering chance findings and can indicate whether they want to be informed of this or not.’</w:t>
            </w:r>
          </w:p>
        </w:tc>
      </w:tr>
      <w:tr w:rsidR="00666FE5" w:rsidRPr="00971A72" w:rsidTr="00A8234A">
        <w:tc>
          <w:tcPr>
            <w:cnfStyle w:val="001000000000" w:firstRow="0" w:lastRow="0" w:firstColumn="1" w:lastColumn="0" w:oddVBand="0" w:evenVBand="0" w:oddHBand="0" w:evenHBand="0" w:firstRowFirstColumn="0" w:firstRowLastColumn="0" w:lastRowFirstColumn="0" w:lastRowLastColumn="0"/>
            <w:tcW w:w="1696" w:type="dxa"/>
            <w:vMerge w:val="restart"/>
            <w:shd w:val="clear" w:color="auto" w:fill="4472C4" w:themeFill="accent1"/>
            <w:vAlign w:val="center"/>
          </w:tcPr>
          <w:p w:rsidR="00666FE5" w:rsidRPr="00971A72" w:rsidRDefault="00666FE5" w:rsidP="00A8234A">
            <w:pPr>
              <w:spacing w:line="360" w:lineRule="auto"/>
              <w:rPr>
                <w:rFonts w:cstheme="minorHAnsi"/>
                <w:b w:val="0"/>
                <w:sz w:val="18"/>
                <w:szCs w:val="18"/>
                <w:lang w:val="en-US"/>
              </w:rPr>
            </w:pPr>
            <w:r w:rsidRPr="00971A72">
              <w:rPr>
                <w:rFonts w:cstheme="minorHAnsi"/>
                <w:b w:val="0"/>
                <w:sz w:val="18"/>
                <w:szCs w:val="18"/>
                <w:lang w:val="en-US"/>
              </w:rPr>
              <w:lastRenderedPageBreak/>
              <w:t>Privacy and data security</w:t>
            </w:r>
          </w:p>
        </w:tc>
        <w:tc>
          <w:tcPr>
            <w:tcW w:w="7360" w:type="dxa"/>
          </w:tcPr>
          <w:p w:rsidR="00666FE5" w:rsidRPr="00971A72" w:rsidRDefault="00666FE5" w:rsidP="00A8234A">
            <w:pPr>
              <w:spacing w:line="276"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18"/>
                <w:szCs w:val="18"/>
                <w:lang w:val="en-US"/>
              </w:rPr>
            </w:pPr>
            <w:r w:rsidRPr="00971A72">
              <w:rPr>
                <w:rFonts w:cstheme="minorHAnsi"/>
                <w:color w:val="000000" w:themeColor="text1"/>
                <w:sz w:val="18"/>
                <w:szCs w:val="18"/>
                <w:lang w:val="en-US"/>
              </w:rPr>
              <w:t>IRB of country A</w:t>
            </w:r>
          </w:p>
          <w:p w:rsidR="00666FE5" w:rsidRPr="00971A72" w:rsidRDefault="00666FE5" w:rsidP="00A8234A">
            <w:pPr>
              <w:spacing w:after="120" w:line="276" w:lineRule="auto"/>
              <w:cnfStyle w:val="000000000000" w:firstRow="0" w:lastRow="0" w:firstColumn="0" w:lastColumn="0" w:oddVBand="0" w:evenVBand="0" w:oddHBand="0" w:evenHBand="0" w:firstRowFirstColumn="0" w:firstRowLastColumn="0" w:lastRowFirstColumn="0" w:lastRowLastColumn="0"/>
              <w:rPr>
                <w:rFonts w:cstheme="minorHAnsi"/>
                <w:sz w:val="18"/>
                <w:szCs w:val="18"/>
                <w:lang w:val="en-US"/>
              </w:rPr>
            </w:pPr>
            <w:r w:rsidRPr="00971A72">
              <w:rPr>
                <w:rFonts w:cstheme="minorHAnsi"/>
                <w:i/>
                <w:color w:val="000000" w:themeColor="text1"/>
                <w:sz w:val="18"/>
                <w:szCs w:val="18"/>
                <w:lang w:val="en-US"/>
              </w:rPr>
              <w:t>‘Participants must be informed where the samples are stored and who (person or holder) is responsible for the storage and destruction of the samples. (…) It should be clarifying whether the samples are (in fact completely) anonymization, pseudonymization (encryption) participants can request that their samples be destroyed if they withdraw from the study. (…) The transfer of the samples to third parties, and in particular to partners from the industry, must be specified in more detail - at least the participants must be informed how they can always find out to whom their samples have been forwarded.’</w:t>
            </w:r>
          </w:p>
        </w:tc>
      </w:tr>
      <w:tr w:rsidR="00666FE5" w:rsidRPr="00971A72" w:rsidTr="00A823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shd w:val="clear" w:color="auto" w:fill="4472C4" w:themeFill="accent1"/>
            <w:vAlign w:val="center"/>
          </w:tcPr>
          <w:p w:rsidR="00666FE5" w:rsidRPr="00971A72" w:rsidRDefault="00666FE5" w:rsidP="00A8234A">
            <w:pPr>
              <w:spacing w:line="360" w:lineRule="auto"/>
              <w:rPr>
                <w:rFonts w:cstheme="minorHAnsi"/>
                <w:b w:val="0"/>
                <w:bCs w:val="0"/>
                <w:sz w:val="18"/>
                <w:szCs w:val="18"/>
                <w:lang w:val="en-US"/>
              </w:rPr>
            </w:pPr>
          </w:p>
        </w:tc>
        <w:tc>
          <w:tcPr>
            <w:tcW w:w="7360" w:type="dxa"/>
          </w:tcPr>
          <w:p w:rsidR="00666FE5" w:rsidRPr="00971A72" w:rsidRDefault="00666FE5" w:rsidP="00A8234A">
            <w:pPr>
              <w:spacing w:line="276" w:lineRule="auto"/>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8"/>
                <w:szCs w:val="18"/>
                <w:lang w:val="en-US"/>
              </w:rPr>
            </w:pPr>
            <w:r w:rsidRPr="00971A72">
              <w:rPr>
                <w:rFonts w:cstheme="minorHAnsi"/>
                <w:color w:val="000000" w:themeColor="text1"/>
                <w:sz w:val="18"/>
                <w:szCs w:val="18"/>
                <w:lang w:val="en-US"/>
              </w:rPr>
              <w:t xml:space="preserve">Researcher of country C </w:t>
            </w:r>
          </w:p>
          <w:p w:rsidR="00666FE5" w:rsidRPr="00971A72" w:rsidRDefault="00666FE5" w:rsidP="00A8234A">
            <w:pPr>
              <w:spacing w:after="120" w:line="276" w:lineRule="auto"/>
              <w:cnfStyle w:val="000000100000" w:firstRow="0" w:lastRow="0" w:firstColumn="0" w:lastColumn="0" w:oddVBand="0" w:evenVBand="0" w:oddHBand="1" w:evenHBand="0" w:firstRowFirstColumn="0" w:firstRowLastColumn="0" w:lastRowFirstColumn="0" w:lastRowLastColumn="0"/>
              <w:rPr>
                <w:rFonts w:cstheme="minorHAnsi"/>
                <w:sz w:val="18"/>
                <w:szCs w:val="18"/>
                <w:lang w:val="en-US"/>
              </w:rPr>
            </w:pPr>
            <w:r w:rsidRPr="00971A72">
              <w:rPr>
                <w:rFonts w:cstheme="minorHAnsi"/>
                <w:i/>
                <w:color w:val="000000" w:themeColor="text1"/>
                <w:sz w:val="18"/>
                <w:szCs w:val="18"/>
                <w:lang w:val="en-US"/>
              </w:rPr>
              <w:t xml:space="preserve">‘The patient is informed of how their anonymous data will be stored safely, in accordance with good research practices. The patient is informed of how to proceed with the blood samples processed and transferred to these blood repositories. “The data obtained from the study will have all the personal identification information removed and transferred to a central repository where it will be </w:t>
            </w:r>
            <w:r w:rsidR="00971A72" w:rsidRPr="00971A72">
              <w:rPr>
                <w:rFonts w:cstheme="minorHAnsi"/>
                <w:i/>
                <w:color w:val="000000" w:themeColor="text1"/>
                <w:sz w:val="18"/>
                <w:szCs w:val="18"/>
                <w:lang w:val="en-US"/>
              </w:rPr>
              <w:t>analyzed</w:t>
            </w:r>
            <w:r w:rsidRPr="00971A72">
              <w:rPr>
                <w:rFonts w:cstheme="minorHAnsi"/>
                <w:i/>
                <w:color w:val="000000" w:themeColor="text1"/>
                <w:sz w:val="18"/>
                <w:szCs w:val="18"/>
                <w:lang w:val="en-US"/>
              </w:rPr>
              <w:t xml:space="preserve"> to answer the research questions that are part of the CENTER-TBI. This anonymous data will be stored safely for a minimum of 6 years and possibly indefinitely in a secure data file in accordance with good research practices. The CENTER-TBI study will end in 2020. We plan to keep these blood and data repositories as a legality for future research. If this is not possible, we will seek to have the approval of responsibility to maintain the repositories to one of the research organizations in Europe to combine with other similar collections. If this is not possible, the residual samples and data will be destroyed.”’</w:t>
            </w:r>
          </w:p>
        </w:tc>
      </w:tr>
      <w:bookmarkEnd w:id="0"/>
    </w:tbl>
    <w:p w:rsidR="004D0354" w:rsidRPr="00971A72" w:rsidRDefault="00A8234A">
      <w:pPr>
        <w:rPr>
          <w:lang w:val="en-US"/>
        </w:rPr>
      </w:pPr>
    </w:p>
    <w:sectPr w:rsidR="004D0354" w:rsidRPr="00971A72" w:rsidSect="003E711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FE5"/>
    <w:rsid w:val="00135183"/>
    <w:rsid w:val="00666FE5"/>
    <w:rsid w:val="00971A72"/>
    <w:rsid w:val="00A31B60"/>
    <w:rsid w:val="00A8234A"/>
    <w:rsid w:val="00C93245"/>
    <w:rsid w:val="00FB7BF8"/>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FE5"/>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stertabel5donker-Accent51">
    <w:name w:val="Rastertabel 5 donker - Accent 51"/>
    <w:basedOn w:val="TableNormal"/>
    <w:uiPriority w:val="50"/>
    <w:rsid w:val="00666FE5"/>
    <w:rPr>
      <w:rFonts w:eastAsiaTheme="minorHAns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FE5"/>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stertabel5donker-Accent51">
    <w:name w:val="Rastertabel 5 donker - Accent 51"/>
    <w:basedOn w:val="TableNormal"/>
    <w:uiPriority w:val="50"/>
    <w:rsid w:val="00666FE5"/>
    <w:rPr>
      <w:rFonts w:eastAsiaTheme="minorHAns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760</Words>
  <Characters>4334</Characters>
  <Application>Microsoft Office Word</Application>
  <DocSecurity>0</DocSecurity>
  <Lines>36</Lines>
  <Paragraphs>10</Paragraphs>
  <ScaleCrop>false</ScaleCrop>
  <Company/>
  <LinksUpToDate>false</LinksUpToDate>
  <CharactersWithSpaces>5084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Kompanje</dc:creator>
  <cp:keywords/>
  <dc:description/>
  <cp:lastModifiedBy>MPABLEO</cp:lastModifiedBy>
  <cp:revision>3</cp:revision>
  <dcterms:created xsi:type="dcterms:W3CDTF">2019-10-18T14:50:00Z</dcterms:created>
  <dcterms:modified xsi:type="dcterms:W3CDTF">2020-05-04T21:34:00Z</dcterms:modified>
</cp:coreProperties>
</file>