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244F7" w14:textId="5C688272" w:rsidR="002D7549" w:rsidRPr="00B965E1" w:rsidRDefault="002D7549" w:rsidP="002D7549">
      <w:pPr>
        <w:pStyle w:val="a3"/>
        <w:snapToGrid w:val="0"/>
        <w:spacing w:line="480" w:lineRule="auto"/>
        <w:jc w:val="left"/>
        <w:rPr>
          <w:rFonts w:ascii="Times New Roman" w:hAnsi="Times New Roman" w:cs="Times New Roman" w:hint="eastAsia"/>
        </w:rPr>
      </w:pPr>
      <w:r>
        <w:rPr>
          <w:rFonts w:ascii="Times New Roman" w:hAnsi="Times New Roman" w:cs="Times New Roman" w:hint="eastAsia"/>
        </w:rPr>
        <w:t>S</w:t>
      </w:r>
      <w:r>
        <w:rPr>
          <w:rFonts w:ascii="Times New Roman" w:hAnsi="Times New Roman" w:cs="Times New Roman"/>
        </w:rPr>
        <w:t>upplementary</w:t>
      </w:r>
    </w:p>
    <w:p w14:paraId="45E36138" w14:textId="76EAB6D8" w:rsidR="00D87FAA" w:rsidRPr="00112818" w:rsidRDefault="00D87FAA" w:rsidP="00D87FAA">
      <w:pPr>
        <w:pStyle w:val="a3"/>
        <w:snapToGrid w:val="0"/>
        <w:spacing w:line="480" w:lineRule="auto"/>
        <w:ind w:firstLine="630"/>
        <w:jc w:val="left"/>
        <w:rPr>
          <w:rFonts w:ascii="Times New Roman" w:hAnsi="Times New Roman" w:cs="Times New Roman"/>
          <w:vertAlign w:val="superscript"/>
        </w:rPr>
      </w:pPr>
      <w:r w:rsidRPr="00794FE7">
        <w:rPr>
          <w:rFonts w:ascii="Times New Roman" w:hAnsi="Times New Roman" w:cs="Times New Roman"/>
        </w:rPr>
        <w:t xml:space="preserve">Questions used in the survey were created by combining the two and examining their validity. Since this study was conducted as a fact-finding survey, the internal validity of the set of the questions was not verified; however, the questionnaire was finalized after a total of five discussions in order to assure the external validity. </w:t>
      </w:r>
    </w:p>
    <w:p w14:paraId="3F1587B2" w14:textId="77777777" w:rsidR="00D87FAA" w:rsidRPr="00794FE7" w:rsidRDefault="00D87FAA" w:rsidP="00D87FAA">
      <w:pPr>
        <w:pStyle w:val="a3"/>
        <w:snapToGrid w:val="0"/>
        <w:spacing w:line="480" w:lineRule="auto"/>
        <w:ind w:firstLine="630"/>
        <w:jc w:val="left"/>
        <w:rPr>
          <w:rFonts w:ascii="Times New Roman" w:hAnsi="Times New Roman" w:cs="Times New Roman"/>
        </w:rPr>
      </w:pPr>
      <w:r w:rsidRPr="00794FE7">
        <w:rPr>
          <w:rFonts w:ascii="Times New Roman" w:hAnsi="Times New Roman" w:cs="Times New Roman"/>
        </w:rPr>
        <w:t>The details of the questionnaire can be found in the document attached (attached material: questionnaire). The questionnaire included items regarding the characteristics of the patients and their surrogate decision-maker (i.e., our respondents), the content of the interview between the patient’s physician-in-charge and patient’s surrogate decision-maker, and the latter’s understanding of the former’s explanation; the judgment grounds underlying the surrogate decisions; and issues relating to the involvement of other parties involved in the surrogate decision-making.</w:t>
      </w:r>
    </w:p>
    <w:p w14:paraId="38039626" w14:textId="77777777" w:rsidR="00D87FAA" w:rsidRPr="00950852" w:rsidRDefault="00D87FAA" w:rsidP="00D87FAA">
      <w:pPr>
        <w:snapToGrid w:val="0"/>
        <w:spacing w:line="480" w:lineRule="auto"/>
        <w:textAlignment w:val="baseline"/>
        <w:rPr>
          <w:rFonts w:ascii="Times New Roman" w:hAnsi="Times New Roman" w:cs="Times New Roman"/>
          <w:vertAlign w:val="superscript"/>
        </w:rPr>
      </w:pPr>
      <w:r>
        <w:rPr>
          <w:rFonts w:ascii="Times New Roman" w:hAnsi="Times New Roman" w:cs="Times New Roman"/>
        </w:rPr>
        <w:tab/>
      </w:r>
      <w:r w:rsidRPr="00794FE7">
        <w:rPr>
          <w:rFonts w:ascii="Times New Roman" w:hAnsi="Times New Roman" w:cs="Times New Roman"/>
          <w:b/>
          <w:bCs/>
          <w:i/>
          <w:iCs/>
        </w:rPr>
        <w:t>Characteristics of patients and their surrogate decision-makers (respondents)</w:t>
      </w:r>
      <w:r>
        <w:rPr>
          <w:rFonts w:ascii="Times New Roman" w:hAnsi="Times New Roman" w:cs="Times New Roman"/>
          <w:b/>
          <w:bCs/>
          <w:i/>
          <w:iCs/>
        </w:rPr>
        <w:t xml:space="preserve">. </w:t>
      </w:r>
      <w:r w:rsidRPr="00950852">
        <w:rPr>
          <w:rFonts w:ascii="Times New Roman" w:hAnsi="Times New Roman" w:cs="Times New Roman"/>
        </w:rPr>
        <w:t>Characteristics such as age and gender were investigated with reference to previously published reports on surrogate decision-making</w:t>
      </w:r>
      <w:r w:rsidRPr="00696155">
        <w:rPr>
          <w:rFonts w:ascii="Times New Roman" w:hAnsi="Times New Roman" w:cs="Times New Roman"/>
          <w:vertAlign w:val="superscript"/>
        </w:rPr>
        <w:t>12-16</w:t>
      </w:r>
      <w:r w:rsidRPr="00950852">
        <w:rPr>
          <w:rFonts w:ascii="Times New Roman" w:hAnsi="Times New Roman" w:cs="Times New Roman"/>
        </w:rPr>
        <w:t>. Since it had been reported that patients often expressed their preferences concerning their future treatments verbally as well as in the form of advance directives and that some patients chose to entrust the decision to others in Japan, we added several questions on this matter.</w:t>
      </w:r>
      <w:r w:rsidRPr="00950852">
        <w:rPr>
          <w:rFonts w:ascii="Times New Roman" w:hAnsi="Times New Roman" w:cs="Times New Roman"/>
          <w:vertAlign w:val="superscript"/>
        </w:rPr>
        <w:t>14</w:t>
      </w:r>
      <w:r>
        <w:rPr>
          <w:rFonts w:ascii="Times New Roman" w:hAnsi="Times New Roman" w:cs="Times New Roman"/>
          <w:vertAlign w:val="superscript"/>
        </w:rPr>
        <w:t>-</w:t>
      </w:r>
      <w:r w:rsidRPr="00950852">
        <w:rPr>
          <w:rFonts w:ascii="Times New Roman" w:hAnsi="Times New Roman" w:cs="Times New Roman"/>
          <w:vertAlign w:val="superscript"/>
        </w:rPr>
        <w:t>16</w:t>
      </w:r>
    </w:p>
    <w:p w14:paraId="7CA40B83" w14:textId="77777777" w:rsidR="00D87FAA" w:rsidRPr="00794FE7" w:rsidRDefault="00D87FAA" w:rsidP="00D87FAA">
      <w:pPr>
        <w:snapToGrid w:val="0"/>
        <w:spacing w:line="480" w:lineRule="auto"/>
        <w:textAlignment w:val="baseline"/>
        <w:rPr>
          <w:rFonts w:ascii="Times New Roman" w:hAnsi="Times New Roman" w:cs="Times New Roman"/>
        </w:rPr>
      </w:pPr>
      <w:r>
        <w:rPr>
          <w:rFonts w:ascii="Times New Roman" w:hAnsi="Times New Roman" w:cs="Times New Roman"/>
        </w:rPr>
        <w:tab/>
      </w:r>
      <w:r w:rsidRPr="00794FE7">
        <w:rPr>
          <w:rFonts w:ascii="Times New Roman" w:hAnsi="Times New Roman" w:cs="Times New Roman"/>
          <w:b/>
          <w:bCs/>
          <w:i/>
          <w:iCs/>
        </w:rPr>
        <w:t>Interview content</w:t>
      </w:r>
      <w:r>
        <w:rPr>
          <w:rFonts w:ascii="Times New Roman" w:hAnsi="Times New Roman" w:cs="Times New Roman"/>
          <w:b/>
          <w:bCs/>
          <w:i/>
          <w:iCs/>
        </w:rPr>
        <w:t>.</w:t>
      </w:r>
      <w:r>
        <w:rPr>
          <w:rFonts w:ascii="Times New Roman" w:hAnsi="Times New Roman" w:cs="Times New Roman"/>
        </w:rPr>
        <w:t xml:space="preserve"> </w:t>
      </w:r>
      <w:r w:rsidRPr="00794FE7">
        <w:rPr>
          <w:rFonts w:ascii="Times New Roman" w:hAnsi="Times New Roman" w:cs="Times New Roman"/>
        </w:rPr>
        <w:t>The items with reference to the doctor's explanation required for informed consent were established. Specifically, it is recommended that the content of the physician’s explanation in the interview include diagnosis, options of treatment, advantages/disadvantages of each option, prognosis, and outcome in case of not undergoing treatment.</w:t>
      </w:r>
      <w:r w:rsidRPr="00794FE7">
        <w:rPr>
          <w:rFonts w:ascii="Times New Roman" w:hAnsi="Times New Roman" w:cs="Times New Roman"/>
          <w:vertAlign w:val="superscript"/>
        </w:rPr>
        <w:t>17</w:t>
      </w:r>
      <w:r w:rsidRPr="00794FE7">
        <w:rPr>
          <w:rFonts w:ascii="Times New Roman" w:hAnsi="Times New Roman" w:cs="Times New Roman"/>
        </w:rPr>
        <w:t xml:space="preserve"> In addition, </w:t>
      </w:r>
      <w:r>
        <w:rPr>
          <w:rFonts w:ascii="Times New Roman" w:hAnsi="Times New Roman" w:cs="Times New Roman"/>
        </w:rPr>
        <w:t>there was one</w:t>
      </w:r>
      <w:r w:rsidRPr="00794FE7">
        <w:rPr>
          <w:rFonts w:ascii="Times New Roman" w:hAnsi="Times New Roman" w:cs="Times New Roman"/>
        </w:rPr>
        <w:t xml:space="preserve"> report</w:t>
      </w:r>
      <w:r>
        <w:rPr>
          <w:rFonts w:ascii="Times New Roman" w:hAnsi="Times New Roman" w:cs="Times New Roman"/>
        </w:rPr>
        <w:t xml:space="preserve"> that</w:t>
      </w:r>
      <w:r w:rsidRPr="00794FE7">
        <w:rPr>
          <w:rFonts w:ascii="Times New Roman" w:hAnsi="Times New Roman" w:cs="Times New Roman"/>
        </w:rPr>
        <w:t xml:space="preserve"> </w:t>
      </w:r>
      <w:r>
        <w:rPr>
          <w:rFonts w:ascii="Times New Roman" w:hAnsi="Times New Roman" w:cs="Times New Roman"/>
        </w:rPr>
        <w:t xml:space="preserve">the doctor had better to </w:t>
      </w:r>
      <w:r w:rsidRPr="00794FE7">
        <w:rPr>
          <w:rFonts w:ascii="Times New Roman" w:hAnsi="Times New Roman" w:cs="Times New Roman"/>
        </w:rPr>
        <w:t>recomme</w:t>
      </w:r>
      <w:r>
        <w:rPr>
          <w:rFonts w:ascii="Times New Roman" w:hAnsi="Times New Roman" w:cs="Times New Roman"/>
        </w:rPr>
        <w:t xml:space="preserve">nd </w:t>
      </w:r>
      <w:proofErr w:type="gramStart"/>
      <w:r w:rsidRPr="00794FE7">
        <w:rPr>
          <w:rFonts w:ascii="Times New Roman" w:hAnsi="Times New Roman" w:cs="Times New Roman"/>
        </w:rPr>
        <w:t>to present</w:t>
      </w:r>
      <w:proofErr w:type="gramEnd"/>
      <w:r w:rsidRPr="00794FE7">
        <w:rPr>
          <w:rFonts w:ascii="Times New Roman" w:hAnsi="Times New Roman" w:cs="Times New Roman"/>
        </w:rPr>
        <w:t xml:space="preserve"> professional recommendations of options. Given a report of </w:t>
      </w:r>
      <w:r w:rsidRPr="00794FE7">
        <w:rPr>
          <w:rFonts w:ascii="Times New Roman" w:hAnsi="Times New Roman" w:cs="Times New Roman"/>
        </w:rPr>
        <w:lastRenderedPageBreak/>
        <w:t>usefulness regarding the sympathetic response of doctors to surrogate decision-makers,</w:t>
      </w:r>
      <w:r w:rsidRPr="00794FE7">
        <w:rPr>
          <w:rFonts w:ascii="Times New Roman" w:hAnsi="Times New Roman" w:cs="Times New Roman"/>
          <w:vertAlign w:val="superscript"/>
        </w:rPr>
        <w:t>18</w:t>
      </w:r>
      <w:r w:rsidRPr="00794FE7">
        <w:rPr>
          <w:rFonts w:ascii="Times New Roman" w:hAnsi="Times New Roman" w:cs="Times New Roman"/>
        </w:rPr>
        <w:t xml:space="preserve"> the recognition of surrogate decision makers was listed as a question item in this section.</w:t>
      </w:r>
    </w:p>
    <w:p w14:paraId="3C5AAD61" w14:textId="77777777" w:rsidR="00D87FAA" w:rsidRPr="00794FE7" w:rsidRDefault="00D87FAA" w:rsidP="00D87FAA">
      <w:pPr>
        <w:snapToGrid w:val="0"/>
        <w:spacing w:line="480" w:lineRule="auto"/>
        <w:textAlignment w:val="baseline"/>
        <w:rPr>
          <w:rFonts w:ascii="Times New Roman" w:hAnsi="Times New Roman" w:cs="Times New Roman"/>
        </w:rPr>
      </w:pPr>
      <w:r>
        <w:rPr>
          <w:rFonts w:ascii="Times New Roman" w:hAnsi="Times New Roman" w:cs="Times New Roman"/>
        </w:rPr>
        <w:tab/>
      </w:r>
      <w:r w:rsidRPr="00794FE7">
        <w:rPr>
          <w:rFonts w:ascii="Times New Roman" w:hAnsi="Times New Roman" w:cs="Times New Roman"/>
          <w:b/>
          <w:bCs/>
          <w:i/>
          <w:iCs/>
        </w:rPr>
        <w:t>Judgment grounds and others</w:t>
      </w:r>
      <w:r>
        <w:rPr>
          <w:rFonts w:ascii="Times New Roman" w:hAnsi="Times New Roman" w:cs="Times New Roman"/>
          <w:b/>
          <w:bCs/>
          <w:i/>
          <w:iCs/>
        </w:rPr>
        <w:t>.</w:t>
      </w:r>
      <w:r>
        <w:rPr>
          <w:rFonts w:ascii="Times New Roman" w:hAnsi="Times New Roman" w:cs="Times New Roman"/>
        </w:rPr>
        <w:t xml:space="preserve"> </w:t>
      </w:r>
      <w:r w:rsidRPr="00794FE7">
        <w:rPr>
          <w:rFonts w:ascii="Times New Roman" w:hAnsi="Times New Roman" w:cs="Times New Roman"/>
        </w:rPr>
        <w:t>Many factors have been reported regarding the judgement grounds. Due to cultural differences, the items that had been reported in the qualitative survey on the judgement grounds in surrogate decision-making based on semi-structured interviews</w:t>
      </w:r>
      <w:r w:rsidRPr="00696155">
        <w:rPr>
          <w:rFonts w:ascii="Times New Roman" w:hAnsi="Times New Roman" w:cs="Times New Roman"/>
          <w:vertAlign w:val="superscript"/>
        </w:rPr>
        <w:t>13</w:t>
      </w:r>
      <w:r w:rsidRPr="00794FE7">
        <w:rPr>
          <w:rFonts w:ascii="Times New Roman" w:hAnsi="Times New Roman" w:cs="Times New Roman"/>
        </w:rPr>
        <w:t>, were mainly reflected in the questionnaire. A total of 15 items of the judgment grounds were reflected in the questionnaire,</w:t>
      </w:r>
      <w:r w:rsidRPr="00794FE7">
        <w:rPr>
          <w:rFonts w:ascii="Times New Roman" w:hAnsi="Times New Roman" w:cs="Times New Roman"/>
          <w:vertAlign w:val="superscript"/>
        </w:rPr>
        <w:t>19,20</w:t>
      </w:r>
      <w:r w:rsidRPr="00794FE7">
        <w:rPr>
          <w:rFonts w:ascii="Times New Roman" w:hAnsi="Times New Roman" w:cs="Times New Roman"/>
        </w:rPr>
        <w:t xml:space="preserve"> reflecting the factors </w:t>
      </w:r>
      <w:r>
        <w:rPr>
          <w:rFonts w:ascii="Times New Roman" w:hAnsi="Times New Roman" w:cs="Times New Roman"/>
        </w:rPr>
        <w:t>related to judgment grounds</w:t>
      </w:r>
      <w:r w:rsidRPr="00794FE7">
        <w:rPr>
          <w:rFonts w:ascii="Times New Roman" w:hAnsi="Times New Roman" w:cs="Times New Roman"/>
        </w:rPr>
        <w:t xml:space="preserve"> in surrogate decision-making </w:t>
      </w:r>
      <w:r>
        <w:rPr>
          <w:rFonts w:ascii="Times New Roman" w:hAnsi="Times New Roman" w:cs="Times New Roman"/>
        </w:rPr>
        <w:t>in Japan</w:t>
      </w:r>
      <w:r w:rsidRPr="00794FE7">
        <w:rPr>
          <w:rFonts w:ascii="Times New Roman" w:hAnsi="Times New Roman" w:cs="Times New Roman"/>
        </w:rPr>
        <w:t xml:space="preserve"> and abroad.</w:t>
      </w:r>
      <w:r w:rsidRPr="00794FE7">
        <w:rPr>
          <w:rFonts w:ascii="Times New Roman" w:hAnsi="Times New Roman" w:cs="Times New Roman"/>
          <w:vertAlign w:val="superscript"/>
        </w:rPr>
        <w:t>13,14</w:t>
      </w:r>
      <w:r w:rsidRPr="00794FE7">
        <w:rPr>
          <w:rFonts w:ascii="Times New Roman" w:hAnsi="Times New Roman" w:cs="Times New Roman"/>
        </w:rPr>
        <w:t xml:space="preserve"> In addition, the behavior before and after the decision of the surrogate decision-maker, the number of interviews,</w:t>
      </w:r>
      <w:r w:rsidRPr="00696155">
        <w:rPr>
          <w:rFonts w:ascii="Times New Roman" w:hAnsi="Times New Roman" w:cs="Times New Roman"/>
        </w:rPr>
        <w:t xml:space="preserve"> and the involvement of several professionals </w:t>
      </w:r>
      <w:r w:rsidRPr="00794FE7">
        <w:rPr>
          <w:rFonts w:ascii="Times New Roman" w:hAnsi="Times New Roman" w:cs="Times New Roman"/>
        </w:rPr>
        <w:t>were confirmed.</w:t>
      </w:r>
    </w:p>
    <w:p w14:paraId="7DBA47C3" w14:textId="77777777" w:rsidR="00D87FAA" w:rsidRPr="00794FE7" w:rsidRDefault="00D87FAA" w:rsidP="00D87FAA">
      <w:pPr>
        <w:snapToGrid w:val="0"/>
        <w:spacing w:line="480" w:lineRule="auto"/>
        <w:textAlignment w:val="baseline"/>
        <w:rPr>
          <w:rFonts w:ascii="Times New Roman" w:hAnsi="Times New Roman" w:cs="Times New Roman"/>
          <w:b/>
          <w:bCs/>
          <w:i/>
          <w:iCs/>
        </w:rPr>
      </w:pPr>
      <w:r w:rsidRPr="00794FE7">
        <w:rPr>
          <w:rFonts w:ascii="Times New Roman" w:hAnsi="Times New Roman" w:cs="Times New Roman"/>
          <w:b/>
          <w:bCs/>
          <w:i/>
          <w:iCs/>
        </w:rPr>
        <w:t>Answer style</w:t>
      </w:r>
    </w:p>
    <w:p w14:paraId="6E6008C3" w14:textId="77777777" w:rsidR="00D87FAA" w:rsidRPr="00794FE7" w:rsidRDefault="00D87FAA" w:rsidP="00D87FAA">
      <w:pPr>
        <w:snapToGrid w:val="0"/>
        <w:spacing w:line="480" w:lineRule="auto"/>
        <w:ind w:firstLineChars="300" w:firstLine="720"/>
        <w:textAlignment w:val="baseline"/>
        <w:rPr>
          <w:rFonts w:ascii="Times New Roman" w:hAnsi="Times New Roman" w:cs="Times New Roman"/>
        </w:rPr>
      </w:pPr>
      <w:r w:rsidRPr="00794FE7">
        <w:rPr>
          <w:rFonts w:ascii="Times New Roman" w:hAnsi="Times New Roman" w:cs="Times New Roman"/>
        </w:rPr>
        <w:t>Regarding the items investigating the degree</w:t>
      </w:r>
      <w:r>
        <w:rPr>
          <w:rFonts w:ascii="Times New Roman" w:hAnsi="Times New Roman" w:cs="Times New Roman"/>
        </w:rPr>
        <w:t xml:space="preserve"> for</w:t>
      </w:r>
      <w:r w:rsidRPr="00FE2BEA">
        <w:t xml:space="preserve"> </w:t>
      </w:r>
      <w:r w:rsidRPr="00FE2BEA">
        <w:rPr>
          <w:rFonts w:ascii="Times New Roman" w:hAnsi="Times New Roman" w:cs="Times New Roman"/>
        </w:rPr>
        <w:t>each answer</w:t>
      </w:r>
      <w:r w:rsidRPr="00794FE7">
        <w:rPr>
          <w:rFonts w:ascii="Times New Roman" w:hAnsi="Times New Roman" w:cs="Times New Roman"/>
        </w:rPr>
        <w:t>, we obtained answers in five-point and four-point Likert-type scales. The evaluations were applied to the understanding of the interview (</w:t>
      </w:r>
      <w:r w:rsidRPr="00794FE7">
        <w:rPr>
          <w:rFonts w:ascii="Times New Roman" w:hAnsi="Times New Roman" w:cs="Times New Roman"/>
          <w:i/>
          <w:iCs/>
        </w:rPr>
        <w:t>well understood, moderately understood, neither, not well understood, not</w:t>
      </w:r>
      <w:r w:rsidRPr="00794FE7">
        <w:rPr>
          <w:rFonts w:ascii="Times New Roman" w:hAnsi="Times New Roman" w:cs="Times New Roman"/>
        </w:rPr>
        <w:t xml:space="preserve"> </w:t>
      </w:r>
      <w:r w:rsidRPr="00794FE7">
        <w:rPr>
          <w:rFonts w:ascii="Times New Roman" w:hAnsi="Times New Roman" w:cs="Times New Roman"/>
          <w:i/>
          <w:iCs/>
        </w:rPr>
        <w:t>understood/not explained</w:t>
      </w:r>
      <w:r w:rsidRPr="00794FE7">
        <w:rPr>
          <w:rFonts w:ascii="Times New Roman" w:hAnsi="Times New Roman" w:cs="Times New Roman"/>
        </w:rPr>
        <w:t>) and a question from the doctor (</w:t>
      </w:r>
      <w:r w:rsidRPr="00794FE7">
        <w:rPr>
          <w:rFonts w:ascii="Times New Roman" w:hAnsi="Times New Roman" w:cs="Times New Roman"/>
          <w:i/>
          <w:iCs/>
        </w:rPr>
        <w:t>sufficiently, some, neither, not much, almost none</w:t>
      </w:r>
      <w:r w:rsidRPr="00794FE7">
        <w:rPr>
          <w:rFonts w:ascii="Times New Roman" w:hAnsi="Times New Roman" w:cs="Times New Roman"/>
        </w:rPr>
        <w:t>). The four-point evaluation was applied to the involvement of the parties undertaking surrogate decision-making (</w:t>
      </w:r>
      <w:r w:rsidRPr="00794FE7">
        <w:rPr>
          <w:rFonts w:ascii="Times New Roman" w:hAnsi="Times New Roman" w:cs="Times New Roman"/>
          <w:i/>
          <w:iCs/>
        </w:rPr>
        <w:t>directly and heavily, directly, indirectly, littl</w:t>
      </w:r>
      <w:r w:rsidRPr="00794FE7">
        <w:rPr>
          <w:rFonts w:ascii="Times New Roman" w:hAnsi="Times New Roman" w:cs="Times New Roman"/>
        </w:rPr>
        <w:t>e) and the judgment grounds (</w:t>
      </w:r>
      <w:r w:rsidRPr="00794FE7">
        <w:rPr>
          <w:rFonts w:ascii="Times New Roman" w:hAnsi="Times New Roman" w:cs="Times New Roman"/>
          <w:i/>
          <w:iCs/>
        </w:rPr>
        <w:t>very emphasized</w:t>
      </w:r>
      <w:r w:rsidRPr="00794FE7">
        <w:rPr>
          <w:rFonts w:ascii="Times New Roman" w:hAnsi="Times New Roman" w:cs="Times New Roman"/>
        </w:rPr>
        <w:t xml:space="preserve">, </w:t>
      </w:r>
      <w:r w:rsidRPr="00794FE7">
        <w:rPr>
          <w:rFonts w:ascii="Times New Roman" w:hAnsi="Times New Roman" w:cs="Times New Roman"/>
          <w:i/>
          <w:iCs/>
        </w:rPr>
        <w:t>emphasized</w:t>
      </w:r>
      <w:r w:rsidRPr="00794FE7">
        <w:rPr>
          <w:rFonts w:ascii="Times New Roman" w:hAnsi="Times New Roman" w:cs="Times New Roman"/>
        </w:rPr>
        <w:t xml:space="preserve">, </w:t>
      </w:r>
      <w:r w:rsidRPr="00794FE7">
        <w:rPr>
          <w:rFonts w:ascii="Times New Roman" w:hAnsi="Times New Roman" w:cs="Times New Roman"/>
          <w:i/>
          <w:iCs/>
        </w:rPr>
        <w:t>less emphasized</w:t>
      </w:r>
      <w:r w:rsidRPr="00794FE7">
        <w:rPr>
          <w:rFonts w:ascii="Times New Roman" w:hAnsi="Times New Roman" w:cs="Times New Roman"/>
        </w:rPr>
        <w:t xml:space="preserve">, </w:t>
      </w:r>
      <w:r w:rsidRPr="00794FE7">
        <w:rPr>
          <w:rFonts w:ascii="Times New Roman" w:hAnsi="Times New Roman" w:cs="Times New Roman"/>
          <w:i/>
          <w:iCs/>
        </w:rPr>
        <w:t>little emphasized/not thinking</w:t>
      </w:r>
      <w:r w:rsidRPr="00794FE7">
        <w:rPr>
          <w:rFonts w:ascii="Times New Roman" w:hAnsi="Times New Roman" w:cs="Times New Roman"/>
        </w:rPr>
        <w:t>).</w:t>
      </w:r>
    </w:p>
    <w:p w14:paraId="753D03AB" w14:textId="77777777" w:rsidR="00D87FAA" w:rsidRPr="00794FE7" w:rsidRDefault="00D87FAA" w:rsidP="00D87FAA">
      <w:pPr>
        <w:snapToGrid w:val="0"/>
        <w:spacing w:line="480" w:lineRule="auto"/>
        <w:ind w:firstLineChars="300" w:firstLine="720"/>
        <w:textAlignment w:val="baseline"/>
        <w:rPr>
          <w:rFonts w:ascii="Times New Roman" w:hAnsi="Times New Roman" w:cs="Times New Roman"/>
        </w:rPr>
      </w:pPr>
      <w:r w:rsidRPr="00794FE7">
        <w:rPr>
          <w:rFonts w:ascii="Times New Roman" w:hAnsi="Times New Roman" w:cs="Times New Roman"/>
        </w:rPr>
        <w:t>The dichotomy was used in the analysis</w:t>
      </w:r>
      <w:r>
        <w:rPr>
          <w:rFonts w:ascii="Times New Roman" w:hAnsi="Times New Roman" w:cs="Times New Roman"/>
        </w:rPr>
        <w:t xml:space="preserve"> of the e</w:t>
      </w:r>
      <w:r w:rsidRPr="002C50CB">
        <w:rPr>
          <w:rFonts w:ascii="Times New Roman" w:hAnsi="Times New Roman" w:cs="Times New Roman"/>
        </w:rPr>
        <w:t>xtent of Involvement of Parties in the Surrogate Decision-making Process</w:t>
      </w:r>
      <w:r w:rsidRPr="00794FE7">
        <w:rPr>
          <w:rFonts w:ascii="Times New Roman" w:hAnsi="Times New Roman" w:cs="Times New Roman" w:hint="eastAsia"/>
        </w:rPr>
        <w:t>.</w:t>
      </w:r>
      <w:r w:rsidRPr="00794FE7">
        <w:rPr>
          <w:rFonts w:ascii="Times New Roman" w:hAnsi="Times New Roman" w:cs="Times New Roman"/>
        </w:rPr>
        <w:t xml:space="preserve"> The category “involvement of the parties undertaking surrogate decision-making” could be answered </w:t>
      </w:r>
      <w:r>
        <w:rPr>
          <w:rFonts w:ascii="Times New Roman" w:hAnsi="Times New Roman" w:cs="Times New Roman"/>
        </w:rPr>
        <w:t>o</w:t>
      </w:r>
      <w:r w:rsidRPr="00794FE7">
        <w:rPr>
          <w:rFonts w:ascii="Times New Roman" w:hAnsi="Times New Roman" w:cs="Times New Roman"/>
        </w:rPr>
        <w:t>n a four-point range: “Little” was classified as “Not involved”, and the others were classified as “Involved.”</w:t>
      </w:r>
    </w:p>
    <w:p w14:paraId="078D8C46" w14:textId="77777777" w:rsidR="004D36EF" w:rsidRPr="004D2A2C" w:rsidRDefault="00B965E1"/>
    <w:sectPr w:rsidR="004D36EF" w:rsidRPr="004D2A2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2C"/>
    <w:rsid w:val="000E7D2E"/>
    <w:rsid w:val="002D7549"/>
    <w:rsid w:val="004D2A2C"/>
    <w:rsid w:val="00B965E1"/>
    <w:rsid w:val="00C636A1"/>
    <w:rsid w:val="00D60E52"/>
    <w:rsid w:val="00D87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726A759"/>
  <w15:chartTrackingRefBased/>
  <w15:docId w15:val="{6ADA3BA4-51A9-7541-8C46-6707E9A5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A2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2A2C"/>
    <w:pPr>
      <w:widowControl w:val="0"/>
      <w:jc w:val="both"/>
    </w:pPr>
    <w:rPr>
      <w:sz w:val="24"/>
    </w:rPr>
  </w:style>
  <w:style w:type="character" w:styleId="a4">
    <w:name w:val="annotation reference"/>
    <w:basedOn w:val="a0"/>
    <w:uiPriority w:val="99"/>
    <w:semiHidden/>
    <w:unhideWhenUsed/>
    <w:rsid w:val="004D2A2C"/>
    <w:rPr>
      <w:sz w:val="16"/>
      <w:szCs w:val="16"/>
    </w:rPr>
  </w:style>
  <w:style w:type="paragraph" w:styleId="a5">
    <w:name w:val="annotation text"/>
    <w:basedOn w:val="a"/>
    <w:link w:val="a6"/>
    <w:uiPriority w:val="99"/>
    <w:unhideWhenUsed/>
    <w:rsid w:val="004D2A2C"/>
    <w:rPr>
      <w:sz w:val="20"/>
      <w:szCs w:val="20"/>
    </w:rPr>
  </w:style>
  <w:style w:type="character" w:customStyle="1" w:styleId="a6">
    <w:name w:val="コメント文字列 (文字)"/>
    <w:basedOn w:val="a0"/>
    <w:link w:val="a5"/>
    <w:uiPriority w:val="99"/>
    <w:rsid w:val="004D2A2C"/>
    <w:rPr>
      <w:sz w:val="20"/>
      <w:szCs w:val="20"/>
    </w:rPr>
  </w:style>
  <w:style w:type="paragraph" w:styleId="a7">
    <w:name w:val="Revision"/>
    <w:hidden/>
    <w:uiPriority w:val="99"/>
    <w:semiHidden/>
    <w:rsid w:val="00B965E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567</Words>
  <Characters>3232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 Masashi</dc:creator>
  <cp:keywords/>
  <dc:description/>
  <cp:lastModifiedBy>Tanaka Masashi</cp:lastModifiedBy>
  <cp:revision>2</cp:revision>
  <dcterms:created xsi:type="dcterms:W3CDTF">2021-02-15T04:57:00Z</dcterms:created>
  <dcterms:modified xsi:type="dcterms:W3CDTF">2021-02-17T21:48:00Z</dcterms:modified>
</cp:coreProperties>
</file>