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1138A" w14:textId="77777777" w:rsidR="008F7422" w:rsidRPr="002A2E1C" w:rsidRDefault="008F7422" w:rsidP="00EC41FE">
      <w:pPr>
        <w:pStyle w:val="NoSpacing"/>
        <w:spacing w:line="480" w:lineRule="auto"/>
        <w:jc w:val="both"/>
        <w:rPr>
          <w:rStyle w:val="Geen"/>
          <w:rFonts w:ascii="Times New Roman" w:hAnsi="Times New Roman" w:cs="Times New Roman"/>
          <w:b/>
          <w:bCs/>
          <w:sz w:val="24"/>
          <w:szCs w:val="24"/>
          <w:lang w:val="en-US"/>
        </w:rPr>
      </w:pPr>
      <w:r w:rsidRPr="002A2E1C">
        <w:rPr>
          <w:rStyle w:val="Geen"/>
          <w:rFonts w:ascii="Times New Roman" w:hAnsi="Times New Roman" w:cs="Times New Roman"/>
          <w:b/>
          <w:bCs/>
          <w:sz w:val="24"/>
          <w:szCs w:val="24"/>
          <w:lang w:val="en-US"/>
        </w:rPr>
        <w:t>Appendices</w:t>
      </w:r>
    </w:p>
    <w:p w14:paraId="06C77233" w14:textId="77777777" w:rsidR="008F7422" w:rsidRPr="002A2E1C" w:rsidRDefault="008F7422" w:rsidP="00EC41FE">
      <w:pPr>
        <w:pStyle w:val="NoSpacing"/>
        <w:spacing w:line="480" w:lineRule="auto"/>
        <w:jc w:val="both"/>
        <w:rPr>
          <w:rStyle w:val="Geen"/>
          <w:rFonts w:ascii="Times New Roman" w:hAnsi="Times New Roman" w:cs="Times New Roman"/>
          <w:b/>
          <w:bCs/>
          <w:sz w:val="24"/>
          <w:szCs w:val="24"/>
          <w:lang w:val="en-US"/>
        </w:rPr>
      </w:pPr>
    </w:p>
    <w:p w14:paraId="2C74B292" w14:textId="77777777" w:rsidR="008F7422" w:rsidRPr="002A2E1C" w:rsidRDefault="008F7422" w:rsidP="00EC41FE">
      <w:pPr>
        <w:pStyle w:val="NoSpacing"/>
        <w:spacing w:after="240" w:line="480" w:lineRule="auto"/>
        <w:jc w:val="both"/>
        <w:rPr>
          <w:rFonts w:ascii="Times New Roman" w:hAnsi="Times New Roman" w:cs="Times New Roman"/>
          <w:bCs/>
          <w:sz w:val="24"/>
          <w:szCs w:val="24"/>
          <w:lang w:val="en-US"/>
        </w:rPr>
      </w:pPr>
      <w:r w:rsidRPr="002A2E1C">
        <w:rPr>
          <w:rFonts w:ascii="Times New Roman" w:hAnsi="Times New Roman" w:cs="Times New Roman"/>
          <w:b/>
          <w:bCs/>
          <w:sz w:val="24"/>
          <w:szCs w:val="24"/>
          <w:lang w:val="en-US"/>
        </w:rPr>
        <w:t xml:space="preserve">Appendix 1 | </w:t>
      </w:r>
      <w:r w:rsidRPr="002A2E1C">
        <w:rPr>
          <w:rFonts w:ascii="Times New Roman" w:hAnsi="Times New Roman" w:cs="Times New Roman"/>
          <w:bCs/>
          <w:sz w:val="24"/>
          <w:szCs w:val="24"/>
          <w:lang w:val="en-US"/>
        </w:rPr>
        <w:t xml:space="preserve">A description of the Dutch euthanasia procedure </w:t>
      </w:r>
    </w:p>
    <w:tbl>
      <w:tblPr>
        <w:tblStyle w:val="TableGrid"/>
        <w:tblW w:w="0" w:type="auto"/>
        <w:tblLook w:val="04A0" w:firstRow="1" w:lastRow="0" w:firstColumn="1" w:lastColumn="0" w:noHBand="0" w:noVBand="1"/>
      </w:tblPr>
      <w:tblGrid>
        <w:gridCol w:w="9056"/>
      </w:tblGrid>
      <w:tr w:rsidR="008F7422" w:rsidRPr="002B51AE" w14:paraId="377043DA" w14:textId="77777777" w:rsidTr="0087217B">
        <w:tc>
          <w:tcPr>
            <w:tcW w:w="9056" w:type="dxa"/>
          </w:tcPr>
          <w:p w14:paraId="13F34CAE" w14:textId="77777777" w:rsidR="008F7422" w:rsidRPr="00967F3C" w:rsidRDefault="008F7422"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r w:rsidRPr="00967F3C">
              <w:rPr>
                <w:rFonts w:ascii="Times New Roman" w:hAnsi="Times New Roman" w:cs="Times New Roman"/>
                <w:b/>
                <w:sz w:val="22"/>
                <w:szCs w:val="22"/>
                <w:lang w:val="en-US"/>
              </w:rPr>
              <w:t>The Dutch euthanasia procedure</w:t>
            </w:r>
          </w:p>
          <w:p w14:paraId="77D1672E" w14:textId="2CFB74E5" w:rsidR="008F7422" w:rsidRPr="00967F3C" w:rsidRDefault="008F7422"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967F3C">
              <w:rPr>
                <w:rFonts w:ascii="Times New Roman" w:hAnsi="Times New Roman" w:cs="Times New Roman"/>
                <w:sz w:val="22"/>
                <w:szCs w:val="22"/>
                <w:lang w:val="en-US"/>
              </w:rPr>
              <w:t>After the performance of euthanasia, the municipal pathologist</w:t>
            </w:r>
            <w:r w:rsidR="009D7384">
              <w:rPr>
                <w:rFonts w:ascii="Times New Roman" w:hAnsi="Times New Roman" w:cs="Times New Roman"/>
                <w:sz w:val="22"/>
                <w:szCs w:val="22"/>
                <w:lang w:val="en-US"/>
              </w:rPr>
              <w:t xml:space="preserve"> is</w:t>
            </w:r>
            <w:r w:rsidRPr="00967F3C">
              <w:rPr>
                <w:rFonts w:ascii="Times New Roman" w:hAnsi="Times New Roman" w:cs="Times New Roman"/>
                <w:sz w:val="22"/>
                <w:szCs w:val="22"/>
                <w:lang w:val="en-US"/>
              </w:rPr>
              <w:t xml:space="preserve"> require</w:t>
            </w:r>
            <w:r w:rsidR="009D7384">
              <w:rPr>
                <w:rFonts w:ascii="Times New Roman" w:hAnsi="Times New Roman" w:cs="Times New Roman"/>
                <w:sz w:val="22"/>
                <w:szCs w:val="22"/>
                <w:lang w:val="en-US"/>
              </w:rPr>
              <w:t>d</w:t>
            </w:r>
            <w:r w:rsidRPr="00967F3C">
              <w:rPr>
                <w:rFonts w:ascii="Times New Roman" w:hAnsi="Times New Roman" w:cs="Times New Roman"/>
                <w:sz w:val="22"/>
                <w:szCs w:val="22"/>
                <w:lang w:val="en-US"/>
              </w:rPr>
              <w:t xml:space="preserve"> to be notified. Then, a postmortem examination is completed and the cause of death </w:t>
            </w:r>
            <w:r w:rsidR="003E7845">
              <w:rPr>
                <w:rFonts w:ascii="Times New Roman" w:hAnsi="Times New Roman" w:cs="Times New Roman"/>
                <w:sz w:val="22"/>
                <w:szCs w:val="22"/>
                <w:lang w:val="en-US"/>
              </w:rPr>
              <w:t xml:space="preserve">is </w:t>
            </w:r>
            <w:r w:rsidRPr="00967F3C">
              <w:rPr>
                <w:rFonts w:ascii="Times New Roman" w:hAnsi="Times New Roman" w:cs="Times New Roman"/>
                <w:sz w:val="22"/>
                <w:szCs w:val="22"/>
                <w:lang w:val="en-US"/>
              </w:rPr>
              <w:t>reported. The performing physician also reports the euthanasia to the Regional Euthanasia Review Committee (consisting of a lawyer, a physician and an ethical expert), which reviews the case and judges whether the performance was with due care. If the Regional Euthanasia Review Committee report the criteria for due care are met, no further follow-up is needed. If they conclude the criteria are not met, the case is forwarded to the Health Care Inspectorate (</w:t>
            </w:r>
            <w:r w:rsidRPr="00967F3C">
              <w:rPr>
                <w:rFonts w:ascii="Times New Roman" w:hAnsi="Times New Roman" w:cs="Times New Roman"/>
                <w:i/>
                <w:sz w:val="22"/>
                <w:szCs w:val="22"/>
                <w:lang w:val="en-US"/>
              </w:rPr>
              <w:t>‘did the physician act according to professional standards?’</w:t>
            </w:r>
            <w:r w:rsidRPr="00967F3C">
              <w:rPr>
                <w:rFonts w:ascii="Times New Roman" w:hAnsi="Times New Roman" w:cs="Times New Roman"/>
                <w:sz w:val="22"/>
                <w:szCs w:val="22"/>
                <w:lang w:val="en-US"/>
              </w:rPr>
              <w:t>) and the Public Prosecution (</w:t>
            </w:r>
            <w:r w:rsidRPr="00967F3C">
              <w:rPr>
                <w:rFonts w:ascii="Times New Roman" w:hAnsi="Times New Roman" w:cs="Times New Roman"/>
                <w:i/>
                <w:sz w:val="22"/>
                <w:szCs w:val="22"/>
                <w:lang w:val="en-US"/>
              </w:rPr>
              <w:t>‘is there a criminal liability?’</w:t>
            </w:r>
            <w:r w:rsidRPr="00967F3C">
              <w:rPr>
                <w:rFonts w:ascii="Times New Roman" w:hAnsi="Times New Roman" w:cs="Times New Roman"/>
                <w:sz w:val="22"/>
                <w:szCs w:val="22"/>
                <w:lang w:val="en-US"/>
              </w:rPr>
              <w:t xml:space="preserve">) for further investigation. Both investigations are independent, as their focus is different. If required, the Health Care Inspectorate refers the case to the Regional Medical Disciplinary Court. Following on which the case can be referred to the Central Medical Disciplinary Court. </w:t>
            </w:r>
          </w:p>
        </w:tc>
      </w:tr>
    </w:tbl>
    <w:p w14:paraId="68E7CAA6" w14:textId="77777777" w:rsidR="008F7422" w:rsidRPr="002A2E1C" w:rsidRDefault="008F7422" w:rsidP="00EC41FE">
      <w:pPr>
        <w:pStyle w:val="NoSpacing"/>
        <w:spacing w:line="480" w:lineRule="auto"/>
        <w:jc w:val="both"/>
        <w:rPr>
          <w:rStyle w:val="Geen"/>
          <w:rFonts w:ascii="Times New Roman" w:eastAsia="Carlito" w:hAnsi="Times New Roman" w:cs="Times New Roman"/>
          <w:b/>
          <w:bCs/>
          <w:sz w:val="24"/>
          <w:szCs w:val="24"/>
          <w:lang w:val="en-US"/>
        </w:rPr>
      </w:pPr>
    </w:p>
    <w:p w14:paraId="1F5634F3" w14:textId="77777777" w:rsidR="008F7422" w:rsidRPr="002A2E1C" w:rsidRDefault="008F7422" w:rsidP="00EC41FE">
      <w:pPr>
        <w:pStyle w:val="NoSpacing"/>
        <w:spacing w:after="240" w:line="480" w:lineRule="auto"/>
        <w:jc w:val="both"/>
        <w:rPr>
          <w:rStyle w:val="Geen"/>
          <w:rFonts w:ascii="Times New Roman" w:eastAsia="Carlito" w:hAnsi="Times New Roman" w:cs="Times New Roman"/>
          <w:b/>
          <w:bCs/>
          <w:sz w:val="24"/>
          <w:szCs w:val="24"/>
          <w:lang w:val="en-US"/>
        </w:rPr>
      </w:pPr>
      <w:r w:rsidRPr="002A2E1C">
        <w:rPr>
          <w:rStyle w:val="Geen"/>
          <w:rFonts w:ascii="Times New Roman" w:hAnsi="Times New Roman" w:cs="Times New Roman"/>
          <w:b/>
          <w:bCs/>
          <w:sz w:val="24"/>
          <w:szCs w:val="24"/>
          <w:lang w:val="en-US"/>
        </w:rPr>
        <w:t xml:space="preserve">Appendix 2 | </w:t>
      </w:r>
      <w:r w:rsidRPr="002A2E1C">
        <w:rPr>
          <w:rStyle w:val="Geen"/>
          <w:rFonts w:ascii="Times New Roman" w:hAnsi="Times New Roman" w:cs="Times New Roman"/>
          <w:sz w:val="24"/>
          <w:szCs w:val="24"/>
          <w:lang w:val="en-US"/>
        </w:rPr>
        <w:t>Case description of the first euthanasia case brought to criminal court</w:t>
      </w:r>
    </w:p>
    <w:tbl>
      <w:tblPr>
        <w:tblStyle w:val="TableNormal1"/>
        <w:tblW w:w="9175" w:type="dxa"/>
        <w:tblInd w:w="-5" w:type="dxa"/>
        <w:tblBorders>
          <w:top w:val="single" w:sz="4" w:space="0" w:color="auto"/>
          <w:left w:val="single" w:sz="4" w:space="0" w:color="auto"/>
          <w:bottom w:val="single" w:sz="4" w:space="0" w:color="auto"/>
          <w:right w:val="single" w:sz="4" w:space="0" w:color="auto"/>
        </w:tblBorders>
        <w:shd w:val="clear" w:color="auto" w:fill="D0DDEF"/>
        <w:tblLayout w:type="fixed"/>
        <w:tblLook w:val="04A0" w:firstRow="1" w:lastRow="0" w:firstColumn="1" w:lastColumn="0" w:noHBand="0" w:noVBand="1"/>
      </w:tblPr>
      <w:tblGrid>
        <w:gridCol w:w="9175"/>
      </w:tblGrid>
      <w:tr w:rsidR="008F7422" w:rsidRPr="002B51AE" w14:paraId="309E9B56" w14:textId="77777777" w:rsidTr="0087217B">
        <w:trPr>
          <w:trHeight w:val="1748"/>
        </w:trPr>
        <w:tc>
          <w:tcPr>
            <w:tcW w:w="9175" w:type="dxa"/>
            <w:shd w:val="clear" w:color="auto" w:fill="auto"/>
            <w:tcMar>
              <w:top w:w="80" w:type="dxa"/>
              <w:left w:w="80" w:type="dxa"/>
              <w:bottom w:w="80" w:type="dxa"/>
              <w:right w:w="80" w:type="dxa"/>
            </w:tcMar>
          </w:tcPr>
          <w:p w14:paraId="4939FE4E" w14:textId="45C04CB5" w:rsidR="008F7422" w:rsidRPr="00967F3C" w:rsidRDefault="008F7422" w:rsidP="00EC41FE">
            <w:pPr>
              <w:pStyle w:val="NoSpacing"/>
              <w:spacing w:after="240" w:line="480" w:lineRule="auto"/>
              <w:jc w:val="both"/>
              <w:rPr>
                <w:rStyle w:val="Geen"/>
                <w:rFonts w:ascii="Times New Roman" w:eastAsia="Carlito" w:hAnsi="Times New Roman" w:cs="Times New Roman"/>
                <w:b/>
                <w:bCs/>
                <w:sz w:val="22"/>
                <w:szCs w:val="22"/>
                <w:lang w:val="en-US"/>
              </w:rPr>
            </w:pPr>
            <w:r w:rsidRPr="00967F3C">
              <w:rPr>
                <w:rStyle w:val="Geen"/>
                <w:rFonts w:ascii="Times New Roman" w:hAnsi="Times New Roman" w:cs="Times New Roman"/>
                <w:sz w:val="22"/>
                <w:szCs w:val="22"/>
                <w:lang w:val="en-US"/>
              </w:rPr>
              <w:t xml:space="preserve">In 2008, the patient was diagnosed with Alzheimer’s disease. She drew up an </w:t>
            </w:r>
            <w:r w:rsidR="005D34A3" w:rsidRPr="00967F3C">
              <w:rPr>
                <w:rStyle w:val="Geen"/>
                <w:rFonts w:ascii="Times New Roman" w:hAnsi="Times New Roman" w:cs="Times New Roman"/>
                <w:sz w:val="22"/>
                <w:szCs w:val="22"/>
                <w:lang w:val="en-US"/>
              </w:rPr>
              <w:t>AED in</w:t>
            </w:r>
            <w:r w:rsidRPr="00967F3C">
              <w:rPr>
                <w:rStyle w:val="Geen"/>
                <w:rFonts w:ascii="Times New Roman" w:hAnsi="Times New Roman" w:cs="Times New Roman"/>
                <w:sz w:val="22"/>
                <w:szCs w:val="22"/>
                <w:lang w:val="en-US"/>
              </w:rPr>
              <w:t xml:space="preserve"> 2012 and discussed this with her general practitioner and gerontologist, which both independently determined she was competent at that time with regard to writing the AED. The AED stated she “</w:t>
            </w:r>
            <w:r w:rsidRPr="00967F3C">
              <w:rPr>
                <w:rStyle w:val="Geen"/>
                <w:rFonts w:ascii="Times New Roman" w:hAnsi="Times New Roman" w:cs="Times New Roman"/>
                <w:i/>
                <w:iCs/>
                <w:sz w:val="22"/>
                <w:szCs w:val="22"/>
                <w:lang w:val="en-US"/>
              </w:rPr>
              <w:t>absolutely does not want to be placed in a nursing home for patients with dementia</w:t>
            </w:r>
            <w:r w:rsidRPr="00967F3C">
              <w:rPr>
                <w:rStyle w:val="Geen"/>
                <w:rFonts w:ascii="Times New Roman" w:hAnsi="Times New Roman" w:cs="Times New Roman"/>
                <w:sz w:val="22"/>
                <w:szCs w:val="22"/>
                <w:lang w:val="en-US"/>
              </w:rPr>
              <w:t>” and would “</w:t>
            </w:r>
            <w:r w:rsidRPr="00967F3C">
              <w:rPr>
                <w:rStyle w:val="Geen"/>
                <w:rFonts w:ascii="Times New Roman" w:hAnsi="Times New Roman" w:cs="Times New Roman"/>
                <w:i/>
                <w:iCs/>
                <w:sz w:val="22"/>
                <w:szCs w:val="22"/>
                <w:lang w:val="en-US"/>
              </w:rPr>
              <w:t>like to undergo voluntary euthanasia</w:t>
            </w:r>
            <w:r w:rsidRPr="00967F3C">
              <w:rPr>
                <w:rStyle w:val="Geen"/>
                <w:rFonts w:ascii="Times New Roman" w:hAnsi="Times New Roman" w:cs="Times New Roman"/>
                <w:sz w:val="22"/>
                <w:szCs w:val="22"/>
                <w:lang w:val="en-US"/>
              </w:rPr>
              <w:t>” when she is “</w:t>
            </w:r>
            <w:r w:rsidRPr="00967F3C">
              <w:rPr>
                <w:rStyle w:val="Geen"/>
                <w:rFonts w:ascii="Times New Roman" w:hAnsi="Times New Roman" w:cs="Times New Roman"/>
                <w:i/>
                <w:iCs/>
                <w:sz w:val="22"/>
                <w:szCs w:val="22"/>
                <w:lang w:val="en-US"/>
              </w:rPr>
              <w:t>still mentally competent and no longer able to live at home</w:t>
            </w:r>
            <w:r w:rsidRPr="00967F3C">
              <w:rPr>
                <w:rStyle w:val="Geen"/>
                <w:rFonts w:ascii="Times New Roman" w:hAnsi="Times New Roman" w:cs="Times New Roman"/>
                <w:sz w:val="22"/>
                <w:szCs w:val="22"/>
                <w:lang w:val="en-US"/>
              </w:rPr>
              <w:t>”.</w:t>
            </w:r>
          </w:p>
          <w:p w14:paraId="50DDE0BC" w14:textId="6FA68BEE" w:rsidR="008F7422" w:rsidRPr="00967F3C" w:rsidRDefault="008F7422" w:rsidP="00EC41FE">
            <w:pPr>
              <w:pStyle w:val="NoSpacing"/>
              <w:spacing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 xml:space="preserve">In 2015, she edited her AED by adding: </w:t>
            </w:r>
            <w:r w:rsidRPr="00967F3C">
              <w:rPr>
                <w:rStyle w:val="Geen"/>
                <w:rFonts w:ascii="Times New Roman" w:hAnsi="Times New Roman" w:cs="Times New Roman"/>
                <w:i/>
                <w:iCs/>
                <w:sz w:val="22"/>
                <w:szCs w:val="22"/>
                <w:lang w:val="en-US"/>
              </w:rPr>
              <w:t xml:space="preserve">“I want to make use of the legal right to undergo euthanasia whenever I think the time is right for this… Trusting that at the time when the quality of my life has </w:t>
            </w:r>
            <w:r w:rsidRPr="00967F3C">
              <w:rPr>
                <w:rStyle w:val="Geen"/>
                <w:rFonts w:ascii="Times New Roman" w:hAnsi="Times New Roman" w:cs="Times New Roman"/>
                <w:i/>
                <w:iCs/>
                <w:sz w:val="22"/>
                <w:szCs w:val="22"/>
                <w:lang w:val="en-US"/>
              </w:rPr>
              <w:lastRenderedPageBreak/>
              <w:t xml:space="preserve">become so poor, I would like for my request for euthanasia to be honored.”. </w:t>
            </w:r>
            <w:r w:rsidRPr="00967F3C">
              <w:rPr>
                <w:rStyle w:val="Geen"/>
                <w:rFonts w:ascii="Times New Roman" w:hAnsi="Times New Roman" w:cs="Times New Roman"/>
                <w:sz w:val="22"/>
                <w:szCs w:val="22"/>
                <w:lang w:val="en-US"/>
              </w:rPr>
              <w:t>According to her GP, she was still competent at that time</w:t>
            </w:r>
            <w:r w:rsidRPr="00967F3C">
              <w:rPr>
                <w:rStyle w:val="Geen"/>
                <w:rFonts w:ascii="Times New Roman" w:eastAsia="Calibri Light" w:hAnsi="Times New Roman" w:cs="Times New Roman"/>
                <w:sz w:val="22"/>
                <w:szCs w:val="22"/>
                <w:vertAlign w:val="superscript"/>
              </w:rPr>
              <w:fldChar w:fldCharType="begin"/>
            </w:r>
            <w:r w:rsidR="00B262F8" w:rsidRPr="00EC41FE">
              <w:rPr>
                <w:rStyle w:val="Geen"/>
                <w:rFonts w:ascii="Times New Roman" w:eastAsia="Calibri Light" w:hAnsi="Times New Roman" w:cs="Times New Roman"/>
                <w:sz w:val="22"/>
                <w:szCs w:val="22"/>
                <w:vertAlign w:val="superscript"/>
                <w:lang w:val="en-US"/>
              </w:rPr>
              <w:instrText xml:space="preserve"> ADDIN EN.CITE &lt;EndNote&gt;&lt;Cite&gt;&lt;RecNum&gt;58&lt;/RecNum&gt;&lt;DisplayText&gt;(1)&lt;/DisplayText&gt;&lt;record&gt;&lt;rec-number&gt;58&lt;/rec-number&gt;&lt;foreign-keys&gt;&lt;key app="EN" db-id="95atwfddperesrerf04veszlx2pzwep0sr5d" timestamp="1641995936"&gt;58&lt;/key&gt;&lt;/foreign-keys&gt;&lt;ref-type name="Hearing"&gt;14&lt;/ref-type&gt;&lt;contributors&gt;&lt;/contributors&gt;&lt;titles&gt;&lt;title&gt;RTE, 2016-85&lt;/title&gt;&lt;/titles&gt;&lt;dates&gt;&lt;/dates&gt;&lt;urls&gt;&lt;/urls&gt;&lt;/record&gt;&lt;/Cite&gt;&lt;/EndNote&gt;</w:instrText>
            </w:r>
            <w:r w:rsidRPr="00967F3C">
              <w:rPr>
                <w:rStyle w:val="Geen"/>
                <w:rFonts w:ascii="Times New Roman" w:eastAsia="Calibri Light" w:hAnsi="Times New Roman" w:cs="Times New Roman"/>
                <w:sz w:val="22"/>
                <w:szCs w:val="22"/>
                <w:vertAlign w:val="superscript"/>
              </w:rPr>
              <w:fldChar w:fldCharType="separate"/>
            </w:r>
            <w:r w:rsidR="00B262F8" w:rsidRPr="00B262F8">
              <w:rPr>
                <w:rStyle w:val="Geen"/>
                <w:rFonts w:ascii="Times New Roman" w:eastAsia="Calibri Light" w:hAnsi="Times New Roman" w:cs="Times New Roman"/>
                <w:noProof/>
                <w:sz w:val="22"/>
                <w:szCs w:val="22"/>
                <w:vertAlign w:val="superscript"/>
                <w:lang w:val="en-US"/>
              </w:rPr>
              <w:t>(1)</w:t>
            </w:r>
            <w:r w:rsidRPr="00967F3C">
              <w:rPr>
                <w:rStyle w:val="Geen"/>
                <w:rFonts w:ascii="Times New Roman" w:eastAsia="Calibri Light" w:hAnsi="Times New Roman" w:cs="Times New Roman"/>
                <w:sz w:val="22"/>
                <w:szCs w:val="22"/>
                <w:vertAlign w:val="superscript"/>
              </w:rPr>
              <w:fldChar w:fldCharType="end"/>
            </w:r>
            <w:r w:rsidRPr="00967F3C">
              <w:rPr>
                <w:rStyle w:val="Geen"/>
                <w:rFonts w:ascii="Times New Roman" w:hAnsi="Times New Roman" w:cs="Times New Roman"/>
                <w:sz w:val="22"/>
                <w:szCs w:val="22"/>
                <w:lang w:val="en-US"/>
              </w:rPr>
              <w:t xml:space="preserve">. </w:t>
            </w:r>
          </w:p>
          <w:p w14:paraId="6B036370" w14:textId="77777777" w:rsidR="008F7422" w:rsidRPr="00967F3C" w:rsidRDefault="008F7422" w:rsidP="00EC41FE">
            <w:pPr>
              <w:pStyle w:val="NoSpacing"/>
              <w:spacing w:before="240"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 xml:space="preserve">Cognitive decline progressed, leading to admission to a nursing home in March 2016. Her husband asked the Elderly Care Physician (ECP) to perform euthanasia based on her AED. The ECP investigated this request based on observations of the patient, speaking to her (although conversations were limited by the advanced stage of dementia) and speaking to her relatives, her former GP, her psychologist, an expert from the Euthanasia Expertise Center and other involved care professionals. </w:t>
            </w:r>
          </w:p>
          <w:p w14:paraId="7C0AA30A" w14:textId="77777777" w:rsidR="008F7422" w:rsidRPr="00967F3C" w:rsidRDefault="008F7422" w:rsidP="00EC41FE">
            <w:pPr>
              <w:pStyle w:val="NoSpacing"/>
              <w:spacing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On a daily basis, the patient showed calm behavior, but also signs of severe restlessness and unhappiness. She told the nursing staff regularly that she wanted to die, but also told her ECP several times she did not yet want to die, because “</w:t>
            </w:r>
            <w:r w:rsidRPr="00967F3C">
              <w:rPr>
                <w:rStyle w:val="Geen"/>
                <w:rFonts w:ascii="Times New Roman" w:hAnsi="Times New Roman" w:cs="Times New Roman"/>
                <w:i/>
                <w:iCs/>
                <w:sz w:val="22"/>
                <w:szCs w:val="22"/>
                <w:lang w:val="en-US"/>
              </w:rPr>
              <w:t>it had not gotten that bad yet</w:t>
            </w:r>
            <w:r w:rsidRPr="00967F3C">
              <w:rPr>
                <w:rStyle w:val="Geen"/>
                <w:rFonts w:ascii="Times New Roman" w:hAnsi="Times New Roman" w:cs="Times New Roman"/>
                <w:sz w:val="22"/>
                <w:szCs w:val="22"/>
                <w:lang w:val="en-US"/>
              </w:rPr>
              <w:t xml:space="preserve">”. The ECP found that the patient was no longer capable of making decisions regarding euthanasia and eventually decided that based on her investigation and the patients’ AED, euthanasia was possible. Two independent physicians examined the case and concluded that all due care criteria were met. </w:t>
            </w:r>
          </w:p>
          <w:p w14:paraId="3F1DB171" w14:textId="77777777" w:rsidR="008F7422" w:rsidRPr="00967F3C" w:rsidRDefault="008F7422" w:rsidP="00EC41FE">
            <w:pPr>
              <w:pStyle w:val="NoSpacing"/>
              <w:spacing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In April 2016, the ECP performed the euthanasia. Beforehand, a sedative was put in the patients’ coffee to prevent agitation, as agreed upon with the family. Nevertheless, the patient tried to sit up while the lethal medication was administered and she needed to be held down by family in order to administer the remaining dose.</w:t>
            </w:r>
          </w:p>
          <w:p w14:paraId="712D0ACC" w14:textId="77777777" w:rsidR="008F7422" w:rsidRPr="00967F3C" w:rsidRDefault="008F7422" w:rsidP="00EC41FE">
            <w:pPr>
              <w:pStyle w:val="NoSpacing"/>
              <w:spacing w:line="480" w:lineRule="auto"/>
              <w:jc w:val="both"/>
              <w:rPr>
                <w:rStyle w:val="Geen"/>
                <w:rFonts w:ascii="Times New Roman" w:eastAsia="Calibri Light" w:hAnsi="Times New Roman" w:cs="Times New Roman"/>
                <w:i/>
                <w:iCs/>
                <w:sz w:val="22"/>
                <w:szCs w:val="22"/>
                <w:lang w:val="en-US"/>
              </w:rPr>
            </w:pPr>
            <w:r w:rsidRPr="00967F3C">
              <w:rPr>
                <w:rStyle w:val="Geen"/>
                <w:rFonts w:ascii="Times New Roman" w:hAnsi="Times New Roman" w:cs="Times New Roman"/>
                <w:i/>
                <w:iCs/>
                <w:sz w:val="22"/>
                <w:szCs w:val="22"/>
                <w:lang w:val="en-US"/>
              </w:rPr>
              <w:t>Key points of the legal consequences of the case</w:t>
            </w:r>
          </w:p>
          <w:p w14:paraId="680430A3" w14:textId="77777777" w:rsidR="008F7422" w:rsidRPr="00967F3C" w:rsidRDefault="008F7422" w:rsidP="00EC41FE">
            <w:pPr>
              <w:pStyle w:val="NoSpacing"/>
              <w:spacing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 xml:space="preserve">The ECP reported the case to the Regional Review Committee, as required by law. This committee concluded that the ECP had not met the compulsory due care criteria of a voluntary and well-considered request and exercising of due medical care. Consequently, the case was reported to the Health and Youth Care Inspectorate and the Public Prosecution Service, which respectively led to a disciplinary and criminal case. </w:t>
            </w:r>
          </w:p>
          <w:p w14:paraId="03CAD93A" w14:textId="753AC8FC" w:rsidR="008F7422" w:rsidRPr="00967F3C" w:rsidRDefault="008F7422" w:rsidP="00EC41FE">
            <w:pPr>
              <w:pStyle w:val="NoSpacing"/>
              <w:spacing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lastRenderedPageBreak/>
              <w:t>Firstly, the Regional and Central Disciplinary Court concluded that the ECP should not have complied with the euthanasia request based on the AED, since its content was not unambiguous and the expressions of the patient with regard to the euthanasia request were inconsistent. Moreover, the ECP should have tried to discuss her intention to end the patients’ life right before administering the lethal medication. This led to a reprimand from the Regional Disciplinary Court, which was later on reduced to a warning by the Central Disciplinary Court as they found the ECP had acted reprehensibly only to a limited extend</w:t>
            </w:r>
            <w:r w:rsidRPr="00967F3C">
              <w:rPr>
                <w:rStyle w:val="Geen"/>
                <w:rFonts w:ascii="Times New Roman" w:eastAsia="Calibri Light" w:hAnsi="Times New Roman" w:cs="Times New Roman"/>
                <w:sz w:val="22"/>
                <w:szCs w:val="22"/>
                <w:vertAlign w:val="superscript"/>
                <w:lang w:val="en-US"/>
              </w:rPr>
              <w:fldChar w:fldCharType="begin"/>
            </w:r>
            <w:r w:rsidR="00B262F8">
              <w:rPr>
                <w:rStyle w:val="Geen"/>
                <w:rFonts w:ascii="Times New Roman" w:eastAsia="Calibri Light" w:hAnsi="Times New Roman" w:cs="Times New Roman"/>
                <w:sz w:val="22"/>
                <w:szCs w:val="22"/>
                <w:vertAlign w:val="superscript"/>
                <w:lang w:val="en-US"/>
              </w:rPr>
              <w:instrText xml:space="preserve"> ADDIN EN.CITE &lt;EndNote&gt;&lt;Cite&gt;&lt;RecNum&gt;113&lt;/RecNum&gt;&lt;DisplayText&gt;(2, 3)&lt;/DisplayText&gt;&lt;record&gt;&lt;rec-number&gt;113&lt;/rec-number&gt;&lt;foreign-keys&gt;&lt;key app="EN" db-id="95atwfddperesrerf04veszlx2pzwep0sr5d" timestamp="1660298886"&gt;113&lt;/key&gt;&lt;/foreign-keys&gt;&lt;ref-type name="Hearing"&gt;14&lt;/ref-type&gt;&lt;contributors&gt;&lt;/contributors&gt;&lt;titles&gt;&lt;title&gt;RTG, 24 juli 2018, ECLI:NL:TGZCTG:2019:68&lt;/title&gt;&lt;/titles&gt;&lt;dates&gt;&lt;/dates&gt;&lt;urls&gt;&lt;/urls&gt;&lt;/record&gt;&lt;/Cite&gt;&lt;Cite&gt;&lt;RecNum&gt;114&lt;/RecNum&gt;&lt;record&gt;&lt;rec-number&gt;114&lt;/rec-number&gt;&lt;foreign-keys&gt;&lt;key app="EN" db-id="95atwfddperesrerf04veszlx2pzwep0sr5d" timestamp="1660298900"&gt;114&lt;/key&gt;&lt;/foreign-keys&gt;&lt;ref-type name="Hearing"&gt;14&lt;/ref-type&gt;&lt;contributors&gt;&lt;/contributors&gt;&lt;titles&gt;&lt;title&gt;CTG, 19 maart 2019, ECLI:NL:TGZCTG:2019:68&lt;/title&gt;&lt;/titles&gt;&lt;dates&gt;&lt;/dates&gt;&lt;urls&gt;&lt;/urls&gt;&lt;/record&gt;&lt;/Cite&gt;&lt;/EndNote&gt;</w:instrText>
            </w:r>
            <w:r w:rsidRPr="00967F3C">
              <w:rPr>
                <w:rStyle w:val="Geen"/>
                <w:rFonts w:ascii="Times New Roman" w:eastAsia="Calibri Light" w:hAnsi="Times New Roman" w:cs="Times New Roman"/>
                <w:sz w:val="22"/>
                <w:szCs w:val="22"/>
                <w:vertAlign w:val="superscript"/>
                <w:lang w:val="en-US"/>
              </w:rPr>
              <w:fldChar w:fldCharType="separate"/>
            </w:r>
            <w:r w:rsidR="00B262F8">
              <w:rPr>
                <w:rStyle w:val="Geen"/>
                <w:rFonts w:ascii="Times New Roman" w:eastAsia="Calibri Light" w:hAnsi="Times New Roman" w:cs="Times New Roman"/>
                <w:noProof/>
                <w:sz w:val="22"/>
                <w:szCs w:val="22"/>
                <w:vertAlign w:val="superscript"/>
                <w:lang w:val="en-US"/>
              </w:rPr>
              <w:t>(2, 3)</w:t>
            </w:r>
            <w:r w:rsidRPr="00967F3C">
              <w:rPr>
                <w:rStyle w:val="Geen"/>
                <w:rFonts w:ascii="Times New Roman" w:eastAsia="Calibri Light" w:hAnsi="Times New Roman" w:cs="Times New Roman"/>
                <w:sz w:val="22"/>
                <w:szCs w:val="22"/>
                <w:vertAlign w:val="superscript"/>
                <w:lang w:val="en-US"/>
              </w:rPr>
              <w:fldChar w:fldCharType="end"/>
            </w:r>
            <w:r w:rsidRPr="00967F3C">
              <w:rPr>
                <w:rStyle w:val="Geen"/>
                <w:rFonts w:ascii="Times New Roman" w:hAnsi="Times New Roman" w:cs="Times New Roman"/>
                <w:sz w:val="22"/>
                <w:szCs w:val="22"/>
                <w:lang w:val="en-US"/>
              </w:rPr>
              <w:t>.</w:t>
            </w:r>
          </w:p>
          <w:p w14:paraId="17FC2ACA" w14:textId="09F60284" w:rsidR="008F7422" w:rsidRPr="00967F3C" w:rsidRDefault="008F7422" w:rsidP="00EC41FE">
            <w:pPr>
              <w:pStyle w:val="NoSpacing"/>
              <w:spacing w:after="240" w:line="480" w:lineRule="auto"/>
              <w:jc w:val="both"/>
              <w:rPr>
                <w:rStyle w:val="Geen"/>
                <w:rFonts w:ascii="Times New Roman" w:eastAsia="Calibri Light" w:hAnsi="Times New Roman" w:cs="Times New Roman"/>
                <w:sz w:val="22"/>
                <w:szCs w:val="22"/>
                <w:lang w:val="en-US"/>
              </w:rPr>
            </w:pPr>
            <w:r w:rsidRPr="00967F3C">
              <w:rPr>
                <w:rStyle w:val="Geen"/>
                <w:rFonts w:ascii="Times New Roman" w:hAnsi="Times New Roman" w:cs="Times New Roman"/>
                <w:sz w:val="22"/>
                <w:szCs w:val="22"/>
                <w:lang w:val="en-US"/>
              </w:rPr>
              <w:t>Secondly, the District Court acquitted the ECP of all criminal charges, stating that verbal verification of the current life- or death wish of the patient was not necessary since due to the advanced stage of dementia, given the “specific position of the incompetent patient”. Demanding this verification would undermine the aim of the AED, which is “</w:t>
            </w:r>
            <w:r w:rsidRPr="00967F3C">
              <w:rPr>
                <w:rStyle w:val="Geen"/>
                <w:rFonts w:ascii="Times New Roman" w:hAnsi="Times New Roman" w:cs="Times New Roman"/>
                <w:i/>
                <w:iCs/>
                <w:sz w:val="22"/>
                <w:szCs w:val="22"/>
                <w:lang w:val="en-US"/>
              </w:rPr>
              <w:t>meant for the situation that someone writes up an AED and gets in a situation of unbearable suffering with no prospect of improvement, being no longer capable of expressing his desires</w:t>
            </w:r>
            <w:r w:rsidRPr="00967F3C">
              <w:rPr>
                <w:rStyle w:val="Geen"/>
                <w:rFonts w:ascii="Times New Roman" w:hAnsi="Times New Roman" w:cs="Times New Roman"/>
                <w:sz w:val="22"/>
                <w:szCs w:val="22"/>
                <w:lang w:val="en-US"/>
              </w:rPr>
              <w:t>”</w:t>
            </w:r>
            <w:r w:rsidRPr="00967F3C">
              <w:rPr>
                <w:rStyle w:val="Geen"/>
                <w:rFonts w:ascii="Times New Roman" w:eastAsia="Calibri Light" w:hAnsi="Times New Roman" w:cs="Times New Roman"/>
                <w:sz w:val="22"/>
                <w:szCs w:val="22"/>
                <w:vertAlign w:val="superscript"/>
              </w:rPr>
              <w:fldChar w:fldCharType="begin"/>
            </w:r>
            <w:r w:rsidR="00B262F8" w:rsidRPr="00EC41FE">
              <w:rPr>
                <w:rStyle w:val="Geen"/>
                <w:rFonts w:ascii="Times New Roman" w:eastAsia="Calibri Light" w:hAnsi="Times New Roman" w:cs="Times New Roman"/>
                <w:sz w:val="22"/>
                <w:szCs w:val="22"/>
                <w:vertAlign w:val="superscript"/>
                <w:lang w:val="en-US"/>
              </w:rPr>
              <w:instrText xml:space="preserve"> ADDIN EN.CITE &lt;EndNote&gt;&lt;Cite&gt;&lt;RecNum&gt;96&lt;/RecNum&gt;&lt;DisplayText&gt;(4)&lt;/DisplayText&gt;&lt;record&gt;&lt;rec-number&gt;96&lt;/rec-number&gt;&lt;foreign-keys&gt;&lt;key app="EN" db-id="95atwfddperesrerf04veszlx2pzwep0sr5d" timestamp="1660294066"&gt;96&lt;/key&gt;&lt;/foreign-keys&gt;&lt;ref-type name="Hearing"&gt;14&lt;/ref-type&gt;&lt;contributors&gt;&lt;/contributors&gt;&lt;titles&gt;&lt;title&gt;Rechtbank Den Haag, 11 september 2019, ECLI:NL:RBDHA:2019:9506&lt;/title&gt;&lt;/titles&gt;&lt;dates&gt;&lt;/dates&gt;&lt;urls&gt;&lt;/urls&gt;&lt;/record&gt;&lt;/Cite&gt;&lt;/EndNote&gt;</w:instrText>
            </w:r>
            <w:r w:rsidRPr="00967F3C">
              <w:rPr>
                <w:rStyle w:val="Geen"/>
                <w:rFonts w:ascii="Times New Roman" w:eastAsia="Calibri Light" w:hAnsi="Times New Roman" w:cs="Times New Roman"/>
                <w:sz w:val="22"/>
                <w:szCs w:val="22"/>
                <w:vertAlign w:val="superscript"/>
              </w:rPr>
              <w:fldChar w:fldCharType="separate"/>
            </w:r>
            <w:r w:rsidR="00B262F8" w:rsidRPr="00B262F8">
              <w:rPr>
                <w:rStyle w:val="Geen"/>
                <w:rFonts w:ascii="Times New Roman" w:eastAsia="Calibri Light" w:hAnsi="Times New Roman" w:cs="Times New Roman"/>
                <w:noProof/>
                <w:sz w:val="22"/>
                <w:szCs w:val="22"/>
                <w:vertAlign w:val="superscript"/>
                <w:lang w:val="en-US"/>
              </w:rPr>
              <w:t>(4)</w:t>
            </w:r>
            <w:r w:rsidRPr="00967F3C">
              <w:rPr>
                <w:rStyle w:val="Geen"/>
                <w:rFonts w:ascii="Times New Roman" w:eastAsia="Calibri Light" w:hAnsi="Times New Roman" w:cs="Times New Roman"/>
                <w:sz w:val="22"/>
                <w:szCs w:val="22"/>
                <w:vertAlign w:val="superscript"/>
              </w:rPr>
              <w:fldChar w:fldCharType="end"/>
            </w:r>
            <w:r w:rsidRPr="00967F3C">
              <w:rPr>
                <w:rStyle w:val="Geen"/>
                <w:rFonts w:ascii="Times New Roman" w:hAnsi="Times New Roman" w:cs="Times New Roman"/>
                <w:sz w:val="22"/>
                <w:szCs w:val="22"/>
                <w:lang w:val="en-US"/>
              </w:rPr>
              <w:t>.</w:t>
            </w:r>
          </w:p>
          <w:p w14:paraId="40023B02" w14:textId="7D4B9B95" w:rsidR="008F7422" w:rsidRPr="00967F3C" w:rsidRDefault="008F7422" w:rsidP="00EC41FE">
            <w:pPr>
              <w:pStyle w:val="NoSpacing"/>
              <w:spacing w:line="480" w:lineRule="auto"/>
              <w:jc w:val="both"/>
              <w:rPr>
                <w:rFonts w:ascii="Times New Roman" w:hAnsi="Times New Roman" w:cs="Times New Roman"/>
                <w:sz w:val="22"/>
                <w:szCs w:val="22"/>
                <w:lang w:val="en-US"/>
              </w:rPr>
            </w:pPr>
            <w:r w:rsidRPr="00967F3C">
              <w:rPr>
                <w:rStyle w:val="Geen"/>
                <w:rFonts w:ascii="Times New Roman" w:hAnsi="Times New Roman" w:cs="Times New Roman"/>
                <w:sz w:val="22"/>
                <w:szCs w:val="22"/>
                <w:lang w:val="en-US"/>
              </w:rPr>
              <w:t>In 2020, the Supreme Court upheld the judgement of the District Court and quashed the decision of the Disciplinary Court, stating that the euthanasia request should not only be interpreted based on the actual writing of the AED, but also on the other circumstances (</w:t>
            </w:r>
            <w:r w:rsidR="005D34A3" w:rsidRPr="00967F3C">
              <w:rPr>
                <w:rStyle w:val="Geen"/>
                <w:rFonts w:ascii="Times New Roman" w:hAnsi="Times New Roman" w:cs="Times New Roman"/>
                <w:sz w:val="22"/>
                <w:szCs w:val="22"/>
                <w:lang w:val="en-US"/>
              </w:rPr>
              <w:t>e.g.,</w:t>
            </w:r>
            <w:r w:rsidRPr="00967F3C">
              <w:rPr>
                <w:rStyle w:val="Geen"/>
                <w:rFonts w:ascii="Times New Roman" w:hAnsi="Times New Roman" w:cs="Times New Roman"/>
                <w:sz w:val="22"/>
                <w:szCs w:val="22"/>
                <w:lang w:val="en-US"/>
              </w:rPr>
              <w:t xml:space="preserve"> expressions of the patient and the beliefs of relatives and other involved care professionals) of which the physician can deduct the meaning of the patient. Furthermore, administering sedative medication beforehand does not rule out due medical care, since euthanasia should be performed in the most comfortable way for the patient</w:t>
            </w:r>
            <w:r w:rsidRPr="00967F3C">
              <w:rPr>
                <w:rStyle w:val="Geen"/>
                <w:rFonts w:ascii="Times New Roman" w:eastAsia="Calibri Light" w:hAnsi="Times New Roman" w:cs="Times New Roman"/>
                <w:sz w:val="22"/>
                <w:szCs w:val="22"/>
                <w:vertAlign w:val="superscript"/>
              </w:rPr>
              <w:fldChar w:fldCharType="begin"/>
            </w:r>
            <w:r w:rsidR="00B262F8" w:rsidRPr="00EC41FE">
              <w:rPr>
                <w:rStyle w:val="Geen"/>
                <w:rFonts w:ascii="Times New Roman" w:eastAsia="Calibri Light" w:hAnsi="Times New Roman" w:cs="Times New Roman"/>
                <w:sz w:val="22"/>
                <w:szCs w:val="22"/>
                <w:vertAlign w:val="superscript"/>
                <w:lang w:val="en-US"/>
              </w:rPr>
              <w:instrText xml:space="preserve"> ADDIN EN.CITE &lt;EndNote&gt;&lt;Cite&gt;&lt;RecNum&gt;93&lt;/RecNum&gt;&lt;DisplayText&gt;(5)&lt;/DisplayText&gt;&lt;record&gt;&lt;rec-number&gt;93&lt;/rec-number&gt;&lt;foreign-keys&gt;&lt;key app="EN" db-id="95atwfddperesrerf04veszlx2pzwep0sr5d" timestamp="1660292890"&gt;93&lt;/key&gt;&lt;/foreign-keys&gt;&lt;ref-type name="Hearing"&gt;14&lt;/ref-type&gt;&lt;contributors&gt;&lt;/contributors&gt;&lt;titles&gt;&lt;title&gt;HR, 17 december 2019, ECLI:NL:PHR:2019:1339&lt;/title&gt;&lt;/titles&gt;&lt;dates&gt;&lt;/dates&gt;&lt;urls&gt;&lt;/urls&gt;&lt;/record&gt;&lt;/Cite&gt;&lt;/EndNote&gt;</w:instrText>
            </w:r>
            <w:r w:rsidRPr="00967F3C">
              <w:rPr>
                <w:rStyle w:val="Geen"/>
                <w:rFonts w:ascii="Times New Roman" w:eastAsia="Calibri Light" w:hAnsi="Times New Roman" w:cs="Times New Roman"/>
                <w:sz w:val="22"/>
                <w:szCs w:val="22"/>
                <w:vertAlign w:val="superscript"/>
              </w:rPr>
              <w:fldChar w:fldCharType="separate"/>
            </w:r>
            <w:r w:rsidR="00B262F8" w:rsidRPr="00B262F8">
              <w:rPr>
                <w:rStyle w:val="Geen"/>
                <w:rFonts w:ascii="Times New Roman" w:eastAsia="Calibri Light" w:hAnsi="Times New Roman" w:cs="Times New Roman"/>
                <w:noProof/>
                <w:sz w:val="22"/>
                <w:szCs w:val="22"/>
                <w:vertAlign w:val="superscript"/>
                <w:lang w:val="en-US"/>
              </w:rPr>
              <w:t>(5)</w:t>
            </w:r>
            <w:r w:rsidRPr="00967F3C">
              <w:rPr>
                <w:rStyle w:val="Geen"/>
                <w:rFonts w:ascii="Times New Roman" w:eastAsia="Calibri Light" w:hAnsi="Times New Roman" w:cs="Times New Roman"/>
                <w:sz w:val="22"/>
                <w:szCs w:val="22"/>
                <w:vertAlign w:val="superscript"/>
              </w:rPr>
              <w:fldChar w:fldCharType="end"/>
            </w:r>
            <w:r w:rsidRPr="00967F3C">
              <w:rPr>
                <w:rStyle w:val="Geen"/>
                <w:rFonts w:ascii="Times New Roman" w:hAnsi="Times New Roman" w:cs="Times New Roman"/>
                <w:sz w:val="22"/>
                <w:szCs w:val="22"/>
                <w:lang w:val="en-US"/>
              </w:rPr>
              <w:t>.</w:t>
            </w:r>
          </w:p>
        </w:tc>
      </w:tr>
    </w:tbl>
    <w:p w14:paraId="4FBA0364" w14:textId="77777777" w:rsidR="008F7422" w:rsidRPr="002A2E1C" w:rsidRDefault="008F7422" w:rsidP="00EC41FE">
      <w:pPr>
        <w:pStyle w:val="NoSpacing"/>
        <w:widowControl w:val="0"/>
        <w:spacing w:line="480" w:lineRule="auto"/>
        <w:jc w:val="both"/>
        <w:rPr>
          <w:rStyle w:val="Geen"/>
          <w:rFonts w:ascii="Times New Roman" w:eastAsia="Carlito" w:hAnsi="Times New Roman" w:cs="Times New Roman"/>
          <w:b/>
          <w:bCs/>
          <w:sz w:val="24"/>
          <w:szCs w:val="24"/>
          <w:lang w:val="en-US"/>
        </w:rPr>
      </w:pPr>
    </w:p>
    <w:p w14:paraId="42D69ECD" w14:textId="5D1F287A" w:rsidR="00F13701" w:rsidRPr="0016416F" w:rsidRDefault="005901A8" w:rsidP="00EC41FE">
      <w:pPr>
        <w:pStyle w:val="NoSpacing"/>
        <w:spacing w:after="240" w:line="480" w:lineRule="auto"/>
        <w:jc w:val="both"/>
        <w:rPr>
          <w:rFonts w:ascii="Times New Roman" w:hAnsi="Times New Roman" w:cs="Times New Roman"/>
          <w:bCs/>
          <w:sz w:val="24"/>
          <w:szCs w:val="24"/>
          <w:vertAlign w:val="superscript"/>
          <w:lang w:val="en-US"/>
        </w:rPr>
      </w:pPr>
      <w:r w:rsidRPr="00F13701">
        <w:rPr>
          <w:rFonts w:ascii="Times New Roman" w:eastAsia="Carlito" w:hAnsi="Times New Roman" w:cs="Times New Roman"/>
          <w:b/>
          <w:sz w:val="24"/>
          <w:szCs w:val="24"/>
          <w:lang w:val="en-US"/>
        </w:rPr>
        <w:t>Appendix 3</w:t>
      </w:r>
      <w:r w:rsidRPr="00F13701">
        <w:rPr>
          <w:rFonts w:ascii="Times New Roman" w:eastAsia="Carlito" w:hAnsi="Times New Roman" w:cs="Times New Roman"/>
          <w:bCs/>
          <w:sz w:val="24"/>
          <w:szCs w:val="24"/>
          <w:lang w:val="en-US"/>
        </w:rPr>
        <w:t xml:space="preserve"> | Overview of Dutch Euthanasia </w:t>
      </w:r>
      <w:r>
        <w:rPr>
          <w:rFonts w:ascii="Times New Roman" w:eastAsia="Carlito" w:hAnsi="Times New Roman" w:cs="Times New Roman"/>
          <w:bCs/>
          <w:sz w:val="24"/>
          <w:szCs w:val="24"/>
          <w:lang w:val="en-US"/>
        </w:rPr>
        <w:t>l</w:t>
      </w:r>
      <w:r w:rsidRPr="00F13701">
        <w:rPr>
          <w:rFonts w:ascii="Times New Roman" w:eastAsia="Carlito" w:hAnsi="Times New Roman" w:cs="Times New Roman"/>
          <w:bCs/>
          <w:sz w:val="24"/>
          <w:szCs w:val="24"/>
          <w:lang w:val="en-US"/>
        </w:rPr>
        <w:t>aw</w:t>
      </w:r>
      <w:r w:rsidRPr="00E239A6">
        <w:rPr>
          <w:rFonts w:ascii="Times New Roman" w:hAnsi="Times New Roman" w:cs="Times New Roman"/>
          <w:bCs/>
          <w:sz w:val="24"/>
          <w:szCs w:val="24"/>
          <w:vertAlign w:val="superscript"/>
          <w:lang w:val="en-US"/>
        </w:rPr>
        <w:t xml:space="preserve"> </w:t>
      </w:r>
      <w:r w:rsidR="006714A7" w:rsidRPr="00E239A6">
        <w:rPr>
          <w:rFonts w:ascii="Times New Roman" w:hAnsi="Times New Roman" w:cs="Times New Roman"/>
          <w:bCs/>
          <w:sz w:val="24"/>
          <w:szCs w:val="24"/>
          <w:vertAlign w:val="superscript"/>
          <w:lang w:val="en-US"/>
        </w:rPr>
        <w:fldChar w:fldCharType="begin"/>
      </w:r>
      <w:r w:rsidR="00A228D5">
        <w:rPr>
          <w:rFonts w:ascii="Times New Roman" w:hAnsi="Times New Roman" w:cs="Times New Roman"/>
          <w:bCs/>
          <w:sz w:val="24"/>
          <w:szCs w:val="24"/>
          <w:vertAlign w:val="superscript"/>
          <w:lang w:val="en-US"/>
        </w:rPr>
        <w:instrText xml:space="preserve"> ADDIN EN.CITE &lt;EndNote&gt;&lt;Cite&gt;&lt;RecNum&gt;7&lt;/RecNum&gt;&lt;DisplayText&gt;(6-8)&lt;/DisplayText&gt;&lt;record&gt;&lt;rec-number&gt;7&lt;/rec-number&gt;&lt;foreign-keys&gt;&lt;key app="EN" db-id="90wsz5zx5fsa5ye5ps2v05er0d2s25vszfff" timestamp="1726220036"&gt;7&lt;/key&gt;&lt;/foreign-keys&gt;&lt;ref-type name="Legal Rule or Regulation"&gt;50&lt;/ref-type&gt;&lt;contributors&gt;&lt;/contributors&gt;&lt;titles&gt;&lt;title&gt;Termination of Life on Request and Assisted Suicide Review Act; Article 2, paragraph 2 [in Dutch]. https://wetten.overheid.nl/jci1.3:c:BWBR0012410&amp;amp;z=2020-03-19&amp;amp;g=2020-03-19 [accessed 14 June 2023]&lt;/title&gt;&lt;/titles&gt;&lt;dates&gt;&lt;/dates&gt;&lt;urls&gt;&lt;/urls&gt;&lt;/record&gt;&lt;/Cite&gt;&lt;Cite&gt;&lt;Author&gt;Gevers&lt;/Author&gt;&lt;Year&gt;1996&lt;/Year&gt;&lt;RecNum&gt;153&lt;/RecNum&gt;&lt;record&gt;&lt;rec-number&gt;153&lt;/rec-number&gt;&lt;foreign-keys&gt;&lt;key app="EN" db-id="00e2dtv0hafz0oeaf28vtwr1dsps0rzsp2rz" timestamp="1726220643"&gt;153&lt;/key&gt;&lt;/foreign-keys&gt;&lt;ref-type name="Journal Article"&gt;17&lt;/ref-type&gt;&lt;contributors&gt;&lt;authors&gt;&lt;author&gt;Gevers, S.&lt;/author&gt;&lt;/authors&gt;&lt;/contributors&gt;&lt;titles&gt;&lt;title&gt;Euthanasia law and practice in The Netherlands&lt;/title&gt;&lt;secondary-title&gt;British Medical Bulletin&lt;/secondary-title&gt;&lt;/titles&gt;&lt;periodical&gt;&lt;full-title&gt;British Medical Bulletin&lt;/full-title&gt;&lt;/periodical&gt;&lt;pages&gt;326-333&lt;/pages&gt;&lt;volume&gt;52&lt;/volume&gt;&lt;number&gt;2&lt;/number&gt;&lt;dates&gt;&lt;year&gt;1996&lt;/year&gt;&lt;/dates&gt;&lt;urls&gt;&lt;/urls&gt;&lt;/record&gt;&lt;/Cite&gt;&lt;Cite&gt;&lt;Author&gt;(NVVE)&lt;/Author&gt;&lt;Year&gt;2022&lt;/Year&gt;&lt;RecNum&gt;154&lt;/RecNum&gt;&lt;record&gt;&lt;rec-number&gt;154&lt;/rec-number&gt;&lt;foreign-keys&gt;&lt;key app="EN" db-id="00e2dtv0hafz0oeaf28vtwr1dsps0rzsp2rz" timestamp="1726220766"&gt;154&lt;/key&gt;&lt;/foreign-keys&gt;&lt;ref-type name="Journal Article"&gt;17&lt;/ref-type&gt;&lt;contributors&gt;&lt;authors&gt;&lt;author&gt;Nederlandse Vereniging voor een Vrijwillig Levenseinde (NVVE)&lt;/author&gt;&lt;/authors&gt;&lt;/contributors&gt;&lt;titles&gt;&lt;title&gt;20 jaar euthanasiewet [In Dutch]&lt;/title&gt;&lt;secondary-title&gt;Relevant&lt;/secondary-title&gt;&lt;/titles&gt;&lt;periodical&gt;&lt;full-title&gt;Relevant&lt;/full-title&gt;&lt;/periodical&gt;&lt;pages&gt;1-44&lt;/pages&gt;&lt;volume&gt;1&lt;/volume&gt;&lt;dates&gt;&lt;year&gt;2022&lt;/year&gt;&lt;/dates&gt;&lt;urls&gt;&lt;/urls&gt;&lt;/record&gt;&lt;/Cite&gt;&lt;/EndNote&gt;</w:instrText>
      </w:r>
      <w:r w:rsidR="006714A7" w:rsidRPr="00E239A6">
        <w:rPr>
          <w:rFonts w:ascii="Times New Roman" w:hAnsi="Times New Roman" w:cs="Times New Roman"/>
          <w:bCs/>
          <w:sz w:val="24"/>
          <w:szCs w:val="24"/>
          <w:vertAlign w:val="superscript"/>
          <w:lang w:val="en-US"/>
        </w:rPr>
        <w:fldChar w:fldCharType="separate"/>
      </w:r>
      <w:r w:rsidR="00A228D5">
        <w:rPr>
          <w:rFonts w:ascii="Times New Roman" w:hAnsi="Times New Roman" w:cs="Times New Roman"/>
          <w:bCs/>
          <w:noProof/>
          <w:sz w:val="24"/>
          <w:szCs w:val="24"/>
          <w:vertAlign w:val="superscript"/>
          <w:lang w:val="en-US"/>
        </w:rPr>
        <w:t>(6-8)</w:t>
      </w:r>
      <w:r w:rsidR="006714A7" w:rsidRPr="00E239A6">
        <w:rPr>
          <w:rFonts w:ascii="Times New Roman" w:hAnsi="Times New Roman" w:cs="Times New Roman"/>
          <w:bCs/>
          <w:sz w:val="24"/>
          <w:szCs w:val="24"/>
          <w:vertAlign w:val="superscript"/>
          <w:lang w:val="en-US"/>
        </w:rPr>
        <w:fldChar w:fldCharType="end"/>
      </w:r>
      <w:r w:rsidR="0016416F" w:rsidRPr="00F13701">
        <w:rPr>
          <w:rFonts w:ascii="Times New Roman" w:eastAsia="Carlito" w:hAnsi="Times New Roman" w:cs="Times New Roman"/>
          <w:bCs/>
          <w:sz w:val="24"/>
          <w:szCs w:val="24"/>
          <w:lang w:val="en-US"/>
        </w:rPr>
        <w:t xml:space="preserve">, </w:t>
      </w:r>
      <w:r w:rsidR="0016416F">
        <w:rPr>
          <w:rFonts w:ascii="Times New Roman" w:eastAsia="Carlito" w:hAnsi="Times New Roman" w:cs="Times New Roman"/>
          <w:bCs/>
          <w:sz w:val="24"/>
          <w:szCs w:val="24"/>
          <w:lang w:val="en-US"/>
        </w:rPr>
        <w:t>k</w:t>
      </w:r>
      <w:r w:rsidR="0016416F" w:rsidRPr="00F13701">
        <w:rPr>
          <w:rFonts w:ascii="Times New Roman" w:eastAsia="Carlito" w:hAnsi="Times New Roman" w:cs="Times New Roman"/>
          <w:bCs/>
          <w:sz w:val="24"/>
          <w:szCs w:val="24"/>
          <w:lang w:val="en-US"/>
        </w:rPr>
        <w:t xml:space="preserve">ey </w:t>
      </w:r>
      <w:r w:rsidR="0016416F">
        <w:rPr>
          <w:rFonts w:ascii="Times New Roman" w:eastAsia="Carlito" w:hAnsi="Times New Roman" w:cs="Times New Roman"/>
          <w:bCs/>
          <w:sz w:val="24"/>
          <w:szCs w:val="24"/>
          <w:lang w:val="en-US"/>
        </w:rPr>
        <w:t>l</w:t>
      </w:r>
      <w:r w:rsidR="0016416F" w:rsidRPr="00F13701">
        <w:rPr>
          <w:rFonts w:ascii="Times New Roman" w:eastAsia="Carlito" w:hAnsi="Times New Roman" w:cs="Times New Roman"/>
          <w:bCs/>
          <w:sz w:val="24"/>
          <w:szCs w:val="24"/>
          <w:lang w:val="en-US"/>
        </w:rPr>
        <w:t xml:space="preserve">egislative </w:t>
      </w:r>
      <w:r w:rsidR="0016416F">
        <w:rPr>
          <w:rFonts w:ascii="Times New Roman" w:eastAsia="Carlito" w:hAnsi="Times New Roman" w:cs="Times New Roman"/>
          <w:bCs/>
          <w:sz w:val="24"/>
          <w:szCs w:val="24"/>
          <w:lang w:val="en-US"/>
        </w:rPr>
        <w:t>c</w:t>
      </w:r>
      <w:r w:rsidR="0016416F" w:rsidRPr="00F13701">
        <w:rPr>
          <w:rFonts w:ascii="Times New Roman" w:eastAsia="Carlito" w:hAnsi="Times New Roman" w:cs="Times New Roman"/>
          <w:bCs/>
          <w:sz w:val="24"/>
          <w:szCs w:val="24"/>
          <w:lang w:val="en-US"/>
        </w:rPr>
        <w:t xml:space="preserve">hanges and </w:t>
      </w:r>
      <w:r w:rsidR="0016416F">
        <w:rPr>
          <w:rFonts w:ascii="Times New Roman" w:eastAsia="Carlito" w:hAnsi="Times New Roman" w:cs="Times New Roman"/>
          <w:bCs/>
          <w:sz w:val="24"/>
          <w:szCs w:val="24"/>
          <w:lang w:val="en-US"/>
        </w:rPr>
        <w:t>r</w:t>
      </w:r>
      <w:r w:rsidR="0016416F" w:rsidRPr="00F13701">
        <w:rPr>
          <w:rFonts w:ascii="Times New Roman" w:eastAsia="Carlito" w:hAnsi="Times New Roman" w:cs="Times New Roman"/>
          <w:bCs/>
          <w:sz w:val="24"/>
          <w:szCs w:val="24"/>
          <w:lang w:val="en-US"/>
        </w:rPr>
        <w:t xml:space="preserve">ecent </w:t>
      </w:r>
      <w:r w:rsidR="0016416F">
        <w:rPr>
          <w:rFonts w:ascii="Times New Roman" w:eastAsia="Carlito" w:hAnsi="Times New Roman" w:cs="Times New Roman"/>
          <w:bCs/>
          <w:sz w:val="24"/>
          <w:szCs w:val="24"/>
          <w:lang w:val="en-US"/>
        </w:rPr>
        <w:t>j</w:t>
      </w:r>
      <w:r w:rsidR="0016416F" w:rsidRPr="00F13701">
        <w:rPr>
          <w:rFonts w:ascii="Times New Roman" w:eastAsia="Carlito" w:hAnsi="Times New Roman" w:cs="Times New Roman"/>
          <w:bCs/>
          <w:sz w:val="24"/>
          <w:szCs w:val="24"/>
          <w:lang w:val="en-US"/>
        </w:rPr>
        <w:t xml:space="preserve">udicial </w:t>
      </w:r>
      <w:r w:rsidR="0016416F">
        <w:rPr>
          <w:rFonts w:ascii="Times New Roman" w:eastAsia="Carlito" w:hAnsi="Times New Roman" w:cs="Times New Roman"/>
          <w:bCs/>
          <w:sz w:val="24"/>
          <w:szCs w:val="24"/>
          <w:lang w:val="en-US"/>
        </w:rPr>
        <w:t>r</w:t>
      </w:r>
      <w:r w:rsidR="0016416F" w:rsidRPr="00F13701">
        <w:rPr>
          <w:rFonts w:ascii="Times New Roman" w:eastAsia="Carlito" w:hAnsi="Times New Roman" w:cs="Times New Roman"/>
          <w:bCs/>
          <w:sz w:val="24"/>
          <w:szCs w:val="24"/>
          <w:lang w:val="en-US"/>
        </w:rPr>
        <w:t>ulings</w:t>
      </w:r>
      <w:r w:rsidR="006714A7" w:rsidRPr="00E239A6">
        <w:rPr>
          <w:rFonts w:ascii="Times New Roman" w:hAnsi="Times New Roman" w:cs="Times New Roman"/>
          <w:bCs/>
          <w:sz w:val="24"/>
          <w:szCs w:val="24"/>
          <w:vertAlign w:val="superscript"/>
          <w:lang w:val="en-US"/>
        </w:rPr>
        <w:fldChar w:fldCharType="begin">
          <w:fldData xml:space="preserve">PEVuZE5vdGU+PENpdGU+PFllYXI+MjAxOTwvWWVhcj48UmVjTnVtPjE5PC9SZWNOdW0+PERpc3Bs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</w:fldData>
        </w:fldChar>
      </w:r>
      <w:r w:rsidR="0016416F">
        <w:rPr>
          <w:rFonts w:ascii="Times New Roman" w:hAnsi="Times New Roman" w:cs="Times New Roman"/>
          <w:bCs/>
          <w:sz w:val="24"/>
          <w:szCs w:val="24"/>
          <w:vertAlign w:val="superscript"/>
          <w:lang w:val="en-US"/>
        </w:rPr>
        <w:instrText xml:space="preserve"> ADDIN EN.CITE </w:instrText>
      </w:r>
      <w:r w:rsidR="0016416F">
        <w:rPr>
          <w:rFonts w:ascii="Times New Roman" w:hAnsi="Times New Roman" w:cs="Times New Roman"/>
          <w:bCs/>
          <w:sz w:val="24"/>
          <w:szCs w:val="24"/>
          <w:vertAlign w:val="superscript"/>
          <w:lang w:val="en-US"/>
        </w:rPr>
        <w:fldChar w:fldCharType="begin">
          <w:fldData xml:space="preserve">PEVuZE5vdGU+PENpdGU+PFllYXI+MjAxOTwvWWVhcj48UmVjTnVtPjE5PC9SZWNOdW0+PERpc3Bs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</w:fldData>
        </w:fldChar>
      </w:r>
      <w:r w:rsidR="0016416F">
        <w:rPr>
          <w:rFonts w:ascii="Times New Roman" w:hAnsi="Times New Roman" w:cs="Times New Roman"/>
          <w:bCs/>
          <w:sz w:val="24"/>
          <w:szCs w:val="24"/>
          <w:vertAlign w:val="superscript"/>
          <w:lang w:val="en-US"/>
        </w:rPr>
        <w:instrText xml:space="preserve"> ADDIN EN.CITE.DATA </w:instrText>
      </w:r>
      <w:r w:rsidR="0016416F">
        <w:rPr>
          <w:rFonts w:ascii="Times New Roman" w:hAnsi="Times New Roman" w:cs="Times New Roman"/>
          <w:bCs/>
          <w:sz w:val="24"/>
          <w:szCs w:val="24"/>
          <w:vertAlign w:val="superscript"/>
          <w:lang w:val="en-US"/>
        </w:rPr>
      </w:r>
      <w:r w:rsidR="0016416F">
        <w:rPr>
          <w:rFonts w:ascii="Times New Roman" w:hAnsi="Times New Roman" w:cs="Times New Roman"/>
          <w:bCs/>
          <w:sz w:val="24"/>
          <w:szCs w:val="24"/>
          <w:vertAlign w:val="superscript"/>
          <w:lang w:val="en-US"/>
        </w:rPr>
        <w:fldChar w:fldCharType="end"/>
      </w:r>
      <w:r w:rsidR="006714A7" w:rsidRPr="00E239A6">
        <w:rPr>
          <w:rFonts w:ascii="Times New Roman" w:hAnsi="Times New Roman" w:cs="Times New Roman"/>
          <w:bCs/>
          <w:sz w:val="24"/>
          <w:szCs w:val="24"/>
          <w:vertAlign w:val="superscript"/>
          <w:lang w:val="en-US"/>
        </w:rPr>
      </w:r>
      <w:r w:rsidR="006714A7" w:rsidRPr="00E239A6">
        <w:rPr>
          <w:rFonts w:ascii="Times New Roman" w:hAnsi="Times New Roman" w:cs="Times New Roman"/>
          <w:bCs/>
          <w:sz w:val="24"/>
          <w:szCs w:val="24"/>
          <w:vertAlign w:val="superscript"/>
          <w:lang w:val="en-US"/>
        </w:rPr>
        <w:fldChar w:fldCharType="separate"/>
      </w:r>
      <w:r w:rsidR="0016416F">
        <w:rPr>
          <w:rFonts w:ascii="Times New Roman" w:hAnsi="Times New Roman" w:cs="Times New Roman"/>
          <w:bCs/>
          <w:noProof/>
          <w:sz w:val="24"/>
          <w:szCs w:val="24"/>
          <w:vertAlign w:val="superscript"/>
          <w:lang w:val="en-US"/>
        </w:rPr>
        <w:t>(9-13)</w:t>
      </w:r>
      <w:r w:rsidR="006714A7" w:rsidRPr="00E239A6">
        <w:rPr>
          <w:rFonts w:ascii="Times New Roman" w:hAnsi="Times New Roman" w:cs="Times New Roman"/>
          <w:bCs/>
          <w:sz w:val="24"/>
          <w:szCs w:val="24"/>
          <w:vertAlign w:val="superscript"/>
          <w:lang w:val="en-US"/>
        </w:rPr>
        <w:fldChar w:fldCharType="end"/>
      </w:r>
    </w:p>
    <w:tbl>
      <w:tblPr>
        <w:tblStyle w:val="TableGrid"/>
        <w:tblW w:w="0" w:type="auto"/>
        <w:tblLook w:val="04A0" w:firstRow="1" w:lastRow="0" w:firstColumn="1" w:lastColumn="0" w:noHBand="0" w:noVBand="1"/>
      </w:tblPr>
      <w:tblGrid>
        <w:gridCol w:w="9056"/>
      </w:tblGrid>
      <w:tr w:rsidR="00B262F8" w:rsidRPr="002B51AE" w14:paraId="7DC334BC" w14:textId="77777777" w:rsidTr="00E537AF">
        <w:tc>
          <w:tcPr>
            <w:tcW w:w="9056" w:type="dxa"/>
          </w:tcPr>
          <w:p w14:paraId="24B4D67E" w14:textId="79C50843"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r w:rsidRPr="00065CE8">
              <w:rPr>
                <w:rFonts w:ascii="Times New Roman" w:hAnsi="Times New Roman" w:cs="Times New Roman"/>
                <w:b/>
                <w:sz w:val="22"/>
                <w:szCs w:val="22"/>
                <w:lang w:val="en-US"/>
              </w:rPr>
              <w:t>The Dutch Penal Code (drafted in 1881, revised in 2014)</w:t>
            </w:r>
            <w:r w:rsidRPr="00065CE8">
              <w:rPr>
                <w:rFonts w:ascii="Times New Roman" w:hAnsi="Times New Roman" w:cs="Times New Roman"/>
                <w:sz w:val="22"/>
                <w:szCs w:val="22"/>
                <w:vertAlign w:val="superscript"/>
                <w:lang w:val="en-US"/>
              </w:rPr>
              <w:fldChar w:fldCharType="begin"/>
            </w:r>
            <w:r w:rsidR="00A228D5">
              <w:rPr>
                <w:rFonts w:ascii="Times New Roman" w:hAnsi="Times New Roman" w:cs="Times New Roman"/>
                <w:sz w:val="22"/>
                <w:szCs w:val="22"/>
                <w:vertAlign w:val="superscript"/>
                <w:lang w:val="en-US"/>
              </w:rPr>
              <w:instrText xml:space="preserve"> ADDIN EN.CITE &lt;EndNote&gt;&lt;Cite&gt;&lt;RecNum&gt;118&lt;/RecNum&gt;&lt;DisplayText&gt;(14)&lt;/DisplayText&gt;&lt;record&gt;&lt;rec-number&gt;118&lt;/rec-number&gt;&lt;foreign-keys&gt;&lt;key app="EN" db-id="95atwfddperesrerf04veszlx2pzwep0sr5d" timestamp="1660317822"&gt;118&lt;/key&gt;&lt;/foreign-keys&gt;&lt;ref-type name="Legal Rule or Regulation"&gt;50&lt;/ref-type&gt;&lt;contributors&gt;&lt;/contributors&gt;&lt;titles&gt;&lt;title&gt;Dutch Penal Code [in Dutch] http://wetten.overheid.nl/BWBR0001854/geldigheidsdatum_27-08-2014/afdrukken [accessed 14 June 2023]&lt;/title&gt;&lt;/titles&gt;&lt;dates&gt;&lt;/dates&gt;&lt;urls&gt;&lt;/urls&gt;&lt;/record&gt;&lt;/Cite&gt;&lt;/EndNote&gt;</w:instrText>
            </w:r>
            <w:r w:rsidRPr="00065CE8">
              <w:rPr>
                <w:rFonts w:ascii="Times New Roman" w:hAnsi="Times New Roman" w:cs="Times New Roman"/>
                <w:sz w:val="22"/>
                <w:szCs w:val="22"/>
                <w:vertAlign w:val="superscript"/>
                <w:lang w:val="en-US"/>
              </w:rPr>
              <w:fldChar w:fldCharType="separate"/>
            </w:r>
            <w:r w:rsidR="00A228D5">
              <w:rPr>
                <w:rFonts w:ascii="Times New Roman" w:hAnsi="Times New Roman" w:cs="Times New Roman"/>
                <w:noProof/>
                <w:sz w:val="22"/>
                <w:szCs w:val="22"/>
                <w:vertAlign w:val="superscript"/>
                <w:lang w:val="en-US"/>
              </w:rPr>
              <w:t>(14)</w:t>
            </w:r>
            <w:r w:rsidRPr="00065CE8">
              <w:rPr>
                <w:rFonts w:ascii="Times New Roman" w:hAnsi="Times New Roman" w:cs="Times New Roman"/>
                <w:sz w:val="22"/>
                <w:szCs w:val="22"/>
                <w:vertAlign w:val="superscript"/>
                <w:lang w:val="en-US"/>
              </w:rPr>
              <w:fldChar w:fldCharType="end"/>
            </w:r>
          </w:p>
          <w:p w14:paraId="48956D40"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065CE8">
              <w:rPr>
                <w:rFonts w:ascii="Times New Roman" w:hAnsi="Times New Roman" w:cs="Times New Roman"/>
                <w:sz w:val="22"/>
                <w:szCs w:val="22"/>
                <w:lang w:val="en-US"/>
              </w:rPr>
              <w:t xml:space="preserve">According to the Dutch Penal Code, euthanasia is classified as a criminal offense, but it is treated separately from murder in Article 293. This article states that “anyone who takes another person’s </w:t>
            </w:r>
            <w:r w:rsidRPr="00065CE8">
              <w:rPr>
                <w:rFonts w:ascii="Times New Roman" w:hAnsi="Times New Roman" w:cs="Times New Roman"/>
                <w:sz w:val="22"/>
                <w:szCs w:val="22"/>
                <w:lang w:val="en-US"/>
              </w:rPr>
              <w:lastRenderedPageBreak/>
              <w:t>life at their explicit and earnest request will be punished by imprisonment for up to 12 years,” unless the act is performed by a physician in accordance with the due care criteria outlined in the Euthanasia Act (Article 2.2) and reported to the Regional Euthanasia Review Committees (RERC).</w:t>
            </w:r>
          </w:p>
          <w:p w14:paraId="278D030C"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p>
          <w:p w14:paraId="67BAB22F"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065CE8">
              <w:rPr>
                <w:rFonts w:ascii="Times New Roman" w:hAnsi="Times New Roman" w:cs="Times New Roman"/>
                <w:b/>
                <w:sz w:val="22"/>
                <w:szCs w:val="22"/>
                <w:lang w:val="en-US"/>
              </w:rPr>
              <w:t xml:space="preserve">Legislative history </w:t>
            </w:r>
          </w:p>
          <w:p w14:paraId="00529237"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065CE8">
              <w:rPr>
                <w:rFonts w:ascii="Times New Roman" w:hAnsi="Times New Roman" w:cs="Times New Roman"/>
                <w:sz w:val="22"/>
                <w:szCs w:val="22"/>
                <w:lang w:val="en-US"/>
              </w:rPr>
              <w:t xml:space="preserve">In </w:t>
            </w:r>
            <w:r w:rsidRPr="00065CE8">
              <w:rPr>
                <w:rFonts w:ascii="Times New Roman" w:hAnsi="Times New Roman" w:cs="Times New Roman"/>
                <w:b/>
                <w:bCs/>
                <w:sz w:val="22"/>
                <w:szCs w:val="22"/>
                <w:lang w:val="en-US"/>
              </w:rPr>
              <w:t>1952</w:t>
            </w:r>
            <w:r w:rsidRPr="00065CE8">
              <w:rPr>
                <w:rFonts w:ascii="Times New Roman" w:hAnsi="Times New Roman" w:cs="Times New Roman"/>
                <w:sz w:val="22"/>
                <w:szCs w:val="22"/>
                <w:lang w:val="en-US"/>
              </w:rPr>
              <w:t>, a physician was prosecuted under Article 293 for ending the life of his brother, who was suffering from tuberculosis. Despite an explicit request from the patient, the physician’s appeal of force majeure was rejected, resulting in a one-year prison sentence. This case introduced the legal concept of a “conflict of duties.”</w:t>
            </w:r>
          </w:p>
          <w:p w14:paraId="7ABFF2FC"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30D9B7CB"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065CE8">
              <w:rPr>
                <w:rFonts w:ascii="Times New Roman" w:hAnsi="Times New Roman" w:cs="Times New Roman"/>
                <w:sz w:val="22"/>
                <w:szCs w:val="22"/>
                <w:lang w:val="en-US"/>
              </w:rPr>
              <w:t xml:space="preserve">In </w:t>
            </w:r>
            <w:r w:rsidRPr="00065CE8">
              <w:rPr>
                <w:rFonts w:ascii="Times New Roman" w:hAnsi="Times New Roman" w:cs="Times New Roman"/>
                <w:b/>
                <w:bCs/>
                <w:sz w:val="22"/>
                <w:szCs w:val="22"/>
                <w:lang w:val="en-US"/>
              </w:rPr>
              <w:t>1973</w:t>
            </w:r>
            <w:r w:rsidRPr="00065CE8">
              <w:rPr>
                <w:rFonts w:ascii="Times New Roman" w:hAnsi="Times New Roman" w:cs="Times New Roman"/>
                <w:sz w:val="22"/>
                <w:szCs w:val="22"/>
                <w:lang w:val="en-US"/>
              </w:rPr>
              <w:t>, the Postma case initiated public debate on euthanasia in the Netherlands. A general practitioner (GP) was prosecuted for administering a lethal dose of morphine to his mother, who had requested euthanasia following a cerebral hemorrhage. The physician was found guilty for not attempting palliative care first. This case established legal conditions justifying life-shortening actions, including terminal illness, unbearable suffering, a patient's explicit request, and physician involvement.</w:t>
            </w:r>
          </w:p>
          <w:p w14:paraId="2B6CAD8E"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034AED04"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r w:rsidRPr="00065CE8">
              <w:rPr>
                <w:rFonts w:ascii="Times New Roman" w:hAnsi="Times New Roman" w:cs="Times New Roman"/>
                <w:bCs/>
                <w:sz w:val="22"/>
                <w:szCs w:val="22"/>
                <w:lang w:val="en-US"/>
              </w:rPr>
              <w:t>The</w:t>
            </w:r>
            <w:r w:rsidRPr="00065CE8">
              <w:rPr>
                <w:rFonts w:ascii="Times New Roman" w:hAnsi="Times New Roman" w:cs="Times New Roman"/>
                <w:b/>
                <w:sz w:val="22"/>
                <w:szCs w:val="22"/>
                <w:lang w:val="en-US"/>
              </w:rPr>
              <w:t xml:space="preserve"> 1981 </w:t>
            </w:r>
            <w:r w:rsidRPr="00065CE8">
              <w:rPr>
                <w:rFonts w:ascii="Times New Roman" w:hAnsi="Times New Roman" w:cs="Times New Roman"/>
                <w:bCs/>
                <w:sz w:val="22"/>
                <w:szCs w:val="22"/>
                <w:lang w:val="en-US"/>
              </w:rPr>
              <w:t>Wertheim case further refined these criteria, adding that euthanasia or assisted suicide decisions must involve a physician who prescribes the medication.</w:t>
            </w:r>
          </w:p>
          <w:p w14:paraId="6C73706B"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23AC9B08"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r w:rsidRPr="00065CE8">
              <w:rPr>
                <w:rFonts w:ascii="Times New Roman" w:hAnsi="Times New Roman" w:cs="Times New Roman"/>
                <w:bCs/>
                <w:sz w:val="22"/>
                <w:szCs w:val="22"/>
                <w:lang w:val="en-US"/>
              </w:rPr>
              <w:t>By</w:t>
            </w:r>
            <w:r w:rsidRPr="00065CE8">
              <w:rPr>
                <w:rFonts w:ascii="Times New Roman" w:hAnsi="Times New Roman" w:cs="Times New Roman"/>
                <w:b/>
                <w:sz w:val="22"/>
                <w:szCs w:val="22"/>
                <w:lang w:val="en-US"/>
              </w:rPr>
              <w:t xml:space="preserve"> 1984</w:t>
            </w:r>
            <w:r w:rsidRPr="00065CE8">
              <w:rPr>
                <w:rFonts w:ascii="Times New Roman" w:hAnsi="Times New Roman" w:cs="Times New Roman"/>
                <w:bCs/>
                <w:sz w:val="22"/>
                <w:szCs w:val="22"/>
                <w:lang w:val="en-US"/>
              </w:rPr>
              <w:t>, the Supreme Court ruled in the Schoonheim case that euthanasia could be permissible under certain conditions, marking the first instance where euthanasia was proven but not penalized. This case emphasized the right to self-determination, third-party assistance for a humane death, and the importance of a well-considered, explicit request.</w:t>
            </w:r>
          </w:p>
          <w:p w14:paraId="2FC44A83"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186B5DCE"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065CE8">
              <w:rPr>
                <w:rFonts w:ascii="Times New Roman" w:hAnsi="Times New Roman" w:cs="Times New Roman"/>
                <w:bCs/>
                <w:sz w:val="22"/>
                <w:szCs w:val="22"/>
                <w:lang w:val="en-US"/>
              </w:rPr>
              <w:t xml:space="preserve">In </w:t>
            </w:r>
            <w:r w:rsidRPr="00065CE8">
              <w:rPr>
                <w:rFonts w:ascii="Times New Roman" w:hAnsi="Times New Roman" w:cs="Times New Roman"/>
                <w:b/>
                <w:sz w:val="22"/>
                <w:szCs w:val="22"/>
                <w:lang w:val="en-US"/>
              </w:rPr>
              <w:t>the following years</w:t>
            </w:r>
            <w:r w:rsidRPr="00065CE8">
              <w:rPr>
                <w:rFonts w:ascii="Times New Roman" w:hAnsi="Times New Roman" w:cs="Times New Roman"/>
                <w:bCs/>
                <w:sz w:val="22"/>
                <w:szCs w:val="22"/>
                <w:lang w:val="en-US"/>
              </w:rPr>
              <w:t>, legislative proposals were introduced to remove euthanasia from the Dutch Penal Code. While the</w:t>
            </w:r>
            <w:r w:rsidRPr="00065CE8">
              <w:rPr>
                <w:rFonts w:ascii="Times New Roman" w:hAnsi="Times New Roman" w:cs="Times New Roman"/>
                <w:b/>
                <w:sz w:val="22"/>
                <w:szCs w:val="22"/>
                <w:lang w:val="en-US"/>
              </w:rPr>
              <w:t xml:space="preserve"> 1993 </w:t>
            </w:r>
            <w:r w:rsidRPr="00065CE8">
              <w:rPr>
                <w:rFonts w:ascii="Times New Roman" w:hAnsi="Times New Roman" w:cs="Times New Roman"/>
                <w:bCs/>
                <w:sz w:val="22"/>
                <w:szCs w:val="22"/>
                <w:lang w:val="en-US"/>
              </w:rPr>
              <w:t xml:space="preserve">proposal to make euthanasia accountable to the Public Health </w:t>
            </w:r>
            <w:r w:rsidRPr="00065CE8">
              <w:rPr>
                <w:rFonts w:ascii="Times New Roman" w:hAnsi="Times New Roman" w:cs="Times New Roman"/>
                <w:bCs/>
                <w:sz w:val="22"/>
                <w:szCs w:val="22"/>
                <w:lang w:val="en-US"/>
              </w:rPr>
              <w:lastRenderedPageBreak/>
              <w:t>Inspectorate failed, an amendment to the Funeral Care Act was passed, establishing a legal procedure for reporting euthanasia and assisted suicide cases.</w:t>
            </w:r>
          </w:p>
          <w:p w14:paraId="69FA75FC"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488D2FB2"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
                <w:sz w:val="22"/>
                <w:szCs w:val="22"/>
                <w:lang w:val="en-US"/>
              </w:rPr>
            </w:pPr>
            <w:r w:rsidRPr="00065CE8">
              <w:rPr>
                <w:rFonts w:ascii="Times New Roman" w:hAnsi="Times New Roman" w:cs="Times New Roman"/>
                <w:bCs/>
                <w:sz w:val="22"/>
                <w:szCs w:val="22"/>
                <w:lang w:val="en-US"/>
              </w:rPr>
              <w:t xml:space="preserve">In </w:t>
            </w:r>
            <w:r w:rsidRPr="00065CE8">
              <w:rPr>
                <w:rFonts w:ascii="Times New Roman" w:hAnsi="Times New Roman" w:cs="Times New Roman"/>
                <w:b/>
                <w:sz w:val="22"/>
                <w:szCs w:val="22"/>
                <w:lang w:val="en-US"/>
              </w:rPr>
              <w:t>1995</w:t>
            </w:r>
            <w:r w:rsidRPr="00065CE8">
              <w:rPr>
                <w:rFonts w:ascii="Times New Roman" w:hAnsi="Times New Roman" w:cs="Times New Roman"/>
                <w:bCs/>
                <w:sz w:val="22"/>
                <w:szCs w:val="22"/>
                <w:lang w:val="en-US"/>
              </w:rPr>
              <w:t>, the Chabot case extended the legal understanding of euthanasia to include patients with unbearable mental suffering. Although the psychiatrist was not penalized, the case led to the introduction of the second-opinion requirement in the due care criteria.</w:t>
            </w:r>
          </w:p>
          <w:p w14:paraId="6B6B8FC3"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18770C5A" w14:textId="75CA6AAE"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065CE8">
              <w:rPr>
                <w:rFonts w:ascii="Times New Roman" w:hAnsi="Times New Roman" w:cs="Times New Roman"/>
                <w:bCs/>
                <w:sz w:val="22"/>
                <w:szCs w:val="22"/>
                <w:lang w:val="en-US"/>
              </w:rPr>
              <w:t>After further court cases, a parliamentary majority proposed new legislation in</w:t>
            </w:r>
            <w:r w:rsidRPr="00065CE8">
              <w:rPr>
                <w:rFonts w:ascii="Times New Roman" w:hAnsi="Times New Roman" w:cs="Times New Roman"/>
                <w:b/>
                <w:sz w:val="22"/>
                <w:szCs w:val="22"/>
                <w:lang w:val="en-US"/>
              </w:rPr>
              <w:t xml:space="preserve"> 1998</w:t>
            </w:r>
            <w:r w:rsidRPr="00065CE8">
              <w:rPr>
                <w:rFonts w:ascii="Times New Roman" w:hAnsi="Times New Roman" w:cs="Times New Roman"/>
                <w:bCs/>
                <w:sz w:val="22"/>
                <w:szCs w:val="22"/>
                <w:lang w:val="en-US"/>
              </w:rPr>
              <w:t xml:space="preserve">, which ultimately led to the enactment of the </w:t>
            </w:r>
            <w:r w:rsidRPr="00065CE8">
              <w:rPr>
                <w:rFonts w:ascii="Times New Roman" w:hAnsi="Times New Roman" w:cs="Times New Roman"/>
                <w:bCs/>
                <w:i/>
                <w:iCs/>
                <w:sz w:val="22"/>
                <w:szCs w:val="22"/>
                <w:lang w:val="en-US"/>
              </w:rPr>
              <w:t>Termination of Life on Request and Assisted Suicide Act</w:t>
            </w:r>
            <w:r w:rsidRPr="002D7402">
              <w:rPr>
                <w:rFonts w:ascii="Times New Roman" w:hAnsi="Times New Roman" w:cs="Times New Roman"/>
                <w:bCs/>
                <w:sz w:val="22"/>
                <w:szCs w:val="22"/>
                <w:vertAlign w:val="superscript"/>
                <w:lang w:val="en-US"/>
              </w:rPr>
              <w:fldChar w:fldCharType="begin"/>
            </w:r>
            <w:r w:rsidR="006714A7" w:rsidRPr="002D7402">
              <w:rPr>
                <w:rFonts w:ascii="Times New Roman" w:hAnsi="Times New Roman" w:cs="Times New Roman"/>
                <w:bCs/>
                <w:sz w:val="22"/>
                <w:szCs w:val="22"/>
                <w:vertAlign w:val="superscript"/>
                <w:lang w:val="en-US"/>
              </w:rPr>
              <w:instrText xml:space="preserve"> ADDIN EN.CITE &lt;EndNote&gt;&lt;Cite&gt;&lt;RecNum&gt;1&lt;/RecNum&gt;&lt;DisplayText&gt;(6)&lt;/DisplayText&gt;&lt;record&gt;&lt;rec-number&gt;1&lt;/rec-number&gt;&lt;foreign-keys&gt;&lt;key app="EN" db-id="s5d5evtfyp9x28ee95fxxxa19522wxa0xrtx" timestamp="1726047895"&gt;1&lt;/key&gt;&lt;/foreign-keys&gt;&lt;ref-type name="Legal Rule or Regulation"&gt;50&lt;/ref-type&gt;&lt;contributors&gt;&lt;/contributors&gt;&lt;titles&gt;&lt;title&gt;Termination of Life on Request and Assisted Suicide Review Act; Article 2, paragraph 2 [in Dutch]. https://wetten.overheid.nl/jci1.3:c:BWBR0012410&amp;amp;z=2020-03-19&amp;amp;g=2020-03-19 [accessed 14 June 2023]&lt;/title&gt;&lt;/titles&gt;&lt;dates&gt;&lt;/dates&gt;&lt;urls&gt;&lt;/urls&gt;&lt;/record&gt;&lt;/Cite&gt;&lt;/EndNote&gt;</w:instrText>
            </w:r>
            <w:r w:rsidRPr="002D7402">
              <w:rPr>
                <w:rFonts w:ascii="Times New Roman" w:hAnsi="Times New Roman" w:cs="Times New Roman"/>
                <w:bCs/>
                <w:sz w:val="22"/>
                <w:szCs w:val="22"/>
                <w:vertAlign w:val="superscript"/>
                <w:lang w:val="en-US"/>
              </w:rPr>
              <w:fldChar w:fldCharType="separate"/>
            </w:r>
            <w:r w:rsidR="006714A7" w:rsidRPr="002D7402">
              <w:rPr>
                <w:rFonts w:ascii="Times New Roman" w:hAnsi="Times New Roman" w:cs="Times New Roman"/>
                <w:bCs/>
                <w:noProof/>
                <w:sz w:val="22"/>
                <w:szCs w:val="22"/>
                <w:vertAlign w:val="superscript"/>
                <w:lang w:val="en-US"/>
              </w:rPr>
              <w:t>(6)</w:t>
            </w:r>
            <w:r w:rsidRPr="002D7402">
              <w:rPr>
                <w:rFonts w:ascii="Times New Roman" w:hAnsi="Times New Roman" w:cs="Times New Roman"/>
                <w:bCs/>
                <w:sz w:val="22"/>
                <w:szCs w:val="22"/>
                <w:vertAlign w:val="superscript"/>
                <w:lang w:val="en-US"/>
              </w:rPr>
              <w:fldChar w:fldCharType="end"/>
            </w:r>
            <w:r w:rsidRPr="00065CE8">
              <w:rPr>
                <w:rFonts w:ascii="Times New Roman" w:hAnsi="Times New Roman" w:cs="Times New Roman"/>
                <w:bCs/>
                <w:sz w:val="22"/>
                <w:szCs w:val="22"/>
                <w:lang w:val="en-US"/>
              </w:rPr>
              <w:t xml:space="preserve"> in</w:t>
            </w:r>
            <w:r w:rsidRPr="00065CE8">
              <w:rPr>
                <w:rFonts w:ascii="Times New Roman" w:hAnsi="Times New Roman" w:cs="Times New Roman"/>
                <w:b/>
                <w:sz w:val="22"/>
                <w:szCs w:val="22"/>
                <w:lang w:val="en-US"/>
              </w:rPr>
              <w:t xml:space="preserve"> 2002</w:t>
            </w:r>
            <w:r w:rsidRPr="00065CE8">
              <w:rPr>
                <w:rFonts w:ascii="Times New Roman" w:hAnsi="Times New Roman" w:cs="Times New Roman"/>
                <w:bCs/>
                <w:sz w:val="22"/>
                <w:szCs w:val="22"/>
                <w:lang w:val="en-US"/>
              </w:rPr>
              <w:t xml:space="preserve">. This law made the Netherlands the first country to legalize euthanasia and assisted suicide under strict conditions, including six due care criteria </w:t>
            </w:r>
            <w:r w:rsidRPr="00065CE8">
              <w:rPr>
                <w:rFonts w:ascii="Times New Roman" w:hAnsi="Times New Roman" w:cs="Times New Roman"/>
                <w:bCs/>
                <w:i/>
                <w:iCs/>
                <w:sz w:val="22"/>
                <w:szCs w:val="22"/>
                <w:lang w:val="en-US"/>
              </w:rPr>
              <w:t>(see table 1)</w:t>
            </w:r>
            <w:r w:rsidRPr="00065CE8">
              <w:rPr>
                <w:rFonts w:ascii="Times New Roman" w:hAnsi="Times New Roman" w:cs="Times New Roman"/>
                <w:bCs/>
                <w:sz w:val="22"/>
                <w:szCs w:val="22"/>
                <w:lang w:val="en-US"/>
              </w:rPr>
              <w:t>.</w:t>
            </w:r>
          </w:p>
          <w:p w14:paraId="2A218A60"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p>
          <w:p w14:paraId="0B200562" w14:textId="7B0768BA" w:rsidR="00B85FC3"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065CE8">
              <w:rPr>
                <w:rFonts w:ascii="Times New Roman" w:hAnsi="Times New Roman" w:cs="Times New Roman"/>
                <w:bCs/>
                <w:sz w:val="22"/>
                <w:szCs w:val="22"/>
                <w:lang w:val="en-US"/>
              </w:rPr>
              <w:t xml:space="preserve">In </w:t>
            </w:r>
            <w:r w:rsidRPr="00065CE8">
              <w:rPr>
                <w:rFonts w:ascii="Times New Roman" w:hAnsi="Times New Roman" w:cs="Times New Roman"/>
                <w:b/>
                <w:sz w:val="22"/>
                <w:szCs w:val="22"/>
                <w:lang w:val="en-US"/>
              </w:rPr>
              <w:t>2002</w:t>
            </w:r>
            <w:r w:rsidRPr="00065CE8">
              <w:rPr>
                <w:rFonts w:ascii="Times New Roman" w:hAnsi="Times New Roman" w:cs="Times New Roman"/>
                <w:bCs/>
                <w:sz w:val="22"/>
                <w:szCs w:val="22"/>
                <w:lang w:val="en-US"/>
              </w:rPr>
              <w:t>, the Brongersma case clarified that the concept of a “completed life” did not justify euthanasia under the law.</w:t>
            </w:r>
            <w:r w:rsidRPr="00065CE8">
              <w:rPr>
                <w:rFonts w:ascii="Times New Roman" w:hAnsi="Times New Roman" w:cs="Times New Roman"/>
                <w:b/>
                <w:sz w:val="22"/>
                <w:szCs w:val="22"/>
                <w:lang w:val="en-US"/>
              </w:rPr>
              <w:t xml:space="preserve"> In later years</w:t>
            </w:r>
            <w:r w:rsidRPr="00065CE8">
              <w:rPr>
                <w:rFonts w:ascii="Times New Roman" w:hAnsi="Times New Roman" w:cs="Times New Roman"/>
                <w:bCs/>
                <w:sz w:val="22"/>
                <w:szCs w:val="22"/>
                <w:lang w:val="en-US"/>
              </w:rPr>
              <w:t xml:space="preserve">, convictions for unreported or unreviewed cases (Van </w:t>
            </w:r>
            <w:proofErr w:type="spellStart"/>
            <w:r w:rsidRPr="00065CE8">
              <w:rPr>
                <w:rFonts w:ascii="Times New Roman" w:hAnsi="Times New Roman" w:cs="Times New Roman"/>
                <w:bCs/>
                <w:sz w:val="22"/>
                <w:szCs w:val="22"/>
                <w:lang w:val="en-US"/>
              </w:rPr>
              <w:t>Oijen</w:t>
            </w:r>
            <w:proofErr w:type="spellEnd"/>
            <w:r w:rsidRPr="00065CE8">
              <w:rPr>
                <w:rFonts w:ascii="Times New Roman" w:hAnsi="Times New Roman" w:cs="Times New Roman"/>
                <w:bCs/>
                <w:sz w:val="22"/>
                <w:szCs w:val="22"/>
                <w:lang w:val="en-US"/>
              </w:rPr>
              <w:t xml:space="preserve">, </w:t>
            </w:r>
            <w:proofErr w:type="spellStart"/>
            <w:r w:rsidRPr="00065CE8">
              <w:rPr>
                <w:rFonts w:ascii="Times New Roman" w:hAnsi="Times New Roman" w:cs="Times New Roman"/>
                <w:bCs/>
                <w:sz w:val="22"/>
                <w:szCs w:val="22"/>
                <w:lang w:val="en-US"/>
              </w:rPr>
              <w:t>Heringa</w:t>
            </w:r>
            <w:proofErr w:type="spellEnd"/>
            <w:r w:rsidRPr="00065CE8">
              <w:rPr>
                <w:rFonts w:ascii="Times New Roman" w:hAnsi="Times New Roman" w:cs="Times New Roman"/>
                <w:bCs/>
                <w:sz w:val="22"/>
                <w:szCs w:val="22"/>
                <w:lang w:val="en-US"/>
              </w:rPr>
              <w:t>) reaffirmed the importance of compliance with legal and ethical standards.</w:t>
            </w:r>
          </w:p>
          <w:p w14:paraId="3F0B3A2A" w14:textId="77777777" w:rsidR="00B85FC3" w:rsidRDefault="00B85FC3"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p>
          <w:p w14:paraId="79523E4C" w14:textId="3F28624F" w:rsidR="00B67315" w:rsidRPr="00B67315" w:rsidRDefault="00B67315" w:rsidP="00B67315">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B67315">
              <w:rPr>
                <w:rFonts w:ascii="Times New Roman" w:hAnsi="Times New Roman" w:cs="Times New Roman"/>
                <w:bCs/>
                <w:sz w:val="22"/>
                <w:szCs w:val="22"/>
                <w:lang w:val="en-US"/>
              </w:rPr>
              <w:t xml:space="preserve">In </w:t>
            </w:r>
            <w:r w:rsidRPr="00B43430">
              <w:rPr>
                <w:rFonts w:ascii="Times New Roman" w:hAnsi="Times New Roman" w:cs="Times New Roman"/>
                <w:b/>
                <w:sz w:val="22"/>
                <w:szCs w:val="22"/>
                <w:lang w:val="en-US"/>
              </w:rPr>
              <w:t>2006</w:t>
            </w:r>
            <w:r w:rsidRPr="00B67315">
              <w:rPr>
                <w:rFonts w:ascii="Times New Roman" w:hAnsi="Times New Roman" w:cs="Times New Roman"/>
                <w:bCs/>
                <w:sz w:val="22"/>
                <w:szCs w:val="22"/>
                <w:lang w:val="en-US"/>
              </w:rPr>
              <w:t>, the United Nations adopted the United Nations Convention on the Rights of Persons with Disabilities (UNCRPD)</w:t>
            </w:r>
            <w:r w:rsidR="00320095" w:rsidRPr="00702C03">
              <w:rPr>
                <w:rFonts w:ascii="Times New Roman" w:hAnsi="Times New Roman" w:cs="Times New Roman"/>
                <w:bCs/>
                <w:sz w:val="22"/>
                <w:szCs w:val="22"/>
                <w:vertAlign w:val="superscript"/>
                <w:lang w:val="en-US"/>
              </w:rPr>
              <w:fldChar w:fldCharType="begin"/>
            </w:r>
            <w:r w:rsidR="00320095" w:rsidRPr="00702C03">
              <w:rPr>
                <w:rFonts w:ascii="Times New Roman" w:hAnsi="Times New Roman" w:cs="Times New Roman"/>
                <w:bCs/>
                <w:sz w:val="22"/>
                <w:szCs w:val="22"/>
                <w:vertAlign w:val="superscript"/>
                <w:lang w:val="en-US"/>
              </w:rPr>
              <w:instrText xml:space="preserve"> ADDIN EN.CITE &lt;EndNote&gt;&lt;Cite&gt;&lt;Author&gt;NATIONS&lt;/Author&gt;&lt;Year&gt;2006&lt;/Year&gt;&lt;RecNum&gt;63&lt;/RecNum&gt;&lt;DisplayText&gt;(15)&lt;/DisplayText&gt;&lt;record&gt;&lt;rec-number&gt;63&lt;/rec-number&gt;&lt;foreign-keys&gt;&lt;key app="EN" db-id="00e2dtv0hafz0oeaf28vtwr1dsps0rzsp2rz" timestamp="1643204181"&gt;63&lt;/key&gt;&lt;/foreign-keys&gt;&lt;ref-type name="Legal Rule or Regulation"&gt;50&lt;/ref-type&gt;&lt;contributors&gt;&lt;authors&gt;&lt;author&gt;UNITED NATIONS&lt;/author&gt;&lt;/authors&gt;&lt;/contributors&gt;&lt;titles&gt;&lt;title&gt;Convention on the Rights of Persons with Disabilities&lt;/title&gt;&lt;/titles&gt;&lt;dates&gt;&lt;year&gt;2006&lt;/year&gt;&lt;/dates&gt;&lt;pub-location&gt;New York &lt;/pub-location&gt;&lt;publisher&gt;UNITED NATIONS&lt;/publisher&gt;&lt;urls&gt;&lt;/urls&gt;&lt;/record&gt;&lt;/Cite&gt;&lt;/EndNote&gt;</w:instrText>
            </w:r>
            <w:r w:rsidR="00320095" w:rsidRPr="00702C03">
              <w:rPr>
                <w:rFonts w:ascii="Times New Roman" w:hAnsi="Times New Roman" w:cs="Times New Roman"/>
                <w:bCs/>
                <w:sz w:val="22"/>
                <w:szCs w:val="22"/>
                <w:vertAlign w:val="superscript"/>
                <w:lang w:val="en-US"/>
              </w:rPr>
              <w:fldChar w:fldCharType="separate"/>
            </w:r>
            <w:r w:rsidR="00320095" w:rsidRPr="00702C03">
              <w:rPr>
                <w:rFonts w:ascii="Times New Roman" w:hAnsi="Times New Roman" w:cs="Times New Roman"/>
                <w:bCs/>
                <w:noProof/>
                <w:sz w:val="22"/>
                <w:szCs w:val="22"/>
                <w:vertAlign w:val="superscript"/>
                <w:lang w:val="en-US"/>
              </w:rPr>
              <w:t>(15)</w:t>
            </w:r>
            <w:r w:rsidR="00320095" w:rsidRPr="00702C03">
              <w:rPr>
                <w:rFonts w:ascii="Times New Roman" w:hAnsi="Times New Roman" w:cs="Times New Roman"/>
                <w:bCs/>
                <w:sz w:val="22"/>
                <w:szCs w:val="22"/>
                <w:vertAlign w:val="superscript"/>
                <w:lang w:val="en-US"/>
              </w:rPr>
              <w:fldChar w:fldCharType="end"/>
            </w:r>
            <w:r w:rsidRPr="00B67315">
              <w:rPr>
                <w:rFonts w:ascii="Times New Roman" w:hAnsi="Times New Roman" w:cs="Times New Roman"/>
                <w:bCs/>
                <w:sz w:val="22"/>
                <w:szCs w:val="22"/>
                <w:lang w:val="en-US"/>
              </w:rPr>
              <w:t>, a treaty aimed at protecting the rights and dignity of persons with disabilities. The Convention emphasizes autonomy, non-discrimination, and equal recognition before the law, which are highly relevant to the ethical debates on euthanasia for patients with advanced dementia. It calls for safeguards to protect individuals with compromised decision-making capacity, highlighting the need for careful consideration in end-of-life decisions for vulnerable groups.</w:t>
            </w:r>
          </w:p>
          <w:p w14:paraId="632CF0DA" w14:textId="77777777" w:rsidR="00B67315" w:rsidRPr="00B67315" w:rsidRDefault="00B67315" w:rsidP="00B67315">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p>
          <w:p w14:paraId="5C94D4A5" w14:textId="62F324F0" w:rsidR="00084576" w:rsidRDefault="00B67315" w:rsidP="00B67315">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B67315">
              <w:rPr>
                <w:rFonts w:ascii="Times New Roman" w:hAnsi="Times New Roman" w:cs="Times New Roman"/>
                <w:bCs/>
                <w:sz w:val="22"/>
                <w:szCs w:val="22"/>
                <w:lang w:val="en-US"/>
              </w:rPr>
              <w:t xml:space="preserve">In </w:t>
            </w:r>
            <w:r w:rsidRPr="00B43430">
              <w:rPr>
                <w:rFonts w:ascii="Times New Roman" w:hAnsi="Times New Roman" w:cs="Times New Roman"/>
                <w:b/>
                <w:sz w:val="22"/>
                <w:szCs w:val="22"/>
                <w:lang w:val="en-US"/>
              </w:rPr>
              <w:t>2016</w:t>
            </w:r>
            <w:r w:rsidRPr="00B67315">
              <w:rPr>
                <w:rFonts w:ascii="Times New Roman" w:hAnsi="Times New Roman" w:cs="Times New Roman"/>
                <w:bCs/>
                <w:sz w:val="22"/>
                <w:szCs w:val="22"/>
                <w:lang w:val="en-US"/>
              </w:rPr>
              <w:t xml:space="preserve">, the Netherlands ratified the UNCRPD, affirming its commitment to the rights of persons with disabilities, including those with dementia. However, the Netherlands made a reservation on Article 12, which relates to equal legal capacity. This reflects caution around substituted decision-making in cases where individuals are unable to make informed choices, such as end-of-life scenarios. </w:t>
            </w:r>
            <w:r w:rsidRPr="00B67315">
              <w:rPr>
                <w:rFonts w:ascii="Times New Roman" w:hAnsi="Times New Roman" w:cs="Times New Roman"/>
                <w:bCs/>
                <w:sz w:val="22"/>
                <w:szCs w:val="22"/>
                <w:lang w:val="en-US"/>
              </w:rPr>
              <w:lastRenderedPageBreak/>
              <w:t xml:space="preserve">The Netherlands is still seeking a balance between complying with international standards and preserving its own legal framework, including its </w:t>
            </w:r>
            <w:r w:rsidR="00C45D8E">
              <w:rPr>
                <w:rFonts w:ascii="Times New Roman" w:hAnsi="Times New Roman" w:cs="Times New Roman"/>
                <w:bCs/>
                <w:sz w:val="22"/>
                <w:szCs w:val="22"/>
                <w:lang w:val="en-US"/>
              </w:rPr>
              <w:t>E</w:t>
            </w:r>
            <w:r w:rsidRPr="00B67315">
              <w:rPr>
                <w:rFonts w:ascii="Times New Roman" w:hAnsi="Times New Roman" w:cs="Times New Roman"/>
                <w:bCs/>
                <w:sz w:val="22"/>
                <w:szCs w:val="22"/>
                <w:lang w:val="en-US"/>
              </w:rPr>
              <w:t>uthanasia law, with ongoing discussions regarding the interpretation of the Convention.</w:t>
            </w:r>
          </w:p>
          <w:p w14:paraId="19B1B759" w14:textId="77777777" w:rsidR="00C45D8E" w:rsidRPr="00084576" w:rsidRDefault="00C45D8E" w:rsidP="00B67315">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Style w:val="Strong"/>
                <w:lang w:val="en-US"/>
              </w:rPr>
            </w:pPr>
          </w:p>
          <w:p w14:paraId="2773D398" w14:textId="1A5CA3EA"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bCs/>
                <w:sz w:val="22"/>
                <w:szCs w:val="22"/>
                <w:lang w:val="en-US"/>
              </w:rPr>
            </w:pPr>
            <w:r w:rsidRPr="00065CE8">
              <w:rPr>
                <w:rFonts w:ascii="Times New Roman" w:hAnsi="Times New Roman" w:cs="Times New Roman"/>
                <w:bCs/>
                <w:sz w:val="22"/>
                <w:szCs w:val="22"/>
                <w:lang w:val="en-US"/>
              </w:rPr>
              <w:t>The case of Arends (</w:t>
            </w:r>
            <w:r w:rsidRPr="00065CE8">
              <w:rPr>
                <w:rFonts w:ascii="Times New Roman" w:hAnsi="Times New Roman" w:cs="Times New Roman"/>
                <w:b/>
                <w:sz w:val="22"/>
                <w:szCs w:val="22"/>
                <w:lang w:val="en-US"/>
              </w:rPr>
              <w:t>2016-2019</w:t>
            </w:r>
            <w:r w:rsidRPr="00065CE8">
              <w:rPr>
                <w:rFonts w:ascii="Times New Roman" w:hAnsi="Times New Roman" w:cs="Times New Roman"/>
                <w:bCs/>
                <w:sz w:val="22"/>
                <w:szCs w:val="22"/>
                <w:lang w:val="en-US"/>
              </w:rPr>
              <w:t>) brought attention to the complexities of performing euthanasia based on an advance euthanasia directive (AED) in patients with advanced dementia. The RERC</w:t>
            </w:r>
            <w:r w:rsidRPr="002D7402">
              <w:rPr>
                <w:rFonts w:ascii="Times New Roman" w:hAnsi="Times New Roman" w:cs="Times New Roman"/>
                <w:sz w:val="22"/>
                <w:szCs w:val="22"/>
                <w:vertAlign w:val="superscript"/>
                <w:lang w:val="en-US"/>
              </w:rPr>
              <w:fldChar w:fldCharType="begin"/>
            </w:r>
            <w:r w:rsidR="0016416F">
              <w:rPr>
                <w:rFonts w:ascii="Times New Roman" w:hAnsi="Times New Roman" w:cs="Times New Roman"/>
                <w:sz w:val="22"/>
                <w:szCs w:val="22"/>
                <w:vertAlign w:val="superscript"/>
                <w:lang w:val="en-US"/>
              </w:rPr>
              <w:instrText xml:space="preserve"> ADDIN EN.CITE &lt;EndNote&gt;&lt;Cite&gt;&lt;Year&gt;2016&lt;/Year&gt;&lt;RecNum&gt;18&lt;/RecNum&gt;&lt;DisplayText&gt;(11)&lt;/DisplayText&gt;&lt;record&gt;&lt;rec-number&gt;18&lt;/rec-number&gt;&lt;foreign-keys&gt;&lt;key app="EN" db-id="00e2dtv0hafz0oeaf28vtwr1dsps0rzsp2rz" timestamp="1605611766"&gt;18&lt;/key&gt;&lt;/foreign-keys&gt;&lt;ref-type name="Hearing"&gt;14&lt;/ref-type&gt;&lt;contributors&gt;&lt;/contributors&gt;&lt;titles&gt;&lt;title&gt;RTE oordeel 2016-85&lt;/title&gt;&lt;secondary-title&gt;Regionale toetsingscommissie euthanasie voor de Regio (RTE)&lt;/secondary-title&gt;&lt;/titles&gt;&lt;number&gt;85&lt;/number&gt;&lt;dates&gt;&lt;year&gt;2016&lt;/year&gt;&lt;/dates&gt;&lt;urls&gt;&lt;/urls&gt;&lt;/record&gt;&lt;/Cite&gt;&lt;/EndNote&gt;</w:instrText>
            </w:r>
            <w:r w:rsidRPr="002D7402">
              <w:rPr>
                <w:rFonts w:ascii="Times New Roman" w:hAnsi="Times New Roman" w:cs="Times New Roman"/>
                <w:sz w:val="22"/>
                <w:szCs w:val="22"/>
                <w:vertAlign w:val="superscript"/>
                <w:lang w:val="en-US"/>
              </w:rPr>
              <w:fldChar w:fldCharType="separate"/>
            </w:r>
            <w:r w:rsidR="0016416F">
              <w:rPr>
                <w:rFonts w:ascii="Times New Roman" w:hAnsi="Times New Roman" w:cs="Times New Roman"/>
                <w:noProof/>
                <w:sz w:val="22"/>
                <w:szCs w:val="22"/>
                <w:vertAlign w:val="superscript"/>
                <w:lang w:val="en-US"/>
              </w:rPr>
              <w:t>(11)</w:t>
            </w:r>
            <w:r w:rsidRPr="002D7402">
              <w:rPr>
                <w:rFonts w:ascii="Times New Roman" w:hAnsi="Times New Roman" w:cs="Times New Roman"/>
                <w:sz w:val="22"/>
                <w:szCs w:val="22"/>
                <w:vertAlign w:val="superscript"/>
                <w:lang w:val="en-US"/>
              </w:rPr>
              <w:fldChar w:fldCharType="end"/>
            </w:r>
            <w:r w:rsidRPr="00065CE8">
              <w:rPr>
                <w:rFonts w:ascii="Times New Roman" w:hAnsi="Times New Roman" w:cs="Times New Roman"/>
                <w:bCs/>
                <w:sz w:val="22"/>
                <w:szCs w:val="22"/>
                <w:lang w:val="en-US"/>
              </w:rPr>
              <w:t xml:space="preserve"> found that essential criteria, such as a well-considered request, were not met, leading to further scrutiny. However, the Supreme Court's </w:t>
            </w:r>
            <w:r w:rsidRPr="00065CE8">
              <w:rPr>
                <w:rFonts w:ascii="Times New Roman" w:hAnsi="Times New Roman" w:cs="Times New Roman"/>
                <w:b/>
                <w:sz w:val="22"/>
                <w:szCs w:val="22"/>
                <w:lang w:val="en-US"/>
              </w:rPr>
              <w:t>2020</w:t>
            </w:r>
            <w:r w:rsidRPr="00065CE8">
              <w:rPr>
                <w:rFonts w:ascii="Times New Roman" w:hAnsi="Times New Roman" w:cs="Times New Roman"/>
                <w:bCs/>
                <w:sz w:val="22"/>
                <w:szCs w:val="22"/>
                <w:lang w:val="en-US"/>
              </w:rPr>
              <w:t xml:space="preserve"> ruling</w:t>
            </w:r>
            <w:r w:rsidRPr="002D7402">
              <w:rPr>
                <w:rFonts w:ascii="Times New Roman" w:hAnsi="Times New Roman" w:cs="Times New Roman"/>
                <w:sz w:val="22"/>
                <w:szCs w:val="22"/>
                <w:vertAlign w:val="superscript"/>
                <w:lang w:val="en-US"/>
              </w:rPr>
              <w:fldChar w:fldCharType="begin"/>
            </w:r>
            <w:r w:rsidR="0016416F">
              <w:rPr>
                <w:rFonts w:ascii="Times New Roman" w:hAnsi="Times New Roman" w:cs="Times New Roman"/>
                <w:sz w:val="22"/>
                <w:szCs w:val="22"/>
                <w:vertAlign w:val="superscript"/>
                <w:lang w:val="en-US"/>
              </w:rPr>
              <w:instrText xml:space="preserve"> ADDIN EN.CITE &lt;EndNote&gt;&lt;Cite&gt;&lt;Year&gt;2019&lt;/Year&gt;&lt;RecNum&gt;19&lt;/RecNum&gt;&lt;DisplayText&gt;(9, 10)&lt;/DisplayText&gt;&lt;record&gt;&lt;rec-number&gt;19&lt;/rec-number&gt;&lt;foreign-keys&gt;&lt;key app="EN" db-id="00e2dtv0hafz0oeaf28vtwr1dsps0rzsp2rz" timestamp="1605611917"&gt;19&lt;/key&gt;&lt;/foreign-keys&gt;&lt;ref-type name="Hearing"&gt;14&lt;/ref-type&gt;&lt;contributors&gt;&lt;/contributors&gt;&lt;titles&gt;&lt;title&gt;Vordering tot cassatie in het belang der wet&lt;/title&gt;&lt;secondary-title&gt;Parket bij de Hoge Raad&lt;/secondary-title&gt;&lt;tertiary-title&gt;Strafrecht&lt;/tertiary-title&gt;&lt;/titles&gt;&lt;number&gt;1338&lt;/number&gt;&lt;dates&gt;&lt;year&gt;2019&lt;/year&gt;&lt;pub-dates&gt;&lt;date&gt;2019, December 17&lt;/date&gt;&lt;/pub-dates&gt;&lt;/dates&gt;&lt;urls&gt;&lt;/urls&gt;&lt;/record&gt;&lt;/Cite&gt;&lt;Cite&gt;&lt;Year&gt;2019&lt;/Year&gt;&lt;RecNum&gt;20&lt;/RecNum&gt;&lt;record&gt;&lt;rec-number&gt;20&lt;/rec-number&gt;&lt;foreign-keys&gt;&lt;key app="EN" db-id="00e2dtv0hafz0oeaf28vtwr1dsps0rzsp2rz" timestamp="1605612179"&gt;20&lt;/key&gt;&lt;/foreign-keys&gt;&lt;ref-type name="Hearing"&gt;14&lt;/ref-type&gt;&lt;contributors&gt;&lt;/contributors&gt;&lt;titles&gt;&lt;title&gt;Vordering tot cassatie in het belang der wet&lt;/title&gt;&lt;secondary-title&gt;Parket bij de Hoge Raad&lt;/secondary-title&gt;&lt;tertiary-title&gt;Strafrecht&lt;/tertiary-title&gt;&lt;/titles&gt;&lt;number&gt;1339&lt;/number&gt;&lt;dates&gt;&lt;year&gt;2019&lt;/year&gt;&lt;pub-dates&gt;&lt;date&gt;2019, December 17&lt;/date&gt;&lt;/pub-dates&gt;&lt;/dates&gt;&lt;urls&gt;&lt;/urls&gt;&lt;/record&gt;&lt;/Cite&gt;&lt;/EndNote&gt;</w:instrText>
            </w:r>
            <w:r w:rsidRPr="002D7402">
              <w:rPr>
                <w:rFonts w:ascii="Times New Roman" w:hAnsi="Times New Roman" w:cs="Times New Roman"/>
                <w:sz w:val="22"/>
                <w:szCs w:val="22"/>
                <w:vertAlign w:val="superscript"/>
                <w:lang w:val="en-US"/>
              </w:rPr>
              <w:fldChar w:fldCharType="separate"/>
            </w:r>
            <w:r w:rsidR="0016416F">
              <w:rPr>
                <w:rFonts w:ascii="Times New Roman" w:hAnsi="Times New Roman" w:cs="Times New Roman"/>
                <w:noProof/>
                <w:sz w:val="22"/>
                <w:szCs w:val="22"/>
                <w:vertAlign w:val="superscript"/>
                <w:lang w:val="en-US"/>
              </w:rPr>
              <w:t>(9, 10)</w:t>
            </w:r>
            <w:r w:rsidRPr="002D7402">
              <w:rPr>
                <w:rFonts w:ascii="Times New Roman" w:hAnsi="Times New Roman" w:cs="Times New Roman"/>
                <w:sz w:val="22"/>
                <w:szCs w:val="22"/>
                <w:vertAlign w:val="superscript"/>
                <w:lang w:val="en-US"/>
              </w:rPr>
              <w:fldChar w:fldCharType="end"/>
            </w:r>
            <w:r w:rsidRPr="00065CE8">
              <w:rPr>
                <w:rFonts w:ascii="Times New Roman" w:hAnsi="Times New Roman" w:cs="Times New Roman"/>
                <w:bCs/>
                <w:sz w:val="22"/>
                <w:szCs w:val="22"/>
                <w:lang w:val="en-US"/>
              </w:rPr>
              <w:t xml:space="preserve"> acquitted the physician, concluding that, in certain cases, an AED can substitute for verbal consent in patients with advanced dementia, as long as no signs of resistance are observed.</w:t>
            </w:r>
          </w:p>
          <w:p w14:paraId="218941C4" w14:textId="77777777" w:rsidR="00B262F8" w:rsidRPr="00065CE8"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29ACC3FC" w14:textId="03263433" w:rsidR="00B262F8" w:rsidRPr="00C45D8E"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065CE8">
              <w:rPr>
                <w:rFonts w:ascii="Times New Roman" w:hAnsi="Times New Roman" w:cs="Times New Roman"/>
                <w:sz w:val="22"/>
                <w:szCs w:val="22"/>
                <w:lang w:val="en-US"/>
              </w:rPr>
              <w:t xml:space="preserve">In </w:t>
            </w:r>
            <w:r w:rsidRPr="00065CE8">
              <w:rPr>
                <w:rFonts w:ascii="Times New Roman" w:hAnsi="Times New Roman" w:cs="Times New Roman"/>
                <w:b/>
                <w:bCs/>
                <w:sz w:val="22"/>
                <w:szCs w:val="22"/>
                <w:lang w:val="en-US"/>
              </w:rPr>
              <w:t>2021</w:t>
            </w:r>
            <w:r w:rsidRPr="00065CE8">
              <w:rPr>
                <w:rFonts w:ascii="Times New Roman" w:hAnsi="Times New Roman" w:cs="Times New Roman"/>
                <w:sz w:val="22"/>
                <w:szCs w:val="22"/>
                <w:lang w:val="en-US"/>
              </w:rPr>
              <w:t xml:space="preserve">, </w:t>
            </w:r>
            <w:r w:rsidRPr="00C45D8E">
              <w:rPr>
                <w:rFonts w:ascii="Times New Roman" w:hAnsi="Times New Roman" w:cs="Times New Roman"/>
                <w:sz w:val="22"/>
                <w:szCs w:val="22"/>
                <w:lang w:val="en-US"/>
              </w:rPr>
              <w:t xml:space="preserve">the Royal Dutch Medical Association (RDMA) reaffirmed in their </w:t>
            </w:r>
            <w:r w:rsidRPr="00C45D8E">
              <w:rPr>
                <w:rFonts w:ascii="Times New Roman" w:hAnsi="Times New Roman" w:cs="Times New Roman"/>
                <w:i/>
                <w:iCs/>
                <w:sz w:val="22"/>
                <w:szCs w:val="22"/>
                <w:lang w:val="en-US"/>
              </w:rPr>
              <w:t>position paper End-Of-Life Decisions</w:t>
            </w:r>
            <w:r w:rsidRPr="00C45D8E">
              <w:rPr>
                <w:rFonts w:ascii="Times New Roman" w:hAnsi="Times New Roman" w:cs="Times New Roman"/>
                <w:color w:val="212121"/>
                <w:sz w:val="22"/>
                <w:szCs w:val="22"/>
                <w:shd w:val="clear" w:color="auto" w:fill="FFFFFF"/>
                <w:vertAlign w:val="superscript"/>
                <w:lang w:val="en-US"/>
              </w:rPr>
              <w:fldChar w:fldCharType="begin"/>
            </w:r>
            <w:r w:rsidR="00320095">
              <w:rPr>
                <w:rFonts w:ascii="Times New Roman" w:hAnsi="Times New Roman" w:cs="Times New Roman"/>
                <w:color w:val="212121"/>
                <w:sz w:val="22"/>
                <w:szCs w:val="22"/>
                <w:shd w:val="clear" w:color="auto" w:fill="FFFFFF"/>
                <w:vertAlign w:val="superscript"/>
                <w:lang w:val="en-US"/>
              </w:rPr>
              <w:instrText xml:space="preserve"> ADDIN EN.CITE &lt;EndNote&gt;&lt;Cite&gt;&lt;Author&gt;KNMG&lt;/Author&gt;&lt;Year&gt;2021&lt;/Year&gt;&lt;RecNum&gt;90&lt;/RecNum&gt;&lt;DisplayText&gt;(16)&lt;/DisplayText&gt;&lt;record&gt;&lt;rec-number&gt;90&lt;/rec-number&gt;&lt;foreign-keys&gt;&lt;key app="EN" db-id="00e2dtv0hafz0oeaf28vtwr1dsps0rzsp2rz" timestamp="1646754717"&gt;90&lt;/key&gt;&lt;/foreign-keys&gt;&lt;ref-type name="Standard"&gt;58&lt;/ref-type&gt;&lt;contributors&gt;&lt;authors&gt;&lt;author&gt;Federatiebestuur van de KNMG&lt;/author&gt;&lt;/authors&gt;&lt;/contributors&gt;&lt;titles&gt;&lt;title&gt;KNMG-standpunt&lt;/title&gt;&lt;secondary-title&gt;Beslissingen rondom het levenseinde&lt;/secondary-title&gt;&lt;/titles&gt;&lt;pages&gt;36-50&lt;/pages&gt;&lt;dates&gt;&lt;year&gt;2021&lt;/year&gt;&lt;pub-dates&gt;&lt;date&gt;18 Nov&lt;/date&gt;&lt;/pub-dates&gt;&lt;/dates&gt;&lt;urls&gt;&lt;/urls&gt;&lt;/record&gt;&lt;/Cite&gt;&lt;/EndNote&gt;</w:instrText>
            </w:r>
            <w:r w:rsidRPr="00C45D8E">
              <w:rPr>
                <w:rFonts w:ascii="Times New Roman" w:hAnsi="Times New Roman" w:cs="Times New Roman"/>
                <w:color w:val="212121"/>
                <w:sz w:val="22"/>
                <w:szCs w:val="22"/>
                <w:shd w:val="clear" w:color="auto" w:fill="FFFFFF"/>
                <w:vertAlign w:val="superscript"/>
                <w:lang w:val="en-US"/>
              </w:rPr>
              <w:fldChar w:fldCharType="separate"/>
            </w:r>
            <w:r w:rsidR="00320095">
              <w:rPr>
                <w:rFonts w:ascii="Times New Roman" w:hAnsi="Times New Roman" w:cs="Times New Roman"/>
                <w:noProof/>
                <w:color w:val="212121"/>
                <w:sz w:val="22"/>
                <w:szCs w:val="22"/>
                <w:shd w:val="clear" w:color="auto" w:fill="FFFFFF"/>
                <w:vertAlign w:val="superscript"/>
                <w:lang w:val="en-US"/>
              </w:rPr>
              <w:t>(16)</w:t>
            </w:r>
            <w:r w:rsidRPr="00C45D8E">
              <w:rPr>
                <w:rFonts w:ascii="Times New Roman" w:hAnsi="Times New Roman" w:cs="Times New Roman"/>
                <w:color w:val="212121"/>
                <w:sz w:val="22"/>
                <w:szCs w:val="22"/>
                <w:shd w:val="clear" w:color="auto" w:fill="FFFFFF"/>
                <w:vertAlign w:val="superscript"/>
                <w:lang w:val="en-US"/>
              </w:rPr>
              <w:fldChar w:fldCharType="end"/>
            </w:r>
            <w:r w:rsidRPr="00C45D8E">
              <w:rPr>
                <w:rFonts w:ascii="Times New Roman" w:hAnsi="Times New Roman" w:cs="Times New Roman"/>
                <w:i/>
                <w:iCs/>
                <w:sz w:val="22"/>
                <w:szCs w:val="22"/>
                <w:lang w:val="en-US"/>
              </w:rPr>
              <w:t xml:space="preserve"> </w:t>
            </w:r>
            <w:r w:rsidRPr="00C45D8E">
              <w:rPr>
                <w:rFonts w:ascii="Times New Roman" w:hAnsi="Times New Roman" w:cs="Times New Roman"/>
                <w:sz w:val="22"/>
                <w:szCs w:val="22"/>
                <w:lang w:val="en-US"/>
              </w:rPr>
              <w:t>that while euthanasia and assisted suicide are legally regulated, they require careful ethical consideration. The RDMA emphasized the complexity of assessing suffering in advanced dementia and advised caution when interpreting AEDs, urging physicians to consider both the patient's earlier wishes and present condition.</w:t>
            </w:r>
          </w:p>
          <w:p w14:paraId="63E774D5" w14:textId="77777777" w:rsidR="00B262F8" w:rsidRPr="00C45D8E"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417A0ADC" w14:textId="2AE5B18D" w:rsidR="00B262F8" w:rsidRPr="00C45D8E"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r w:rsidRPr="00C45D8E">
              <w:rPr>
                <w:rFonts w:ascii="Times New Roman" w:hAnsi="Times New Roman" w:cs="Times New Roman"/>
                <w:sz w:val="22"/>
                <w:szCs w:val="22"/>
                <w:lang w:val="en-US"/>
              </w:rPr>
              <w:t xml:space="preserve">The </w:t>
            </w:r>
            <w:r w:rsidRPr="00C45D8E">
              <w:rPr>
                <w:rFonts w:ascii="Times New Roman" w:hAnsi="Times New Roman" w:cs="Times New Roman"/>
                <w:b/>
                <w:bCs/>
                <w:sz w:val="22"/>
                <w:szCs w:val="22"/>
                <w:lang w:val="en-US"/>
              </w:rPr>
              <w:t>2022</w:t>
            </w:r>
            <w:r w:rsidRPr="00C45D8E">
              <w:rPr>
                <w:rFonts w:ascii="Times New Roman" w:hAnsi="Times New Roman" w:cs="Times New Roman"/>
                <w:sz w:val="22"/>
                <w:szCs w:val="22"/>
                <w:lang w:val="en-US"/>
              </w:rPr>
              <w:t xml:space="preserve"> revision of the RERC’s </w:t>
            </w:r>
            <w:r w:rsidRPr="00C45D8E">
              <w:rPr>
                <w:rFonts w:ascii="Times New Roman" w:hAnsi="Times New Roman" w:cs="Times New Roman"/>
                <w:i/>
                <w:iCs/>
                <w:sz w:val="22"/>
                <w:szCs w:val="22"/>
                <w:lang w:val="en-US"/>
              </w:rPr>
              <w:t>Euthanasia Code</w:t>
            </w:r>
            <w:r w:rsidRPr="00C45D8E">
              <w:rPr>
                <w:rFonts w:ascii="Times New Roman" w:hAnsi="Times New Roman" w:cs="Times New Roman"/>
                <w:sz w:val="22"/>
                <w:szCs w:val="22"/>
                <w:vertAlign w:val="superscript"/>
                <w:lang w:val="en-US"/>
              </w:rPr>
              <w:fldChar w:fldCharType="begin"/>
            </w:r>
            <w:r w:rsidR="00320095">
              <w:rPr>
                <w:rFonts w:ascii="Times New Roman" w:hAnsi="Times New Roman" w:cs="Times New Roman"/>
                <w:sz w:val="22"/>
                <w:szCs w:val="22"/>
                <w:vertAlign w:val="superscript"/>
                <w:lang w:val="en-US"/>
              </w:rPr>
              <w:instrText xml:space="preserve"> ADDIN EN.CITE &lt;EndNote&gt;&lt;Cite&gt;&lt;Author&gt;Euthanasie&lt;/Author&gt;&lt;Year&gt;2020&lt;/Year&gt;&lt;RecNum&gt;84&lt;/RecNum&gt;&lt;DisplayText&gt;(17)&lt;/DisplayText&gt;&lt;record&gt;&lt;rec-number&gt;84&lt;/rec-number&gt;&lt;foreign-keys&gt;&lt;key app="EN" db-id="00e2dtv0hafz0oeaf28vtwr1dsps0rzsp2rz" timestamp="1646750919"&gt;84&lt;/key&gt;&lt;/foreign-keys&gt;&lt;ref-type name="Standard"&gt;58&lt;/ref-type&gt;&lt;contributors&gt;&lt;authors&gt;&lt;author&gt;Regionale Toetsingscommissies Euthanasie&lt;/author&gt;&lt;/authors&gt;&lt;/contributors&gt;&lt;titles&gt;&lt;title&gt;Inlegvel EuthanasieCode 2018 naar aanleiding van de arresten van de Hoge Raad d.d. 21 april 2020 inzake euthanasie bij patiënten met voortgeschreden dementie&lt;/title&gt;&lt;/titles&gt;&lt;dates&gt;&lt;year&gt;2020&lt;/year&gt;&lt;/dates&gt;&lt;urls&gt;&lt;/urls&gt;&lt;/record&gt;&lt;/Cite&gt;&lt;/EndNote&gt;</w:instrText>
            </w:r>
            <w:r w:rsidRPr="00C45D8E">
              <w:rPr>
                <w:rFonts w:ascii="Times New Roman" w:hAnsi="Times New Roman" w:cs="Times New Roman"/>
                <w:sz w:val="22"/>
                <w:szCs w:val="22"/>
                <w:vertAlign w:val="superscript"/>
                <w:lang w:val="en-US"/>
              </w:rPr>
              <w:fldChar w:fldCharType="separate"/>
            </w:r>
            <w:r w:rsidR="00320095">
              <w:rPr>
                <w:rFonts w:ascii="Times New Roman" w:hAnsi="Times New Roman" w:cs="Times New Roman"/>
                <w:noProof/>
                <w:sz w:val="22"/>
                <w:szCs w:val="22"/>
                <w:vertAlign w:val="superscript"/>
                <w:lang w:val="en-US"/>
              </w:rPr>
              <w:t>(17)</w:t>
            </w:r>
            <w:r w:rsidRPr="00C45D8E">
              <w:rPr>
                <w:rFonts w:ascii="Times New Roman" w:hAnsi="Times New Roman" w:cs="Times New Roman"/>
                <w:sz w:val="22"/>
                <w:szCs w:val="22"/>
                <w:vertAlign w:val="superscript"/>
                <w:lang w:val="en-US"/>
              </w:rPr>
              <w:fldChar w:fldCharType="end"/>
            </w:r>
            <w:r w:rsidRPr="00C45D8E">
              <w:rPr>
                <w:rFonts w:ascii="Times New Roman" w:hAnsi="Times New Roman" w:cs="Times New Roman"/>
                <w:sz w:val="22"/>
                <w:szCs w:val="22"/>
                <w:lang w:val="en-US"/>
              </w:rPr>
              <w:t xml:space="preserve"> aligned with the RDMA’s position, confirming that while AEDs are valid, the evaluation of unbearable suffering and the patient's current preferences are crucial.</w:t>
            </w:r>
          </w:p>
          <w:p w14:paraId="01FF80F4" w14:textId="77777777" w:rsidR="00B262F8" w:rsidRPr="00C45D8E" w:rsidRDefault="00B262F8"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sz w:val="22"/>
                <w:szCs w:val="22"/>
                <w:lang w:val="en-US"/>
              </w:rPr>
            </w:pPr>
          </w:p>
          <w:p w14:paraId="4202BAC0" w14:textId="589CAF8B" w:rsidR="00590652" w:rsidRPr="00065CE8" w:rsidRDefault="00B262F8" w:rsidP="003326F0">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hAnsi="Times New Roman" w:cs="Times New Roman"/>
                <w:color w:val="212121"/>
                <w:sz w:val="22"/>
                <w:szCs w:val="22"/>
                <w:shd w:val="clear" w:color="auto" w:fill="FFFFFF"/>
                <w:lang w:val="en-US"/>
              </w:rPr>
            </w:pPr>
            <w:r w:rsidRPr="00C45D8E">
              <w:rPr>
                <w:rFonts w:ascii="Times New Roman" w:hAnsi="Times New Roman" w:cs="Times New Roman"/>
                <w:color w:val="212121"/>
                <w:sz w:val="22"/>
                <w:szCs w:val="22"/>
                <w:shd w:val="clear" w:color="auto" w:fill="FFFFFF"/>
                <w:lang w:val="en-US"/>
              </w:rPr>
              <w:t xml:space="preserve">In </w:t>
            </w:r>
            <w:r w:rsidRPr="00C45D8E">
              <w:rPr>
                <w:rFonts w:ascii="Times New Roman" w:hAnsi="Times New Roman" w:cs="Times New Roman"/>
                <w:b/>
                <w:bCs/>
                <w:color w:val="212121"/>
                <w:sz w:val="22"/>
                <w:szCs w:val="22"/>
                <w:shd w:val="clear" w:color="auto" w:fill="FFFFFF"/>
                <w:lang w:val="en-US"/>
              </w:rPr>
              <w:t>2024</w:t>
            </w:r>
            <w:r w:rsidRPr="00C45D8E">
              <w:rPr>
                <w:rFonts w:ascii="Times New Roman" w:hAnsi="Times New Roman" w:cs="Times New Roman"/>
                <w:color w:val="212121"/>
                <w:sz w:val="22"/>
                <w:szCs w:val="22"/>
                <w:shd w:val="clear" w:color="auto" w:fill="FFFFFF"/>
                <w:lang w:val="en-US"/>
              </w:rPr>
              <w:t xml:space="preserve">, the Long-term Care Quality Impulse Foundation (SKILZ) published the </w:t>
            </w:r>
            <w:r w:rsidR="00346E83">
              <w:rPr>
                <w:rFonts w:ascii="Times New Roman" w:hAnsi="Times New Roman" w:cs="Times New Roman"/>
                <w:i/>
                <w:iCs/>
                <w:color w:val="212121"/>
                <w:sz w:val="22"/>
                <w:szCs w:val="22"/>
                <w:shd w:val="clear" w:color="auto" w:fill="FFFFFF"/>
                <w:lang w:val="en-US"/>
              </w:rPr>
              <w:t>Guideline</w:t>
            </w:r>
            <w:r w:rsidRPr="00C45D8E">
              <w:rPr>
                <w:rFonts w:ascii="Times New Roman" w:hAnsi="Times New Roman" w:cs="Times New Roman"/>
                <w:i/>
                <w:iCs/>
                <w:color w:val="212121"/>
                <w:sz w:val="22"/>
                <w:szCs w:val="22"/>
                <w:shd w:val="clear" w:color="auto" w:fill="FFFFFF"/>
                <w:lang w:val="en-US"/>
              </w:rPr>
              <w:t xml:space="preserve"> on Decisiveness and Decision-Making Capacity</w:t>
            </w:r>
            <w:r w:rsidRPr="00C45D8E">
              <w:rPr>
                <w:rFonts w:ascii="Times New Roman" w:hAnsi="Times New Roman" w:cs="Times New Roman"/>
                <w:color w:val="212121"/>
                <w:sz w:val="22"/>
                <w:szCs w:val="22"/>
                <w:shd w:val="clear" w:color="auto" w:fill="FFFFFF"/>
                <w:vertAlign w:val="superscript"/>
                <w:lang w:val="en-US"/>
              </w:rPr>
              <w:fldChar w:fldCharType="begin"/>
            </w:r>
            <w:r w:rsidR="00320095">
              <w:rPr>
                <w:rFonts w:ascii="Times New Roman" w:hAnsi="Times New Roman" w:cs="Times New Roman"/>
                <w:color w:val="212121"/>
                <w:sz w:val="22"/>
                <w:szCs w:val="22"/>
                <w:shd w:val="clear" w:color="auto" w:fill="FFFFFF"/>
                <w:vertAlign w:val="superscript"/>
                <w:lang w:val="en-US"/>
              </w:rPr>
              <w:instrText xml:space="preserve"> ADDIN EN.CITE &lt;EndNote&gt;&lt;Cite&gt;&lt;Author&gt;Cees Hertogh&lt;/Author&gt;&lt;Year&gt;2024&lt;/Year&gt;&lt;RecNum&gt;136&lt;/RecNum&gt;&lt;DisplayText&gt;(18)&lt;/DisplayText&gt;&lt;record&gt;&lt;rec-number&gt;136&lt;/rec-number&gt;&lt;foreign-keys&gt;&lt;key app="EN" db-id="00e2dtv0hafz0oeaf28vtwr1dsps0rzsp2rz" timestamp="1721844454"&gt;136&lt;/key&gt;&lt;/foreign-keys&gt;&lt;ref-type name="Standard"&gt;58&lt;/ref-type&gt;&lt;contributors&gt;&lt;authors&gt;&lt;author&gt;Cees Hertogh, Susanne de Kort, Robert Helle (on behalf of Verenso)&lt;/author&gt;&lt;/authors&gt;&lt;/contributors&gt;&lt;titles&gt;&lt;title&gt;Handreiking Beslisvaardigheid en wilsbekwaamheid&lt;/title&gt;&lt;/titles&gt;&lt;pages&gt;108&lt;/pages&gt;&lt;dates&gt;&lt;year&gt;2024&lt;/year&gt;&lt;pub-dates&gt;&lt;date&gt;11-06-2024&lt;/date&gt;&lt;/pub-dates&gt;&lt;/dates&gt;&lt;publisher&gt;SKILZ (Stichting Kwaliteitsimpuls Landurige Zorg)&lt;/publisher&gt;&lt;urls&gt;&lt;related-urls&gt;&lt;url&gt;https://www.richtlijnenlangdurigezorg.nl/handreikingen/beslisvaardigheid-en-wilsbekwaamheid&lt;/url&gt;&lt;/related-urls&gt;&lt;/urls&gt;&lt;/record&gt;&lt;/Cite&gt;&lt;/EndNote&gt;</w:instrText>
            </w:r>
            <w:r w:rsidRPr="00C45D8E">
              <w:rPr>
                <w:rFonts w:ascii="Times New Roman" w:hAnsi="Times New Roman" w:cs="Times New Roman"/>
                <w:color w:val="212121"/>
                <w:sz w:val="22"/>
                <w:szCs w:val="22"/>
                <w:shd w:val="clear" w:color="auto" w:fill="FFFFFF"/>
                <w:vertAlign w:val="superscript"/>
                <w:lang w:val="en-US"/>
              </w:rPr>
              <w:fldChar w:fldCharType="separate"/>
            </w:r>
            <w:r w:rsidR="00320095">
              <w:rPr>
                <w:rFonts w:ascii="Times New Roman" w:hAnsi="Times New Roman" w:cs="Times New Roman"/>
                <w:noProof/>
                <w:color w:val="212121"/>
                <w:sz w:val="22"/>
                <w:szCs w:val="22"/>
                <w:shd w:val="clear" w:color="auto" w:fill="FFFFFF"/>
                <w:vertAlign w:val="superscript"/>
                <w:lang w:val="en-US"/>
              </w:rPr>
              <w:t>(18)</w:t>
            </w:r>
            <w:r w:rsidRPr="00C45D8E">
              <w:rPr>
                <w:rFonts w:ascii="Times New Roman" w:hAnsi="Times New Roman" w:cs="Times New Roman"/>
                <w:color w:val="212121"/>
                <w:sz w:val="22"/>
                <w:szCs w:val="22"/>
                <w:shd w:val="clear" w:color="auto" w:fill="FFFFFF"/>
                <w:vertAlign w:val="superscript"/>
                <w:lang w:val="en-US"/>
              </w:rPr>
              <w:fldChar w:fldCharType="end"/>
            </w:r>
            <w:r w:rsidRPr="00C45D8E">
              <w:rPr>
                <w:rFonts w:ascii="Times New Roman" w:hAnsi="Times New Roman" w:cs="Times New Roman"/>
                <w:color w:val="212121"/>
                <w:sz w:val="22"/>
                <w:szCs w:val="22"/>
                <w:shd w:val="clear" w:color="auto" w:fill="FFFFFF"/>
                <w:lang w:val="en-US"/>
              </w:rPr>
              <w:t xml:space="preserve">, </w:t>
            </w:r>
            <w:r w:rsidR="003326F0">
              <w:rPr>
                <w:rFonts w:ascii="Times New Roman" w:hAnsi="Times New Roman" w:cs="Times New Roman"/>
                <w:color w:val="212121"/>
                <w:sz w:val="22"/>
                <w:szCs w:val="22"/>
                <w:shd w:val="clear" w:color="auto" w:fill="FFFFFF"/>
                <w:lang w:val="en-US"/>
              </w:rPr>
              <w:t xml:space="preserve">which addresses the </w:t>
            </w:r>
            <w:r w:rsidRPr="00C45D8E">
              <w:rPr>
                <w:rFonts w:ascii="Times New Roman" w:hAnsi="Times New Roman" w:cs="Times New Roman"/>
                <w:color w:val="212121"/>
                <w:sz w:val="22"/>
                <w:szCs w:val="22"/>
                <w:shd w:val="clear" w:color="auto" w:fill="FFFFFF"/>
                <w:lang w:val="en-US"/>
              </w:rPr>
              <w:t xml:space="preserve">complexities of euthanasia in patients </w:t>
            </w:r>
            <w:r w:rsidR="003326F0">
              <w:rPr>
                <w:rFonts w:ascii="Times New Roman" w:hAnsi="Times New Roman" w:cs="Times New Roman"/>
                <w:color w:val="212121"/>
                <w:sz w:val="22"/>
                <w:szCs w:val="22"/>
                <w:shd w:val="clear" w:color="auto" w:fill="FFFFFF"/>
                <w:lang w:val="en-US"/>
              </w:rPr>
              <w:t xml:space="preserve">with dementia </w:t>
            </w:r>
            <w:r w:rsidRPr="00C45D8E">
              <w:rPr>
                <w:rFonts w:ascii="Times New Roman" w:hAnsi="Times New Roman" w:cs="Times New Roman"/>
                <w:color w:val="212121"/>
                <w:sz w:val="22"/>
                <w:szCs w:val="22"/>
                <w:shd w:val="clear" w:color="auto" w:fill="FFFFFF"/>
                <w:lang w:val="en-US"/>
              </w:rPr>
              <w:t>based on AEDs. The handbook</w:t>
            </w:r>
            <w:r w:rsidR="003326F0">
              <w:rPr>
                <w:rFonts w:ascii="Times New Roman" w:hAnsi="Times New Roman" w:cs="Times New Roman"/>
                <w:color w:val="212121"/>
                <w:sz w:val="22"/>
                <w:szCs w:val="22"/>
                <w:shd w:val="clear" w:color="auto" w:fill="FFFFFF"/>
                <w:lang w:val="en-US"/>
              </w:rPr>
              <w:t xml:space="preserve"> offers an interpretation of the UNCRPD in this context, emphasizing that an AED is not an automatic substitute </w:t>
            </w:r>
            <w:r w:rsidRPr="00C45D8E">
              <w:rPr>
                <w:rFonts w:ascii="Times New Roman" w:hAnsi="Times New Roman" w:cs="Times New Roman"/>
                <w:color w:val="212121"/>
                <w:sz w:val="22"/>
                <w:szCs w:val="22"/>
                <w:shd w:val="clear" w:color="auto" w:fill="FFFFFF"/>
                <w:lang w:val="en-US"/>
              </w:rPr>
              <w:t xml:space="preserve">for a patient’s current </w:t>
            </w:r>
            <w:r w:rsidR="003326F0">
              <w:rPr>
                <w:rFonts w:ascii="Times New Roman" w:hAnsi="Times New Roman" w:cs="Times New Roman"/>
                <w:color w:val="212121"/>
                <w:sz w:val="22"/>
                <w:szCs w:val="22"/>
                <w:shd w:val="clear" w:color="auto" w:fill="FFFFFF"/>
                <w:lang w:val="en-US"/>
              </w:rPr>
              <w:t>wishes</w:t>
            </w:r>
            <w:r w:rsidRPr="00C45D8E">
              <w:rPr>
                <w:rFonts w:ascii="Times New Roman" w:hAnsi="Times New Roman" w:cs="Times New Roman"/>
                <w:color w:val="212121"/>
                <w:sz w:val="22"/>
                <w:szCs w:val="22"/>
                <w:shd w:val="clear" w:color="auto" w:fill="FFFFFF"/>
                <w:lang w:val="en-US"/>
              </w:rPr>
              <w:t xml:space="preserve"> but </w:t>
            </w:r>
            <w:r w:rsidR="003326F0">
              <w:rPr>
                <w:rFonts w:ascii="Times New Roman" w:hAnsi="Times New Roman" w:cs="Times New Roman"/>
                <w:color w:val="212121"/>
                <w:sz w:val="22"/>
                <w:szCs w:val="22"/>
                <w:shd w:val="clear" w:color="auto" w:fill="FFFFFF"/>
                <w:lang w:val="en-US"/>
              </w:rPr>
              <w:t xml:space="preserve">rather </w:t>
            </w:r>
            <w:r w:rsidRPr="00C45D8E">
              <w:rPr>
                <w:rFonts w:ascii="Times New Roman" w:hAnsi="Times New Roman" w:cs="Times New Roman"/>
                <w:color w:val="212121"/>
                <w:sz w:val="22"/>
                <w:szCs w:val="22"/>
                <w:shd w:val="clear" w:color="auto" w:fill="FFFFFF"/>
                <w:lang w:val="en-US"/>
              </w:rPr>
              <w:t xml:space="preserve">serves to clarify </w:t>
            </w:r>
            <w:r w:rsidR="003326F0">
              <w:rPr>
                <w:rFonts w:ascii="Times New Roman" w:hAnsi="Times New Roman" w:cs="Times New Roman"/>
                <w:color w:val="212121"/>
                <w:sz w:val="22"/>
                <w:szCs w:val="22"/>
                <w:shd w:val="clear" w:color="auto" w:fill="FFFFFF"/>
                <w:lang w:val="en-US"/>
              </w:rPr>
              <w:t>their</w:t>
            </w:r>
            <w:r w:rsidRPr="00C45D8E">
              <w:rPr>
                <w:rFonts w:ascii="Times New Roman" w:hAnsi="Times New Roman" w:cs="Times New Roman"/>
                <w:color w:val="212121"/>
                <w:sz w:val="22"/>
                <w:szCs w:val="22"/>
                <w:shd w:val="clear" w:color="auto" w:fill="FFFFFF"/>
                <w:lang w:val="en-US"/>
              </w:rPr>
              <w:t xml:space="preserve"> earlier intentions.</w:t>
            </w:r>
            <w:r w:rsidR="003326F0">
              <w:rPr>
                <w:rFonts w:ascii="Times New Roman" w:hAnsi="Times New Roman" w:cs="Times New Roman"/>
                <w:color w:val="212121"/>
                <w:sz w:val="22"/>
                <w:szCs w:val="22"/>
                <w:shd w:val="clear" w:color="auto" w:fill="FFFFFF"/>
                <w:lang w:val="en-US"/>
              </w:rPr>
              <w:t xml:space="preserve"> However, this interpretation remains a topic of debate, </w:t>
            </w:r>
            <w:r w:rsidR="003326F0">
              <w:rPr>
                <w:rFonts w:ascii="Times New Roman" w:hAnsi="Times New Roman" w:cs="Times New Roman"/>
                <w:color w:val="212121"/>
                <w:sz w:val="22"/>
                <w:szCs w:val="22"/>
                <w:shd w:val="clear" w:color="auto" w:fill="FFFFFF"/>
                <w:lang w:val="en-US"/>
              </w:rPr>
              <w:lastRenderedPageBreak/>
              <w:t xml:space="preserve">particularly given the Dutch reservation on Article 12 of the UNCRPD, which reflects caution around decision-making capacity in cases like these. </w:t>
            </w:r>
          </w:p>
        </w:tc>
      </w:tr>
    </w:tbl>
    <w:p w14:paraId="23D341A2" w14:textId="519B12FB" w:rsidR="00967F3C" w:rsidRDefault="00967F3C" w:rsidP="00EC41FE">
      <w:pPr>
        <w:pStyle w:val="NoSpacing"/>
        <w:spacing w:after="240" w:line="480" w:lineRule="auto"/>
        <w:jc w:val="both"/>
        <w:rPr>
          <w:rStyle w:val="Geen"/>
          <w:rFonts w:ascii="Times New Roman" w:hAnsi="Times New Roman" w:cs="Times New Roman"/>
          <w:b/>
          <w:bCs/>
          <w:sz w:val="24"/>
          <w:szCs w:val="24"/>
          <w:lang w:val="en-US"/>
        </w:rPr>
      </w:pPr>
    </w:p>
    <w:p w14:paraId="2E20E24E" w14:textId="0E0750A0" w:rsidR="008F7422" w:rsidRPr="002A2E1C" w:rsidRDefault="008F7422" w:rsidP="00EC41FE">
      <w:pPr>
        <w:pStyle w:val="NoSpacing"/>
        <w:spacing w:after="240" w:line="480" w:lineRule="auto"/>
        <w:jc w:val="both"/>
        <w:rPr>
          <w:rStyle w:val="Geen"/>
          <w:rFonts w:ascii="Times New Roman" w:hAnsi="Times New Roman" w:cs="Times New Roman"/>
          <w:sz w:val="24"/>
          <w:szCs w:val="24"/>
          <w:lang w:val="en-US"/>
        </w:rPr>
      </w:pPr>
      <w:r w:rsidRPr="002A2E1C">
        <w:rPr>
          <w:rStyle w:val="Geen"/>
          <w:rFonts w:ascii="Times New Roman" w:hAnsi="Times New Roman" w:cs="Times New Roman"/>
          <w:b/>
          <w:bCs/>
          <w:sz w:val="24"/>
          <w:szCs w:val="24"/>
          <w:lang w:val="en-US"/>
        </w:rPr>
        <w:t xml:space="preserve">Appendix </w:t>
      </w:r>
      <w:r w:rsidR="00967F3C">
        <w:rPr>
          <w:rStyle w:val="Geen"/>
          <w:rFonts w:ascii="Times New Roman" w:hAnsi="Times New Roman" w:cs="Times New Roman"/>
          <w:b/>
          <w:bCs/>
          <w:sz w:val="24"/>
          <w:szCs w:val="24"/>
          <w:lang w:val="en-US"/>
        </w:rPr>
        <w:t>4</w:t>
      </w:r>
      <w:r w:rsidRPr="002A2E1C">
        <w:rPr>
          <w:rStyle w:val="Geen"/>
          <w:rFonts w:ascii="Times New Roman" w:hAnsi="Times New Roman" w:cs="Times New Roman"/>
          <w:b/>
          <w:bCs/>
          <w:sz w:val="24"/>
          <w:szCs w:val="24"/>
          <w:lang w:val="en-US"/>
        </w:rPr>
        <w:t xml:space="preserve"> | </w:t>
      </w:r>
      <w:r w:rsidRPr="002A2E1C">
        <w:rPr>
          <w:rStyle w:val="Geen"/>
          <w:rFonts w:ascii="Times New Roman" w:hAnsi="Times New Roman" w:cs="Times New Roman"/>
          <w:sz w:val="24"/>
          <w:szCs w:val="24"/>
          <w:lang w:val="en-US"/>
        </w:rPr>
        <w:t>Topic list</w:t>
      </w:r>
    </w:p>
    <w:tbl>
      <w:tblPr>
        <w:tblStyle w:val="TableGrid"/>
        <w:tblW w:w="0" w:type="auto"/>
        <w:tblLook w:val="04A0" w:firstRow="1" w:lastRow="0" w:firstColumn="1" w:lastColumn="0" w:noHBand="0" w:noVBand="1"/>
      </w:tblPr>
      <w:tblGrid>
        <w:gridCol w:w="9056"/>
      </w:tblGrid>
      <w:tr w:rsidR="008F7422" w:rsidRPr="00F640E7" w14:paraId="30FA887E" w14:textId="77777777" w:rsidTr="0087217B">
        <w:trPr>
          <w:trHeight w:val="410"/>
        </w:trPr>
        <w:tc>
          <w:tcPr>
            <w:tcW w:w="9056" w:type="dxa"/>
          </w:tcPr>
          <w:p w14:paraId="3E968F0C" w14:textId="77777777" w:rsidR="008F7422" w:rsidRPr="00967F3C" w:rsidRDefault="008F7422" w:rsidP="00EC41FE">
            <w:pPr>
              <w:pStyle w:val="NoSpacing"/>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Style w:val="Geen"/>
                <w:rFonts w:ascii="Times New Roman" w:eastAsia="Carlito" w:hAnsi="Times New Roman" w:cs="Times New Roman"/>
                <w:bCs/>
                <w:sz w:val="22"/>
                <w:szCs w:val="22"/>
                <w:lang w:val="en-US"/>
              </w:rPr>
            </w:pPr>
            <w:r w:rsidRPr="00967F3C">
              <w:rPr>
                <w:rStyle w:val="Geen"/>
                <w:rFonts w:ascii="Times New Roman" w:eastAsia="Carlito" w:hAnsi="Times New Roman" w:cs="Times New Roman"/>
                <w:bCs/>
                <w:sz w:val="22"/>
                <w:szCs w:val="22"/>
                <w:lang w:val="en-US"/>
              </w:rPr>
              <w:t xml:space="preserve">Available on request. </w:t>
            </w:r>
          </w:p>
        </w:tc>
      </w:tr>
    </w:tbl>
    <w:p w14:paraId="1653080B" w14:textId="77777777" w:rsidR="008F7422" w:rsidRPr="002A2E1C" w:rsidRDefault="008F7422" w:rsidP="00EC41FE">
      <w:pPr>
        <w:pStyle w:val="NoSpacing"/>
        <w:spacing w:line="480" w:lineRule="auto"/>
        <w:jc w:val="both"/>
        <w:rPr>
          <w:rStyle w:val="Geen"/>
          <w:rFonts w:ascii="Times New Roman" w:eastAsia="Carlito" w:hAnsi="Times New Roman" w:cs="Times New Roman"/>
          <w:b/>
          <w:bCs/>
          <w:sz w:val="24"/>
          <w:szCs w:val="24"/>
          <w:lang w:val="en-US"/>
        </w:rPr>
      </w:pPr>
    </w:p>
    <w:p w14:paraId="0A683F4D" w14:textId="77777777" w:rsidR="008F7422" w:rsidRPr="002A2E1C" w:rsidRDefault="008F7422" w:rsidP="00EC41FE">
      <w:pPr>
        <w:spacing w:line="480" w:lineRule="auto"/>
        <w:jc w:val="both"/>
        <w:rPr>
          <w:rFonts w:ascii="Times New Roman" w:hAnsi="Times New Roman" w:cs="Times New Roman"/>
        </w:rPr>
      </w:pPr>
    </w:p>
    <w:p w14:paraId="5C513461" w14:textId="77777777" w:rsidR="008F7422" w:rsidRPr="002A2E1C" w:rsidRDefault="008F7422" w:rsidP="00EC41FE">
      <w:pPr>
        <w:spacing w:line="480" w:lineRule="auto"/>
        <w:jc w:val="both"/>
        <w:rPr>
          <w:rFonts w:ascii="Times New Roman" w:hAnsi="Times New Roman" w:cs="Times New Roman"/>
        </w:rPr>
        <w:sectPr w:rsidR="008F7422" w:rsidRPr="002A2E1C" w:rsidSect="002B51AE">
          <w:type w:val="continuous"/>
          <w:pgSz w:w="11906" w:h="16838"/>
          <w:pgMar w:top="1417" w:right="1417" w:bottom="1417" w:left="1417" w:header="708" w:footer="708" w:gutter="0"/>
          <w:cols w:space="708"/>
          <w:docGrid w:linePitch="360"/>
        </w:sectPr>
      </w:pPr>
    </w:p>
    <w:p w14:paraId="32534B0D" w14:textId="0209B919" w:rsidR="008F7422" w:rsidRPr="002A2E1C" w:rsidRDefault="008F7422" w:rsidP="00EC41FE">
      <w:pPr>
        <w:pStyle w:val="Hoofdtekst"/>
        <w:spacing w:line="480" w:lineRule="auto"/>
        <w:jc w:val="both"/>
        <w:rPr>
          <w:rFonts w:ascii="Times New Roman" w:eastAsia="Calibri Light" w:hAnsi="Times New Roman" w:cs="Times New Roman"/>
          <w:sz w:val="24"/>
          <w:szCs w:val="24"/>
          <w:lang w:val="en-US"/>
        </w:rPr>
      </w:pPr>
      <w:r w:rsidRPr="002A2E1C">
        <w:rPr>
          <w:rStyle w:val="Geen"/>
          <w:rFonts w:ascii="Times New Roman" w:hAnsi="Times New Roman" w:cs="Times New Roman"/>
          <w:b/>
          <w:bCs/>
          <w:sz w:val="24"/>
          <w:szCs w:val="24"/>
          <w:lang w:val="en-US"/>
        </w:rPr>
        <w:lastRenderedPageBreak/>
        <w:t xml:space="preserve">Appendix </w:t>
      </w:r>
      <w:r w:rsidR="00967F3C">
        <w:rPr>
          <w:rStyle w:val="Geen"/>
          <w:rFonts w:ascii="Times New Roman" w:hAnsi="Times New Roman" w:cs="Times New Roman"/>
          <w:b/>
          <w:bCs/>
          <w:sz w:val="24"/>
          <w:szCs w:val="24"/>
          <w:lang w:val="en-US"/>
        </w:rPr>
        <w:t>5</w:t>
      </w:r>
      <w:r w:rsidRPr="002A2E1C">
        <w:rPr>
          <w:rStyle w:val="Geen"/>
          <w:rFonts w:ascii="Times New Roman" w:hAnsi="Times New Roman" w:cs="Times New Roman"/>
          <w:b/>
          <w:bCs/>
          <w:sz w:val="24"/>
          <w:szCs w:val="24"/>
          <w:lang w:val="en-US"/>
        </w:rPr>
        <w:t xml:space="preserve"> | </w:t>
      </w:r>
      <w:r w:rsidRPr="002A2E1C">
        <w:rPr>
          <w:rFonts w:ascii="Times New Roman" w:hAnsi="Times New Roman" w:cs="Times New Roman"/>
          <w:sz w:val="24"/>
          <w:szCs w:val="24"/>
          <w:lang w:val="en-US"/>
        </w:rPr>
        <w:t>Triangular figure of the topic list</w:t>
      </w:r>
    </w:p>
    <w:p w14:paraId="4072F515" w14:textId="4A0E9BA5" w:rsidR="008F7422" w:rsidRPr="002A2E1C" w:rsidRDefault="00D700E5" w:rsidP="00EC41FE">
      <w:pPr>
        <w:spacing w:line="480" w:lineRule="auto"/>
        <w:jc w:val="both"/>
        <w:rPr>
          <w:rFonts w:ascii="Times New Roman" w:hAnsi="Times New Roman" w:cs="Times New Roman"/>
          <w:lang w:val="en-US"/>
        </w:rPr>
      </w:pPr>
      <w:r>
        <w:rPr>
          <w:rFonts w:ascii="Times New Roman" w:hAnsi="Times New Roman" w:cs="Times New Roman"/>
          <w:noProof/>
          <w:lang w:val="en-US"/>
          <w14:textOutline w14:w="0" w14:cap="rnd" w14:cmpd="sng" w14:algn="ctr">
            <w14:noFill/>
            <w14:prstDash w14:val="solid"/>
            <w14:bevel/>
          </w14:textOutline>
        </w:rPr>
        <w:drawing>
          <wp:inline distT="0" distB="0" distL="0" distR="0" wp14:anchorId="11416982" wp14:editId="76CD548A">
            <wp:extent cx="9516616" cy="5090615"/>
            <wp:effectExtent l="0" t="0" r="8890" b="0"/>
            <wp:docPr id="1970867787" name="Afbeelding 1" descr="Afbeelding met tekst, Lettertype,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67787" name="Afbeelding 1" descr="Afbeelding met tekst, Lettertype, schermopname, lijn&#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9525923" cy="5095594"/>
                    </a:xfrm>
                    <a:prstGeom prst="rect">
                      <a:avLst/>
                    </a:prstGeom>
                  </pic:spPr>
                </pic:pic>
              </a:graphicData>
            </a:graphic>
          </wp:inline>
        </w:drawing>
      </w:r>
    </w:p>
    <w:p w14:paraId="4ADA7ECC" w14:textId="13381F04" w:rsidR="00B262F8" w:rsidRPr="006E4709" w:rsidRDefault="00DC486A" w:rsidP="00FC1BBC">
      <w:pPr>
        <w:spacing w:before="0" w:line="480" w:lineRule="auto"/>
        <w:jc w:val="both"/>
        <w:rPr>
          <w:rStyle w:val="Geen"/>
          <w:rFonts w:ascii="Times New Roman" w:hAnsi="Times New Roman" w:cs="Times New Roman"/>
          <w:b/>
          <w:bCs/>
          <w:i/>
          <w:lang w:val="en-US"/>
        </w:rPr>
      </w:pPr>
      <w:r w:rsidRPr="006E4709">
        <w:rPr>
          <w:rStyle w:val="Geen"/>
          <w:rFonts w:ascii="Times New Roman" w:hAnsi="Times New Roman" w:cs="Times New Roman"/>
          <w:b/>
          <w:bCs/>
          <w:lang w:val="en-US"/>
        </w:rPr>
        <w:lastRenderedPageBreak/>
        <w:t>References</w:t>
      </w:r>
    </w:p>
    <w:p w14:paraId="65A72A3B" w14:textId="38A7F659" w:rsidR="0016416F" w:rsidRPr="00FC1BBC" w:rsidRDefault="00B262F8" w:rsidP="00FC1BBC">
      <w:pPr>
        <w:pStyle w:val="EndNoteBibliography"/>
        <w:spacing w:after="0"/>
        <w:rPr>
          <w:rFonts w:ascii="Times New Roman" w:hAnsi="Times New Roman" w:cs="Times New Roman"/>
          <w:i/>
          <w:noProof/>
          <w:sz w:val="22"/>
          <w:szCs w:val="22"/>
          <w:lang w:val="en-US"/>
        </w:rPr>
      </w:pPr>
      <w:r w:rsidRPr="00FC1BBC">
        <w:rPr>
          <w:rStyle w:val="Geen"/>
          <w:rFonts w:ascii="Times New Roman" w:hAnsi="Times New Roman" w:cs="Times New Roman"/>
          <w:b/>
          <w:bCs/>
          <w:i/>
          <w:sz w:val="22"/>
          <w:szCs w:val="22"/>
          <w:lang w:val="en-US"/>
        </w:rPr>
        <w:fldChar w:fldCharType="begin"/>
      </w:r>
      <w:r w:rsidRPr="00FC1BBC">
        <w:rPr>
          <w:rStyle w:val="Geen"/>
          <w:rFonts w:ascii="Times New Roman" w:hAnsi="Times New Roman" w:cs="Times New Roman"/>
          <w:b/>
          <w:bCs/>
          <w:i/>
          <w:sz w:val="22"/>
          <w:szCs w:val="22"/>
          <w:lang w:val="en-US"/>
        </w:rPr>
        <w:instrText xml:space="preserve"> ADDIN EN.REFLIST </w:instrText>
      </w:r>
      <w:r w:rsidRPr="00FC1BBC">
        <w:rPr>
          <w:rStyle w:val="Geen"/>
          <w:rFonts w:ascii="Times New Roman" w:hAnsi="Times New Roman" w:cs="Times New Roman"/>
          <w:b/>
          <w:bCs/>
          <w:i/>
          <w:sz w:val="22"/>
          <w:szCs w:val="22"/>
          <w:lang w:val="en-US"/>
        </w:rPr>
        <w:fldChar w:fldCharType="separate"/>
      </w:r>
      <w:r w:rsidR="0016416F" w:rsidRPr="00FC1BBC">
        <w:rPr>
          <w:rFonts w:ascii="Times New Roman" w:hAnsi="Times New Roman" w:cs="Times New Roman"/>
          <w:i/>
          <w:noProof/>
          <w:sz w:val="22"/>
          <w:szCs w:val="22"/>
          <w:lang w:val="en-US"/>
        </w:rPr>
        <w:t>1.</w:t>
      </w:r>
      <w:r w:rsidR="0016416F"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Regional Euthanasia Review Committees (RERC)</w:t>
      </w:r>
      <w:r w:rsidR="0016416F" w:rsidRPr="00FC1BBC">
        <w:rPr>
          <w:rFonts w:ascii="Times New Roman" w:hAnsi="Times New Roman" w:cs="Times New Roman"/>
          <w:i/>
          <w:noProof/>
          <w:sz w:val="22"/>
          <w:szCs w:val="22"/>
          <w:lang w:val="en-US"/>
        </w:rPr>
        <w:t>, 2016-85.</w:t>
      </w:r>
    </w:p>
    <w:p w14:paraId="3E7188B5" w14:textId="517E877F"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2.</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Hearing of the Regional Disciplinary Tribunal (RTG), 24 juli 2018, ECLI:NL:TGZCTG:2019:68.</w:t>
      </w:r>
    </w:p>
    <w:p w14:paraId="39CBA324" w14:textId="0B48AA5E"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3.</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Hearing of the Central Disciplinary Tribunal (CTG), 19 maart 2019, ECLI:NL:TGZCTG:2019:68.</w:t>
      </w:r>
    </w:p>
    <w:p w14:paraId="77DD50F8" w14:textId="2A76C6A1"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4.</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Hearing of The Hague District Court, 11 september 2019, ECLI:NL:RBDHA:2019:9506.</w:t>
      </w:r>
    </w:p>
    <w:p w14:paraId="1B7BD429" w14:textId="3EEEDCB5"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5.</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Hearing of Supreme Court, 17 december 2019, ECLI:NL:PHR:2019:1339.</w:t>
      </w:r>
    </w:p>
    <w:p w14:paraId="7725C9F6" w14:textId="78EBD039"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6.</w:t>
      </w:r>
      <w:r w:rsidRPr="00FC1BBC">
        <w:rPr>
          <w:rFonts w:ascii="Times New Roman" w:hAnsi="Times New Roman" w:cs="Times New Roman"/>
          <w:i/>
          <w:noProof/>
          <w:sz w:val="22"/>
          <w:szCs w:val="22"/>
          <w:lang w:val="en-US"/>
        </w:rPr>
        <w:tab/>
        <w:t xml:space="preserve">Termination of Life on Request and Assisted Suicide Review Act; Article 2, paragraph 2 [in Dutch]. </w:t>
      </w:r>
      <w:hyperlink r:id="rId9" w:history="1">
        <w:r w:rsidRPr="00FC1BBC">
          <w:rPr>
            <w:rStyle w:val="Hyperlink"/>
            <w:rFonts w:ascii="Times New Roman" w:hAnsi="Times New Roman" w:cs="Times New Roman"/>
            <w:i/>
            <w:noProof/>
            <w:sz w:val="22"/>
            <w:szCs w:val="22"/>
            <w:lang w:val="en-US"/>
          </w:rPr>
          <w:t>https://wetten.overheid.nl/jci1.3:c:BWBR0012410&amp;z=2020-03-19&amp;g=2020-03-19</w:t>
        </w:r>
      </w:hyperlink>
      <w:r w:rsidRPr="00FC1BBC">
        <w:rPr>
          <w:rFonts w:ascii="Times New Roman" w:hAnsi="Times New Roman" w:cs="Times New Roman"/>
          <w:i/>
          <w:noProof/>
          <w:sz w:val="22"/>
          <w:szCs w:val="22"/>
          <w:lang w:val="en-US"/>
        </w:rPr>
        <w:t xml:space="preserve"> [accessed 14 June 2023].</w:t>
      </w:r>
    </w:p>
    <w:p w14:paraId="4FEEA0D8" w14:textId="77777777"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7.</w:t>
      </w:r>
      <w:r w:rsidRPr="00FC1BBC">
        <w:rPr>
          <w:rFonts w:ascii="Times New Roman" w:hAnsi="Times New Roman" w:cs="Times New Roman"/>
          <w:i/>
          <w:noProof/>
          <w:sz w:val="22"/>
          <w:szCs w:val="22"/>
          <w:lang w:val="en-US"/>
        </w:rPr>
        <w:tab/>
        <w:t>Gevers S. Euthanasia law and practice in The Netherlands. British Medical Bulletin. 1996;52(2):326-33.</w:t>
      </w:r>
    </w:p>
    <w:p w14:paraId="7E96C8C6" w14:textId="0C7813F2" w:rsidR="0016416F" w:rsidRPr="002B51AE"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8.</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sz w:val="22"/>
          <w:szCs w:val="22"/>
          <w:lang w:val="en-US"/>
        </w:rPr>
        <w:t>Dutch Association for Voluntary Euthanasia</w:t>
      </w:r>
      <w:r w:rsidR="00FC1BBC" w:rsidRPr="00FC1BBC" w:rsidDel="00FC1BBC">
        <w:rPr>
          <w:rFonts w:ascii="Times New Roman" w:hAnsi="Times New Roman" w:cs="Times New Roman"/>
          <w:i/>
          <w:noProof/>
          <w:sz w:val="22"/>
          <w:szCs w:val="22"/>
          <w:lang w:val="en-US"/>
        </w:rPr>
        <w:t xml:space="preserve"> </w:t>
      </w:r>
      <w:r w:rsidR="00FC1BBC" w:rsidRPr="00FC1BBC">
        <w:rPr>
          <w:rFonts w:ascii="Times New Roman" w:hAnsi="Times New Roman" w:cs="Times New Roman"/>
          <w:i/>
          <w:noProof/>
          <w:sz w:val="22"/>
          <w:szCs w:val="22"/>
          <w:lang w:val="en-US"/>
        </w:rPr>
        <w:t>(</w:t>
      </w:r>
      <w:r w:rsidRPr="00FC1BBC">
        <w:rPr>
          <w:rFonts w:ascii="Times New Roman" w:hAnsi="Times New Roman" w:cs="Times New Roman"/>
          <w:i/>
          <w:noProof/>
          <w:sz w:val="22"/>
          <w:szCs w:val="22"/>
          <w:lang w:val="en-US"/>
        </w:rPr>
        <w:t xml:space="preserve">NVVE). </w:t>
      </w:r>
      <w:r w:rsidRPr="002B51AE">
        <w:rPr>
          <w:rFonts w:ascii="Times New Roman" w:hAnsi="Times New Roman" w:cs="Times New Roman"/>
          <w:i/>
          <w:noProof/>
          <w:sz w:val="22"/>
          <w:szCs w:val="22"/>
          <w:lang w:val="en-US"/>
        </w:rPr>
        <w:t>20 jaar euthanasiewet [In Dutch]. Relevant. 2022;1:1-44.</w:t>
      </w:r>
    </w:p>
    <w:p w14:paraId="3CFA4FF7" w14:textId="5FD75D3D"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9.</w:t>
      </w:r>
      <w:r w:rsidRPr="00FC1BBC">
        <w:rPr>
          <w:rFonts w:ascii="Times New Roman" w:hAnsi="Times New Roman" w:cs="Times New Roman"/>
          <w:i/>
          <w:noProof/>
          <w:sz w:val="22"/>
          <w:szCs w:val="22"/>
          <w:lang w:val="en-US"/>
        </w:rPr>
        <w:tab/>
        <w:t xml:space="preserve">Hearing before </w:t>
      </w:r>
      <w:r w:rsidR="00FC1BBC" w:rsidRPr="00FC1BBC">
        <w:rPr>
          <w:rFonts w:ascii="Times New Roman" w:hAnsi="Times New Roman" w:cs="Times New Roman"/>
          <w:i/>
          <w:noProof/>
          <w:sz w:val="22"/>
          <w:szCs w:val="22"/>
          <w:lang w:val="en-US"/>
        </w:rPr>
        <w:t xml:space="preserve">Supreme Court </w:t>
      </w:r>
      <w:r w:rsidRPr="00FC1BBC">
        <w:rPr>
          <w:rFonts w:ascii="Times New Roman" w:hAnsi="Times New Roman" w:cs="Times New Roman"/>
          <w:i/>
          <w:noProof/>
          <w:sz w:val="22"/>
          <w:szCs w:val="22"/>
          <w:lang w:val="en-US"/>
        </w:rPr>
        <w:t>(2019, December 17, 2019).</w:t>
      </w:r>
    </w:p>
    <w:p w14:paraId="25FD77D0" w14:textId="1395FF11"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10.</w:t>
      </w:r>
      <w:r w:rsidRPr="00FC1BBC">
        <w:rPr>
          <w:rFonts w:ascii="Times New Roman" w:hAnsi="Times New Roman" w:cs="Times New Roman"/>
          <w:i/>
          <w:noProof/>
          <w:sz w:val="22"/>
          <w:szCs w:val="22"/>
          <w:lang w:val="en-US"/>
        </w:rPr>
        <w:tab/>
        <w:t xml:space="preserve">Hearing before </w:t>
      </w:r>
      <w:r w:rsidR="00FC1BBC" w:rsidRPr="00FC1BBC">
        <w:rPr>
          <w:rFonts w:ascii="Times New Roman" w:hAnsi="Times New Roman" w:cs="Times New Roman"/>
          <w:i/>
          <w:noProof/>
          <w:sz w:val="22"/>
          <w:szCs w:val="22"/>
          <w:lang w:val="en-US"/>
        </w:rPr>
        <w:t xml:space="preserve">Supreme Court </w:t>
      </w:r>
      <w:r w:rsidRPr="00FC1BBC">
        <w:rPr>
          <w:rFonts w:ascii="Times New Roman" w:hAnsi="Times New Roman" w:cs="Times New Roman"/>
          <w:i/>
          <w:noProof/>
          <w:sz w:val="22"/>
          <w:szCs w:val="22"/>
          <w:lang w:val="en-US"/>
        </w:rPr>
        <w:t>(2019, December 17, 2019).</w:t>
      </w:r>
    </w:p>
    <w:p w14:paraId="3F06547D" w14:textId="12CCC9F0"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11.</w:t>
      </w:r>
      <w:r w:rsidRPr="00FC1BBC">
        <w:rPr>
          <w:rFonts w:ascii="Times New Roman" w:hAnsi="Times New Roman" w:cs="Times New Roman"/>
          <w:i/>
          <w:noProof/>
          <w:sz w:val="22"/>
          <w:szCs w:val="22"/>
          <w:lang w:val="en-US"/>
        </w:rPr>
        <w:tab/>
        <w:t xml:space="preserve">RTE oordeel 2016-85: Hearing before the </w:t>
      </w:r>
      <w:r w:rsidR="00FC1BBC" w:rsidRPr="00FC1BBC">
        <w:rPr>
          <w:rFonts w:ascii="Times New Roman" w:hAnsi="Times New Roman" w:cs="Times New Roman"/>
          <w:i/>
          <w:noProof/>
          <w:sz w:val="22"/>
          <w:szCs w:val="22"/>
          <w:lang w:val="en-US"/>
        </w:rPr>
        <w:t xml:space="preserve">Regional Euthanasia Review Committees </w:t>
      </w:r>
      <w:r w:rsidRPr="00FC1BBC">
        <w:rPr>
          <w:rFonts w:ascii="Times New Roman" w:hAnsi="Times New Roman" w:cs="Times New Roman"/>
          <w:i/>
          <w:noProof/>
          <w:sz w:val="22"/>
          <w:szCs w:val="22"/>
          <w:lang w:val="en-US"/>
        </w:rPr>
        <w:t>(R</w:t>
      </w:r>
      <w:r w:rsidR="00FC1BBC" w:rsidRPr="00FC1BBC">
        <w:rPr>
          <w:rFonts w:ascii="Times New Roman" w:hAnsi="Times New Roman" w:cs="Times New Roman"/>
          <w:i/>
          <w:noProof/>
          <w:sz w:val="22"/>
          <w:szCs w:val="22"/>
          <w:lang w:val="en-US"/>
        </w:rPr>
        <w:t>ERC</w:t>
      </w:r>
      <w:r w:rsidRPr="00FC1BBC">
        <w:rPr>
          <w:rFonts w:ascii="Times New Roman" w:hAnsi="Times New Roman" w:cs="Times New Roman"/>
          <w:i/>
          <w:noProof/>
          <w:sz w:val="22"/>
          <w:szCs w:val="22"/>
          <w:lang w:val="en-US"/>
        </w:rPr>
        <w:t>)(2016).</w:t>
      </w:r>
    </w:p>
    <w:p w14:paraId="5C9E2296" w14:textId="77777777" w:rsidR="0016416F" w:rsidRPr="00FC1BBC" w:rsidRDefault="0016416F" w:rsidP="00FC1BBC">
      <w:pPr>
        <w:pStyle w:val="EndNoteBibliography"/>
        <w:spacing w:after="0"/>
        <w:rPr>
          <w:rFonts w:ascii="Times New Roman" w:hAnsi="Times New Roman" w:cs="Times New Roman"/>
          <w:i/>
          <w:noProof/>
          <w:sz w:val="22"/>
          <w:szCs w:val="22"/>
        </w:rPr>
      </w:pPr>
      <w:r w:rsidRPr="00FC1BBC">
        <w:rPr>
          <w:rFonts w:ascii="Times New Roman" w:hAnsi="Times New Roman" w:cs="Times New Roman"/>
          <w:i/>
          <w:noProof/>
          <w:sz w:val="22"/>
          <w:szCs w:val="22"/>
          <w:lang w:val="en-US"/>
        </w:rPr>
        <w:t>12.</w:t>
      </w:r>
      <w:r w:rsidRPr="00FC1BBC">
        <w:rPr>
          <w:rFonts w:ascii="Times New Roman" w:hAnsi="Times New Roman" w:cs="Times New Roman"/>
          <w:i/>
          <w:noProof/>
          <w:sz w:val="22"/>
          <w:szCs w:val="22"/>
          <w:lang w:val="en-US"/>
        </w:rPr>
        <w:tab/>
        <w:t xml:space="preserve">Asscher ECA, van de Vathorst S. First prosecution of a Dutch doctor since the Euthanasia Act of 2002: what does the verdict mean? </w:t>
      </w:r>
      <w:r w:rsidRPr="00FC1BBC">
        <w:rPr>
          <w:rFonts w:ascii="Times New Roman" w:hAnsi="Times New Roman" w:cs="Times New Roman"/>
          <w:i/>
          <w:noProof/>
          <w:sz w:val="22"/>
          <w:szCs w:val="22"/>
        </w:rPr>
        <w:t>J Med Ethics. 2020;46(2):71-5.</w:t>
      </w:r>
    </w:p>
    <w:p w14:paraId="7636F6AF" w14:textId="0E79954D" w:rsidR="0016416F" w:rsidRPr="00FC1BBC" w:rsidRDefault="0016416F" w:rsidP="00FC1BBC">
      <w:pPr>
        <w:pStyle w:val="EndNoteBibliography"/>
        <w:spacing w:after="0"/>
        <w:rPr>
          <w:rFonts w:ascii="Times New Roman" w:hAnsi="Times New Roman" w:cs="Times New Roman"/>
          <w:i/>
          <w:noProof/>
          <w:sz w:val="22"/>
          <w:szCs w:val="22"/>
        </w:rPr>
      </w:pPr>
      <w:r w:rsidRPr="00FC1BBC">
        <w:rPr>
          <w:rFonts w:ascii="Times New Roman" w:hAnsi="Times New Roman" w:cs="Times New Roman"/>
          <w:i/>
          <w:noProof/>
          <w:sz w:val="22"/>
          <w:szCs w:val="22"/>
        </w:rPr>
        <w:t>13.</w:t>
      </w:r>
      <w:r w:rsidRPr="00FC1BBC">
        <w:rPr>
          <w:rFonts w:ascii="Times New Roman" w:hAnsi="Times New Roman" w:cs="Times New Roman"/>
          <w:i/>
          <w:noProof/>
          <w:sz w:val="22"/>
          <w:szCs w:val="22"/>
        </w:rPr>
        <w:tab/>
        <w:t xml:space="preserve">Rijksoverheid. Euthanasie en de wet: sterven met hulp van een arts [In Dutch]  [Available from: </w:t>
      </w:r>
      <w:hyperlink r:id="rId10" w:history="1">
        <w:r w:rsidRPr="00FC1BBC">
          <w:rPr>
            <w:rStyle w:val="Hyperlink"/>
            <w:rFonts w:ascii="Times New Roman" w:hAnsi="Times New Roman" w:cs="Times New Roman"/>
            <w:i/>
            <w:noProof/>
            <w:sz w:val="22"/>
            <w:szCs w:val="22"/>
          </w:rPr>
          <w:t>https://www.rijksoverheid.nl/onderwerpen/levenseinde-en-euthanasie/euthanasie</w:t>
        </w:r>
      </w:hyperlink>
      <w:r w:rsidRPr="00FC1BBC">
        <w:rPr>
          <w:rFonts w:ascii="Times New Roman" w:hAnsi="Times New Roman" w:cs="Times New Roman"/>
          <w:i/>
          <w:noProof/>
          <w:sz w:val="22"/>
          <w:szCs w:val="22"/>
        </w:rPr>
        <w:t>.</w:t>
      </w:r>
    </w:p>
    <w:p w14:paraId="370D7CD7" w14:textId="700C01F8"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14.</w:t>
      </w:r>
      <w:r w:rsidRPr="00FC1BBC">
        <w:rPr>
          <w:rFonts w:ascii="Times New Roman" w:hAnsi="Times New Roman" w:cs="Times New Roman"/>
          <w:i/>
          <w:noProof/>
          <w:sz w:val="22"/>
          <w:szCs w:val="22"/>
          <w:lang w:val="en-US"/>
        </w:rPr>
        <w:tab/>
        <w:t xml:space="preserve">Dutch Penal Code [in Dutch] </w:t>
      </w:r>
      <w:hyperlink r:id="rId11" w:history="1">
        <w:r w:rsidRPr="00FC1BBC">
          <w:rPr>
            <w:rStyle w:val="Hyperlink"/>
            <w:rFonts w:ascii="Times New Roman" w:hAnsi="Times New Roman" w:cs="Times New Roman"/>
            <w:i/>
            <w:noProof/>
            <w:sz w:val="22"/>
            <w:szCs w:val="22"/>
            <w:lang w:val="en-US"/>
          </w:rPr>
          <w:t>http://wetten.overheid.nl/BWBR0001854/geldigheidsdatum_27-08-2014/afdrukken</w:t>
        </w:r>
      </w:hyperlink>
      <w:r w:rsidRPr="00FC1BBC">
        <w:rPr>
          <w:rFonts w:ascii="Times New Roman" w:hAnsi="Times New Roman" w:cs="Times New Roman"/>
          <w:i/>
          <w:noProof/>
          <w:sz w:val="22"/>
          <w:szCs w:val="22"/>
          <w:lang w:val="en-US"/>
        </w:rPr>
        <w:t xml:space="preserve"> [accessed 14 June 2023].</w:t>
      </w:r>
    </w:p>
    <w:p w14:paraId="5C164BA5" w14:textId="1F4A5DEA" w:rsidR="0016416F" w:rsidRPr="00FC1BBC" w:rsidRDefault="0016416F" w:rsidP="00FC1BBC">
      <w:pPr>
        <w:pStyle w:val="EndNoteBibliography"/>
        <w:spacing w:after="0"/>
        <w:rPr>
          <w:rFonts w:ascii="Times New Roman" w:hAnsi="Times New Roman" w:cs="Times New Roman"/>
          <w:i/>
          <w:noProof/>
          <w:sz w:val="22"/>
          <w:szCs w:val="22"/>
          <w:lang w:val="en-US"/>
        </w:rPr>
      </w:pPr>
      <w:r w:rsidRPr="00FC1BBC">
        <w:rPr>
          <w:rFonts w:ascii="Times New Roman" w:hAnsi="Times New Roman" w:cs="Times New Roman"/>
          <w:i/>
          <w:noProof/>
          <w:sz w:val="22"/>
          <w:szCs w:val="22"/>
          <w:lang w:val="en-US"/>
        </w:rPr>
        <w:t>15.</w:t>
      </w:r>
      <w:r w:rsidRPr="00FC1BBC">
        <w:rPr>
          <w:rFonts w:ascii="Times New Roman" w:hAnsi="Times New Roman" w:cs="Times New Roman"/>
          <w:i/>
          <w:noProof/>
          <w:sz w:val="22"/>
          <w:szCs w:val="22"/>
          <w:lang w:val="en-US"/>
        </w:rPr>
        <w:tab/>
        <w:t>Convention on the Rights of Persons with Disabilities, 2006.</w:t>
      </w:r>
    </w:p>
    <w:p w14:paraId="62AF26FF" w14:textId="70D3BABB" w:rsidR="0016416F" w:rsidRPr="00FC1BBC" w:rsidRDefault="0016416F" w:rsidP="00FC1BBC">
      <w:pPr>
        <w:pStyle w:val="EndNoteBibliography"/>
        <w:spacing w:after="0"/>
        <w:rPr>
          <w:rFonts w:ascii="Times New Roman" w:hAnsi="Times New Roman" w:cs="Times New Roman"/>
          <w:i/>
          <w:noProof/>
          <w:sz w:val="22"/>
          <w:szCs w:val="22"/>
        </w:rPr>
      </w:pPr>
      <w:r w:rsidRPr="00FC1BBC">
        <w:rPr>
          <w:rFonts w:ascii="Times New Roman" w:hAnsi="Times New Roman" w:cs="Times New Roman"/>
          <w:i/>
          <w:noProof/>
          <w:sz w:val="22"/>
          <w:szCs w:val="22"/>
          <w:lang w:val="en-US"/>
        </w:rPr>
        <w:t>16.</w:t>
      </w:r>
      <w:r w:rsidRPr="00FC1BBC">
        <w:rPr>
          <w:rFonts w:ascii="Times New Roman" w:hAnsi="Times New Roman" w:cs="Times New Roman"/>
          <w:i/>
          <w:noProof/>
          <w:sz w:val="22"/>
          <w:szCs w:val="22"/>
          <w:lang w:val="en-US"/>
        </w:rPr>
        <w:tab/>
      </w:r>
      <w:r w:rsidR="00FC1BBC" w:rsidRPr="00FC1BBC">
        <w:rPr>
          <w:rFonts w:ascii="Times New Roman" w:hAnsi="Times New Roman" w:cs="Times New Roman"/>
          <w:i/>
          <w:noProof/>
          <w:sz w:val="22"/>
          <w:szCs w:val="22"/>
          <w:lang w:val="en-US"/>
        </w:rPr>
        <w:t xml:space="preserve">Royal Dutch Medical Association (RDMA). RDMA position: 'End of life decisions' [In Dutch]. </w:t>
      </w:r>
      <w:r w:rsidR="00FC1BBC" w:rsidRPr="00FC1BBC">
        <w:rPr>
          <w:rFonts w:ascii="Times New Roman" w:hAnsi="Times New Roman" w:cs="Times New Roman"/>
          <w:i/>
          <w:noProof/>
          <w:sz w:val="22"/>
          <w:szCs w:val="22"/>
        </w:rPr>
        <w:t>2021.</w:t>
      </w:r>
    </w:p>
    <w:p w14:paraId="37181706" w14:textId="38339004" w:rsidR="0016416F" w:rsidRPr="00FC1BBC" w:rsidRDefault="0016416F" w:rsidP="00FC1BBC">
      <w:pPr>
        <w:pStyle w:val="EndNoteBibliography"/>
        <w:spacing w:after="0"/>
        <w:rPr>
          <w:rFonts w:ascii="Times New Roman" w:hAnsi="Times New Roman" w:cs="Times New Roman"/>
          <w:i/>
          <w:noProof/>
          <w:sz w:val="22"/>
          <w:szCs w:val="22"/>
        </w:rPr>
      </w:pPr>
      <w:r w:rsidRPr="00FC1BBC">
        <w:rPr>
          <w:rFonts w:ascii="Times New Roman" w:hAnsi="Times New Roman" w:cs="Times New Roman"/>
          <w:i/>
          <w:noProof/>
          <w:sz w:val="22"/>
          <w:szCs w:val="22"/>
        </w:rPr>
        <w:t>17.</w:t>
      </w:r>
      <w:r w:rsidRPr="00FC1BBC">
        <w:rPr>
          <w:rFonts w:ascii="Times New Roman" w:hAnsi="Times New Roman" w:cs="Times New Roman"/>
          <w:i/>
          <w:noProof/>
          <w:sz w:val="22"/>
          <w:szCs w:val="22"/>
        </w:rPr>
        <w:tab/>
      </w:r>
      <w:r w:rsidR="00FC1BBC" w:rsidRPr="00FC1BBC">
        <w:rPr>
          <w:rFonts w:ascii="Times New Roman" w:hAnsi="Times New Roman" w:cs="Times New Roman"/>
          <w:i/>
          <w:noProof/>
          <w:sz w:val="22"/>
          <w:szCs w:val="22"/>
        </w:rPr>
        <w:t xml:space="preserve">Regional Euthanasia Review Committees (RERC). </w:t>
      </w:r>
      <w:r w:rsidRPr="00FC1BBC">
        <w:rPr>
          <w:rFonts w:ascii="Times New Roman" w:hAnsi="Times New Roman" w:cs="Times New Roman"/>
          <w:i/>
          <w:noProof/>
          <w:sz w:val="22"/>
          <w:szCs w:val="22"/>
        </w:rPr>
        <w:t>Euthanasi</w:t>
      </w:r>
      <w:r w:rsidR="00FC1BBC" w:rsidRPr="00FC1BBC">
        <w:rPr>
          <w:rFonts w:ascii="Times New Roman" w:hAnsi="Times New Roman" w:cs="Times New Roman"/>
          <w:i/>
          <w:noProof/>
          <w:sz w:val="22"/>
          <w:szCs w:val="22"/>
        </w:rPr>
        <w:t>a</w:t>
      </w:r>
      <w:r w:rsidRPr="00FC1BBC">
        <w:rPr>
          <w:rFonts w:ascii="Times New Roman" w:hAnsi="Times New Roman" w:cs="Times New Roman"/>
          <w:i/>
          <w:noProof/>
          <w:sz w:val="22"/>
          <w:szCs w:val="22"/>
        </w:rPr>
        <w:t>Code 2018 naar aanleiding van de arresten van de Hoge Raad d.d. 21 april 2020 inzake euthanasie bij patiënten met voortgeschreden dementie</w:t>
      </w:r>
      <w:r w:rsidR="00FC1BBC" w:rsidRPr="00FC1BBC">
        <w:rPr>
          <w:rFonts w:ascii="Times New Roman" w:hAnsi="Times New Roman" w:cs="Times New Roman"/>
          <w:i/>
          <w:noProof/>
          <w:sz w:val="22"/>
          <w:szCs w:val="22"/>
        </w:rPr>
        <w:t xml:space="preserve"> [in Dutch]</w:t>
      </w:r>
      <w:r w:rsidRPr="00FC1BBC">
        <w:rPr>
          <w:rFonts w:ascii="Times New Roman" w:hAnsi="Times New Roman" w:cs="Times New Roman"/>
          <w:i/>
          <w:noProof/>
          <w:sz w:val="22"/>
          <w:szCs w:val="22"/>
        </w:rPr>
        <w:t>. 2020.</w:t>
      </w:r>
    </w:p>
    <w:p w14:paraId="2E31F7D3" w14:textId="10AABC7B" w:rsidR="0016416F" w:rsidRPr="00FC1BBC" w:rsidRDefault="0016416F" w:rsidP="00FC1BBC">
      <w:pPr>
        <w:pStyle w:val="EndNoteBibliography"/>
        <w:rPr>
          <w:rFonts w:ascii="Times New Roman" w:hAnsi="Times New Roman" w:cs="Times New Roman"/>
          <w:i/>
          <w:noProof/>
          <w:sz w:val="22"/>
          <w:szCs w:val="22"/>
        </w:rPr>
      </w:pPr>
      <w:r w:rsidRPr="00FC1BBC">
        <w:rPr>
          <w:rFonts w:ascii="Times New Roman" w:hAnsi="Times New Roman" w:cs="Times New Roman"/>
          <w:i/>
          <w:noProof/>
          <w:sz w:val="22"/>
          <w:szCs w:val="22"/>
        </w:rPr>
        <w:t>18.</w:t>
      </w:r>
      <w:r w:rsidRPr="00FC1BBC">
        <w:rPr>
          <w:rFonts w:ascii="Times New Roman" w:hAnsi="Times New Roman" w:cs="Times New Roman"/>
          <w:i/>
          <w:noProof/>
          <w:sz w:val="22"/>
          <w:szCs w:val="22"/>
        </w:rPr>
        <w:tab/>
        <w:t>Cees Hertogh S</w:t>
      </w:r>
      <w:r w:rsidR="00FC1BBC" w:rsidRPr="00FC1BBC">
        <w:rPr>
          <w:rFonts w:ascii="Times New Roman" w:hAnsi="Times New Roman" w:cs="Times New Roman"/>
          <w:i/>
          <w:noProof/>
          <w:sz w:val="22"/>
          <w:szCs w:val="22"/>
        </w:rPr>
        <w:t xml:space="preserve">uzanne </w:t>
      </w:r>
      <w:r w:rsidRPr="00FC1BBC">
        <w:rPr>
          <w:rFonts w:ascii="Times New Roman" w:hAnsi="Times New Roman" w:cs="Times New Roman"/>
          <w:i/>
          <w:noProof/>
          <w:sz w:val="22"/>
          <w:szCs w:val="22"/>
        </w:rPr>
        <w:t>d</w:t>
      </w:r>
      <w:r w:rsidR="00FC1BBC" w:rsidRPr="00FC1BBC">
        <w:rPr>
          <w:rFonts w:ascii="Times New Roman" w:hAnsi="Times New Roman" w:cs="Times New Roman"/>
          <w:i/>
          <w:noProof/>
          <w:sz w:val="22"/>
          <w:szCs w:val="22"/>
        </w:rPr>
        <w:t xml:space="preserve">e </w:t>
      </w:r>
      <w:r w:rsidRPr="00FC1BBC">
        <w:rPr>
          <w:rFonts w:ascii="Times New Roman" w:hAnsi="Times New Roman" w:cs="Times New Roman"/>
          <w:i/>
          <w:noProof/>
          <w:sz w:val="22"/>
          <w:szCs w:val="22"/>
        </w:rPr>
        <w:t>K</w:t>
      </w:r>
      <w:r w:rsidR="00FC1BBC" w:rsidRPr="00FC1BBC">
        <w:rPr>
          <w:rFonts w:ascii="Times New Roman" w:hAnsi="Times New Roman" w:cs="Times New Roman"/>
          <w:i/>
          <w:noProof/>
          <w:sz w:val="22"/>
          <w:szCs w:val="22"/>
        </w:rPr>
        <w:t>ort</w:t>
      </w:r>
      <w:r w:rsidRPr="00FC1BBC">
        <w:rPr>
          <w:rFonts w:ascii="Times New Roman" w:hAnsi="Times New Roman" w:cs="Times New Roman"/>
          <w:i/>
          <w:noProof/>
          <w:sz w:val="22"/>
          <w:szCs w:val="22"/>
        </w:rPr>
        <w:t>, Robert Helle. Handreiking Beslisvaardigheid en wilsbekwaamheid. SKILZ (Stichting Kwaliteitsimpuls Landurige Zorg); 2024. p. 108.</w:t>
      </w:r>
    </w:p>
    <w:p w14:paraId="2F2F1195" w14:textId="3238200A" w:rsidR="00783A4C" w:rsidRPr="00DC486A" w:rsidRDefault="00B262F8" w:rsidP="00FC1BBC">
      <w:pPr>
        <w:pStyle w:val="NoSpacing"/>
        <w:jc w:val="both"/>
        <w:rPr>
          <w:rStyle w:val="Geen"/>
          <w:rFonts w:ascii="Times New Roman" w:hAnsi="Times New Roman" w:cs="Times New Roman"/>
          <w:b/>
          <w:bCs/>
          <w:i/>
          <w:sz w:val="24"/>
          <w:szCs w:val="24"/>
          <w:lang w:val="en-US"/>
        </w:rPr>
      </w:pPr>
      <w:r w:rsidRPr="00FC1BBC">
        <w:rPr>
          <w:rStyle w:val="Geen"/>
          <w:rFonts w:ascii="Times New Roman" w:hAnsi="Times New Roman" w:cs="Times New Roman"/>
          <w:b/>
          <w:bCs/>
          <w:i/>
          <w:sz w:val="22"/>
          <w:szCs w:val="22"/>
          <w:lang w:val="en-US"/>
        </w:rPr>
        <w:fldChar w:fldCharType="end"/>
      </w:r>
    </w:p>
    <w:sectPr w:rsidR="00783A4C" w:rsidRPr="00DC486A" w:rsidSect="002B51AE">
      <w:type w:val="continuous"/>
      <w:pgSz w:w="16840" w:h="11900" w:orient="landscape"/>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E2EC" w14:textId="77777777" w:rsidR="001E1207" w:rsidRDefault="001E1207">
      <w:pPr>
        <w:spacing w:before="0" w:line="240" w:lineRule="auto"/>
      </w:pPr>
      <w:r>
        <w:separator/>
      </w:r>
    </w:p>
  </w:endnote>
  <w:endnote w:type="continuationSeparator" w:id="0">
    <w:p w14:paraId="36438639" w14:textId="77777777" w:rsidR="001E1207" w:rsidRDefault="001E1207">
      <w:pPr>
        <w:spacing w:before="0" w:line="240" w:lineRule="auto"/>
      </w:pPr>
      <w:r>
        <w:continuationSeparator/>
      </w:r>
    </w:p>
  </w:endnote>
  <w:endnote w:type="continuationNotice" w:id="1">
    <w:p w14:paraId="097E46E7" w14:textId="77777777" w:rsidR="001E1207" w:rsidRDefault="001E120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altName w:val="Sylfae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rlito">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CF917" w14:textId="77777777" w:rsidR="001E1207" w:rsidRDefault="001E1207">
      <w:pPr>
        <w:spacing w:before="0" w:line="240" w:lineRule="auto"/>
      </w:pPr>
      <w:r>
        <w:separator/>
      </w:r>
    </w:p>
  </w:footnote>
  <w:footnote w:type="continuationSeparator" w:id="0">
    <w:p w14:paraId="055C6270" w14:textId="77777777" w:rsidR="001E1207" w:rsidRDefault="001E1207">
      <w:pPr>
        <w:spacing w:before="0" w:line="240" w:lineRule="auto"/>
      </w:pPr>
      <w:r>
        <w:continuationSeparator/>
      </w:r>
    </w:p>
  </w:footnote>
  <w:footnote w:type="continuationNotice" w:id="1">
    <w:p w14:paraId="5CA9BFB7" w14:textId="77777777" w:rsidR="001E1207" w:rsidRDefault="001E120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A0E70"/>
    <w:multiLevelType w:val="hybridMultilevel"/>
    <w:tmpl w:val="10DC15A4"/>
    <w:styleLink w:val="Gemporteerdestijl1"/>
    <w:lvl w:ilvl="0" w:tplc="83D8642E">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8E24A20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960383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5AA1AA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18C6DF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9C40A9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7902DA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5A07CA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A849AF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D616848"/>
    <w:multiLevelType w:val="hybridMultilevel"/>
    <w:tmpl w:val="B9408662"/>
    <w:lvl w:ilvl="0" w:tplc="F508DD7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B04B47"/>
    <w:multiLevelType w:val="hybridMultilevel"/>
    <w:tmpl w:val="F53CAC24"/>
    <w:lvl w:ilvl="0" w:tplc="445AC3CC">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B0879"/>
    <w:multiLevelType w:val="multilevel"/>
    <w:tmpl w:val="5D9E0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473992"/>
    <w:multiLevelType w:val="hybridMultilevel"/>
    <w:tmpl w:val="61AA29D4"/>
    <w:lvl w:ilvl="0" w:tplc="5F4A346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C01A41"/>
    <w:multiLevelType w:val="hybridMultilevel"/>
    <w:tmpl w:val="AFE805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EA14F5"/>
    <w:multiLevelType w:val="hybridMultilevel"/>
    <w:tmpl w:val="3F20386E"/>
    <w:lvl w:ilvl="0" w:tplc="294E15F2">
      <w:start w:val="1"/>
      <w:numFmt w:val="bullet"/>
      <w:lvlText w:val=""/>
      <w:lvlJc w:val="left"/>
      <w:pPr>
        <w:ind w:left="720" w:hanging="360"/>
      </w:pPr>
      <w:rPr>
        <w:rFonts w:ascii="Symbol" w:hAnsi="Symbol"/>
      </w:rPr>
    </w:lvl>
    <w:lvl w:ilvl="1" w:tplc="28F0E3E0">
      <w:start w:val="1"/>
      <w:numFmt w:val="bullet"/>
      <w:lvlText w:val=""/>
      <w:lvlJc w:val="left"/>
      <w:pPr>
        <w:ind w:left="720" w:hanging="360"/>
      </w:pPr>
      <w:rPr>
        <w:rFonts w:ascii="Symbol" w:hAnsi="Symbol"/>
      </w:rPr>
    </w:lvl>
    <w:lvl w:ilvl="2" w:tplc="922E977C">
      <w:start w:val="1"/>
      <w:numFmt w:val="bullet"/>
      <w:lvlText w:val=""/>
      <w:lvlJc w:val="left"/>
      <w:pPr>
        <w:ind w:left="720" w:hanging="360"/>
      </w:pPr>
      <w:rPr>
        <w:rFonts w:ascii="Symbol" w:hAnsi="Symbol"/>
      </w:rPr>
    </w:lvl>
    <w:lvl w:ilvl="3" w:tplc="DD5A7F1C">
      <w:start w:val="1"/>
      <w:numFmt w:val="bullet"/>
      <w:lvlText w:val=""/>
      <w:lvlJc w:val="left"/>
      <w:pPr>
        <w:ind w:left="720" w:hanging="360"/>
      </w:pPr>
      <w:rPr>
        <w:rFonts w:ascii="Symbol" w:hAnsi="Symbol"/>
      </w:rPr>
    </w:lvl>
    <w:lvl w:ilvl="4" w:tplc="D062FE30">
      <w:start w:val="1"/>
      <w:numFmt w:val="bullet"/>
      <w:lvlText w:val=""/>
      <w:lvlJc w:val="left"/>
      <w:pPr>
        <w:ind w:left="720" w:hanging="360"/>
      </w:pPr>
      <w:rPr>
        <w:rFonts w:ascii="Symbol" w:hAnsi="Symbol"/>
      </w:rPr>
    </w:lvl>
    <w:lvl w:ilvl="5" w:tplc="04D6FFCC">
      <w:start w:val="1"/>
      <w:numFmt w:val="bullet"/>
      <w:lvlText w:val=""/>
      <w:lvlJc w:val="left"/>
      <w:pPr>
        <w:ind w:left="720" w:hanging="360"/>
      </w:pPr>
      <w:rPr>
        <w:rFonts w:ascii="Symbol" w:hAnsi="Symbol"/>
      </w:rPr>
    </w:lvl>
    <w:lvl w:ilvl="6" w:tplc="CFEAF7EE">
      <w:start w:val="1"/>
      <w:numFmt w:val="bullet"/>
      <w:lvlText w:val=""/>
      <w:lvlJc w:val="left"/>
      <w:pPr>
        <w:ind w:left="720" w:hanging="360"/>
      </w:pPr>
      <w:rPr>
        <w:rFonts w:ascii="Symbol" w:hAnsi="Symbol"/>
      </w:rPr>
    </w:lvl>
    <w:lvl w:ilvl="7" w:tplc="0858621A">
      <w:start w:val="1"/>
      <w:numFmt w:val="bullet"/>
      <w:lvlText w:val=""/>
      <w:lvlJc w:val="left"/>
      <w:pPr>
        <w:ind w:left="720" w:hanging="360"/>
      </w:pPr>
      <w:rPr>
        <w:rFonts w:ascii="Symbol" w:hAnsi="Symbol"/>
      </w:rPr>
    </w:lvl>
    <w:lvl w:ilvl="8" w:tplc="179E87BC">
      <w:start w:val="1"/>
      <w:numFmt w:val="bullet"/>
      <w:lvlText w:val=""/>
      <w:lvlJc w:val="left"/>
      <w:pPr>
        <w:ind w:left="720" w:hanging="360"/>
      </w:pPr>
      <w:rPr>
        <w:rFonts w:ascii="Symbol" w:hAnsi="Symbol"/>
      </w:rPr>
    </w:lvl>
  </w:abstractNum>
  <w:abstractNum w:abstractNumId="7" w15:restartNumberingAfterBreak="0">
    <w:nsid w:val="31A837B1"/>
    <w:multiLevelType w:val="hybridMultilevel"/>
    <w:tmpl w:val="94F88858"/>
    <w:lvl w:ilvl="0" w:tplc="EB56D34C">
      <w:numFmt w:val="bullet"/>
      <w:lvlText w:val=""/>
      <w:lvlJc w:val="left"/>
      <w:pPr>
        <w:ind w:left="720" w:hanging="360"/>
      </w:pPr>
      <w:rPr>
        <w:rFonts w:ascii="Wingdings" w:eastAsia="Calibr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346E9B"/>
    <w:multiLevelType w:val="hybridMultilevel"/>
    <w:tmpl w:val="EEEC98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8D49CE"/>
    <w:multiLevelType w:val="multilevel"/>
    <w:tmpl w:val="72C8C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BC5893"/>
    <w:multiLevelType w:val="hybridMultilevel"/>
    <w:tmpl w:val="801AEACC"/>
    <w:lvl w:ilvl="0" w:tplc="16F0493C">
      <w:start w:val="1"/>
      <w:numFmt w:val="bullet"/>
      <w:lvlText w:val=""/>
      <w:lvlJc w:val="left"/>
      <w:pPr>
        <w:ind w:left="720" w:hanging="360"/>
      </w:pPr>
      <w:rPr>
        <w:rFonts w:ascii="Symbol" w:hAnsi="Symbol"/>
      </w:rPr>
    </w:lvl>
    <w:lvl w:ilvl="1" w:tplc="E438D9B4">
      <w:start w:val="1"/>
      <w:numFmt w:val="bullet"/>
      <w:lvlText w:val=""/>
      <w:lvlJc w:val="left"/>
      <w:pPr>
        <w:ind w:left="720" w:hanging="360"/>
      </w:pPr>
      <w:rPr>
        <w:rFonts w:ascii="Symbol" w:hAnsi="Symbol"/>
      </w:rPr>
    </w:lvl>
    <w:lvl w:ilvl="2" w:tplc="8572D7C6">
      <w:start w:val="1"/>
      <w:numFmt w:val="bullet"/>
      <w:lvlText w:val=""/>
      <w:lvlJc w:val="left"/>
      <w:pPr>
        <w:ind w:left="720" w:hanging="360"/>
      </w:pPr>
      <w:rPr>
        <w:rFonts w:ascii="Symbol" w:hAnsi="Symbol"/>
      </w:rPr>
    </w:lvl>
    <w:lvl w:ilvl="3" w:tplc="8362D626">
      <w:start w:val="1"/>
      <w:numFmt w:val="bullet"/>
      <w:lvlText w:val=""/>
      <w:lvlJc w:val="left"/>
      <w:pPr>
        <w:ind w:left="720" w:hanging="360"/>
      </w:pPr>
      <w:rPr>
        <w:rFonts w:ascii="Symbol" w:hAnsi="Symbol"/>
      </w:rPr>
    </w:lvl>
    <w:lvl w:ilvl="4" w:tplc="1B9A6932">
      <w:start w:val="1"/>
      <w:numFmt w:val="bullet"/>
      <w:lvlText w:val=""/>
      <w:lvlJc w:val="left"/>
      <w:pPr>
        <w:ind w:left="720" w:hanging="360"/>
      </w:pPr>
      <w:rPr>
        <w:rFonts w:ascii="Symbol" w:hAnsi="Symbol"/>
      </w:rPr>
    </w:lvl>
    <w:lvl w:ilvl="5" w:tplc="3E38621A">
      <w:start w:val="1"/>
      <w:numFmt w:val="bullet"/>
      <w:lvlText w:val=""/>
      <w:lvlJc w:val="left"/>
      <w:pPr>
        <w:ind w:left="720" w:hanging="360"/>
      </w:pPr>
      <w:rPr>
        <w:rFonts w:ascii="Symbol" w:hAnsi="Symbol"/>
      </w:rPr>
    </w:lvl>
    <w:lvl w:ilvl="6" w:tplc="FE5E289C">
      <w:start w:val="1"/>
      <w:numFmt w:val="bullet"/>
      <w:lvlText w:val=""/>
      <w:lvlJc w:val="left"/>
      <w:pPr>
        <w:ind w:left="720" w:hanging="360"/>
      </w:pPr>
      <w:rPr>
        <w:rFonts w:ascii="Symbol" w:hAnsi="Symbol"/>
      </w:rPr>
    </w:lvl>
    <w:lvl w:ilvl="7" w:tplc="736455C6">
      <w:start w:val="1"/>
      <w:numFmt w:val="bullet"/>
      <w:lvlText w:val=""/>
      <w:lvlJc w:val="left"/>
      <w:pPr>
        <w:ind w:left="720" w:hanging="360"/>
      </w:pPr>
      <w:rPr>
        <w:rFonts w:ascii="Symbol" w:hAnsi="Symbol"/>
      </w:rPr>
    </w:lvl>
    <w:lvl w:ilvl="8" w:tplc="FEE2B0A4">
      <w:start w:val="1"/>
      <w:numFmt w:val="bullet"/>
      <w:lvlText w:val=""/>
      <w:lvlJc w:val="left"/>
      <w:pPr>
        <w:ind w:left="720" w:hanging="360"/>
      </w:pPr>
      <w:rPr>
        <w:rFonts w:ascii="Symbol" w:hAnsi="Symbol"/>
      </w:rPr>
    </w:lvl>
  </w:abstractNum>
  <w:abstractNum w:abstractNumId="11" w15:restartNumberingAfterBreak="0">
    <w:nsid w:val="57AC2037"/>
    <w:multiLevelType w:val="hybridMultilevel"/>
    <w:tmpl w:val="51A0D5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AD73EC4"/>
    <w:multiLevelType w:val="hybridMultilevel"/>
    <w:tmpl w:val="7EA04148"/>
    <w:lvl w:ilvl="0" w:tplc="DAC65C5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9052AB"/>
    <w:multiLevelType w:val="multilevel"/>
    <w:tmpl w:val="66E2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BC1ECC"/>
    <w:multiLevelType w:val="hybridMultilevel"/>
    <w:tmpl w:val="C1ECF0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ABC62AB"/>
    <w:multiLevelType w:val="hybridMultilevel"/>
    <w:tmpl w:val="29B8EBD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0777BE"/>
    <w:multiLevelType w:val="hybridMultilevel"/>
    <w:tmpl w:val="10DC15A4"/>
    <w:numStyleLink w:val="Gemporteerdestijl1"/>
  </w:abstractNum>
  <w:num w:numId="1" w16cid:durableId="1080981243">
    <w:abstractNumId w:val="0"/>
  </w:num>
  <w:num w:numId="2" w16cid:durableId="893080517">
    <w:abstractNumId w:val="16"/>
  </w:num>
  <w:num w:numId="3" w16cid:durableId="1788037620">
    <w:abstractNumId w:val="12"/>
  </w:num>
  <w:num w:numId="4" w16cid:durableId="1951472130">
    <w:abstractNumId w:val="2"/>
  </w:num>
  <w:num w:numId="5" w16cid:durableId="1737507174">
    <w:abstractNumId w:val="7"/>
  </w:num>
  <w:num w:numId="6" w16cid:durableId="228272434">
    <w:abstractNumId w:val="1"/>
  </w:num>
  <w:num w:numId="7" w16cid:durableId="1185941890">
    <w:abstractNumId w:val="11"/>
  </w:num>
  <w:num w:numId="8" w16cid:durableId="894049593">
    <w:abstractNumId w:val="4"/>
  </w:num>
  <w:num w:numId="9" w16cid:durableId="968635212">
    <w:abstractNumId w:val="15"/>
  </w:num>
  <w:num w:numId="10" w16cid:durableId="1338967936">
    <w:abstractNumId w:val="8"/>
  </w:num>
  <w:num w:numId="11" w16cid:durableId="2121486218">
    <w:abstractNumId w:val="9"/>
  </w:num>
  <w:num w:numId="12" w16cid:durableId="2082755384">
    <w:abstractNumId w:val="13"/>
  </w:num>
  <w:num w:numId="13" w16cid:durableId="870413741">
    <w:abstractNumId w:val="5"/>
  </w:num>
  <w:num w:numId="14" w16cid:durableId="176236579">
    <w:abstractNumId w:val="6"/>
  </w:num>
  <w:num w:numId="15" w16cid:durableId="678966769">
    <w:abstractNumId w:val="10"/>
  </w:num>
  <w:num w:numId="16" w16cid:durableId="1540776271">
    <w:abstractNumId w:val="14"/>
  </w:num>
  <w:num w:numId="17" w16cid:durableId="1932736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Helvetica Neue&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e2dtv0hafz0oeaf28vtwr1dsps0rzsp2rz&quot;&gt;EndNote DALT project&lt;record-ids&gt;&lt;item&gt;18&lt;/item&gt;&lt;item&gt;19&lt;/item&gt;&lt;item&gt;20&lt;/item&gt;&lt;item&gt;54&lt;/item&gt;&lt;item&gt;63&lt;/item&gt;&lt;item&gt;84&lt;/item&gt;&lt;item&gt;90&lt;/item&gt;&lt;item&gt;136&lt;/item&gt;&lt;item&gt;152&lt;/item&gt;&lt;item&gt;153&lt;/item&gt;&lt;item&gt;154&lt;/item&gt;&lt;/record-ids&gt;&lt;/item&gt;&lt;/Libraries&gt;"/>
  </w:docVars>
  <w:rsids>
    <w:rsidRoot w:val="000E1F50"/>
    <w:rsid w:val="00000606"/>
    <w:rsid w:val="00001925"/>
    <w:rsid w:val="0000317D"/>
    <w:rsid w:val="00003C12"/>
    <w:rsid w:val="000062D1"/>
    <w:rsid w:val="00006C36"/>
    <w:rsid w:val="000073EC"/>
    <w:rsid w:val="000077E2"/>
    <w:rsid w:val="0001029C"/>
    <w:rsid w:val="000107F3"/>
    <w:rsid w:val="0001485F"/>
    <w:rsid w:val="000148D6"/>
    <w:rsid w:val="000148EA"/>
    <w:rsid w:val="00015C68"/>
    <w:rsid w:val="00015DBC"/>
    <w:rsid w:val="000160E2"/>
    <w:rsid w:val="00016176"/>
    <w:rsid w:val="0002023D"/>
    <w:rsid w:val="000202B8"/>
    <w:rsid w:val="00022209"/>
    <w:rsid w:val="00022445"/>
    <w:rsid w:val="00025063"/>
    <w:rsid w:val="00031162"/>
    <w:rsid w:val="000327FA"/>
    <w:rsid w:val="00032FEB"/>
    <w:rsid w:val="00035E8B"/>
    <w:rsid w:val="00036ABA"/>
    <w:rsid w:val="00036C28"/>
    <w:rsid w:val="00036FAD"/>
    <w:rsid w:val="00042BC1"/>
    <w:rsid w:val="000434FD"/>
    <w:rsid w:val="000439B0"/>
    <w:rsid w:val="00043F9A"/>
    <w:rsid w:val="00044D6F"/>
    <w:rsid w:val="00045285"/>
    <w:rsid w:val="00046BB5"/>
    <w:rsid w:val="000470C4"/>
    <w:rsid w:val="00047902"/>
    <w:rsid w:val="0005092E"/>
    <w:rsid w:val="00052246"/>
    <w:rsid w:val="0005499B"/>
    <w:rsid w:val="000579F4"/>
    <w:rsid w:val="00057F4F"/>
    <w:rsid w:val="0006057E"/>
    <w:rsid w:val="0006138D"/>
    <w:rsid w:val="00061727"/>
    <w:rsid w:val="00061BA8"/>
    <w:rsid w:val="00061CD1"/>
    <w:rsid w:val="000625B0"/>
    <w:rsid w:val="00062F0F"/>
    <w:rsid w:val="00063409"/>
    <w:rsid w:val="00063519"/>
    <w:rsid w:val="00064DE3"/>
    <w:rsid w:val="00064FB8"/>
    <w:rsid w:val="00065790"/>
    <w:rsid w:val="00066514"/>
    <w:rsid w:val="00067F6A"/>
    <w:rsid w:val="00067FCD"/>
    <w:rsid w:val="00070746"/>
    <w:rsid w:val="00070781"/>
    <w:rsid w:val="00071E23"/>
    <w:rsid w:val="0007239D"/>
    <w:rsid w:val="00072AA6"/>
    <w:rsid w:val="000760FB"/>
    <w:rsid w:val="00076F18"/>
    <w:rsid w:val="00077C49"/>
    <w:rsid w:val="000801CF"/>
    <w:rsid w:val="000813EE"/>
    <w:rsid w:val="000823B1"/>
    <w:rsid w:val="00084576"/>
    <w:rsid w:val="00085EBE"/>
    <w:rsid w:val="00086E7A"/>
    <w:rsid w:val="000900D2"/>
    <w:rsid w:val="0009075B"/>
    <w:rsid w:val="00090C4A"/>
    <w:rsid w:val="00090DF3"/>
    <w:rsid w:val="000912B9"/>
    <w:rsid w:val="00092265"/>
    <w:rsid w:val="00092984"/>
    <w:rsid w:val="00093C48"/>
    <w:rsid w:val="00093F4D"/>
    <w:rsid w:val="0009629D"/>
    <w:rsid w:val="0009649A"/>
    <w:rsid w:val="00096D25"/>
    <w:rsid w:val="000A0382"/>
    <w:rsid w:val="000A082F"/>
    <w:rsid w:val="000A2546"/>
    <w:rsid w:val="000A3B35"/>
    <w:rsid w:val="000A404A"/>
    <w:rsid w:val="000A41A2"/>
    <w:rsid w:val="000A452B"/>
    <w:rsid w:val="000A5B16"/>
    <w:rsid w:val="000A6095"/>
    <w:rsid w:val="000A6319"/>
    <w:rsid w:val="000A66B7"/>
    <w:rsid w:val="000B127C"/>
    <w:rsid w:val="000B39EA"/>
    <w:rsid w:val="000B3D78"/>
    <w:rsid w:val="000B449C"/>
    <w:rsid w:val="000B5910"/>
    <w:rsid w:val="000C012D"/>
    <w:rsid w:val="000C1122"/>
    <w:rsid w:val="000C209F"/>
    <w:rsid w:val="000C26B1"/>
    <w:rsid w:val="000C489B"/>
    <w:rsid w:val="000C4A9E"/>
    <w:rsid w:val="000C530D"/>
    <w:rsid w:val="000C5A2D"/>
    <w:rsid w:val="000C5AD7"/>
    <w:rsid w:val="000C6BB6"/>
    <w:rsid w:val="000D0FDB"/>
    <w:rsid w:val="000D1757"/>
    <w:rsid w:val="000D21F5"/>
    <w:rsid w:val="000D36CE"/>
    <w:rsid w:val="000D4459"/>
    <w:rsid w:val="000D718E"/>
    <w:rsid w:val="000D7933"/>
    <w:rsid w:val="000D7F43"/>
    <w:rsid w:val="000D7FF1"/>
    <w:rsid w:val="000E0713"/>
    <w:rsid w:val="000E16A0"/>
    <w:rsid w:val="000E1D27"/>
    <w:rsid w:val="000E1F50"/>
    <w:rsid w:val="000E319D"/>
    <w:rsid w:val="000E3642"/>
    <w:rsid w:val="000E4024"/>
    <w:rsid w:val="000E4F9C"/>
    <w:rsid w:val="000E61EC"/>
    <w:rsid w:val="000E7140"/>
    <w:rsid w:val="000F0CBE"/>
    <w:rsid w:val="000F1B66"/>
    <w:rsid w:val="000F1CFE"/>
    <w:rsid w:val="000F291E"/>
    <w:rsid w:val="000F3546"/>
    <w:rsid w:val="000F3845"/>
    <w:rsid w:val="000F68E3"/>
    <w:rsid w:val="000F7989"/>
    <w:rsid w:val="00100697"/>
    <w:rsid w:val="00102177"/>
    <w:rsid w:val="00102B95"/>
    <w:rsid w:val="001050BC"/>
    <w:rsid w:val="0010670F"/>
    <w:rsid w:val="00106ECC"/>
    <w:rsid w:val="00106ED2"/>
    <w:rsid w:val="0010705B"/>
    <w:rsid w:val="00110040"/>
    <w:rsid w:val="00110C03"/>
    <w:rsid w:val="0011108D"/>
    <w:rsid w:val="0011134B"/>
    <w:rsid w:val="00112537"/>
    <w:rsid w:val="00113AF9"/>
    <w:rsid w:val="00114628"/>
    <w:rsid w:val="00114AEF"/>
    <w:rsid w:val="00117B66"/>
    <w:rsid w:val="00120835"/>
    <w:rsid w:val="001210D1"/>
    <w:rsid w:val="001220A3"/>
    <w:rsid w:val="00125A00"/>
    <w:rsid w:val="00125EB2"/>
    <w:rsid w:val="00130BFE"/>
    <w:rsid w:val="0013284D"/>
    <w:rsid w:val="00132DFF"/>
    <w:rsid w:val="0013362C"/>
    <w:rsid w:val="001360F6"/>
    <w:rsid w:val="001362E8"/>
    <w:rsid w:val="001366E4"/>
    <w:rsid w:val="001368C1"/>
    <w:rsid w:val="00136BD6"/>
    <w:rsid w:val="00137547"/>
    <w:rsid w:val="001404AB"/>
    <w:rsid w:val="00141705"/>
    <w:rsid w:val="001422F3"/>
    <w:rsid w:val="001435DE"/>
    <w:rsid w:val="0014442A"/>
    <w:rsid w:val="00145356"/>
    <w:rsid w:val="00145AFC"/>
    <w:rsid w:val="001463E8"/>
    <w:rsid w:val="00147CEA"/>
    <w:rsid w:val="001507D5"/>
    <w:rsid w:val="001522F4"/>
    <w:rsid w:val="001536BC"/>
    <w:rsid w:val="00153F1A"/>
    <w:rsid w:val="0015408D"/>
    <w:rsid w:val="00155293"/>
    <w:rsid w:val="001553F1"/>
    <w:rsid w:val="00155985"/>
    <w:rsid w:val="00156B38"/>
    <w:rsid w:val="001626B6"/>
    <w:rsid w:val="00163424"/>
    <w:rsid w:val="00163BF8"/>
    <w:rsid w:val="0016416F"/>
    <w:rsid w:val="00164FA0"/>
    <w:rsid w:val="00167260"/>
    <w:rsid w:val="001674FE"/>
    <w:rsid w:val="00170137"/>
    <w:rsid w:val="0017393B"/>
    <w:rsid w:val="00173BB3"/>
    <w:rsid w:val="0017539B"/>
    <w:rsid w:val="001753C8"/>
    <w:rsid w:val="001806C7"/>
    <w:rsid w:val="00180B79"/>
    <w:rsid w:val="00182CEC"/>
    <w:rsid w:val="00183AA4"/>
    <w:rsid w:val="001843FD"/>
    <w:rsid w:val="00184E91"/>
    <w:rsid w:val="00184EB7"/>
    <w:rsid w:val="0018583F"/>
    <w:rsid w:val="00185C62"/>
    <w:rsid w:val="00186B24"/>
    <w:rsid w:val="00190DF8"/>
    <w:rsid w:val="00191807"/>
    <w:rsid w:val="0019490B"/>
    <w:rsid w:val="00194A09"/>
    <w:rsid w:val="0019677F"/>
    <w:rsid w:val="00197DC0"/>
    <w:rsid w:val="001A20F1"/>
    <w:rsid w:val="001A3F92"/>
    <w:rsid w:val="001A5929"/>
    <w:rsid w:val="001A7527"/>
    <w:rsid w:val="001A754E"/>
    <w:rsid w:val="001B0021"/>
    <w:rsid w:val="001B1D4A"/>
    <w:rsid w:val="001B4321"/>
    <w:rsid w:val="001B4A30"/>
    <w:rsid w:val="001C0946"/>
    <w:rsid w:val="001C351F"/>
    <w:rsid w:val="001C4CEE"/>
    <w:rsid w:val="001C5DAF"/>
    <w:rsid w:val="001D2CAC"/>
    <w:rsid w:val="001D411C"/>
    <w:rsid w:val="001D7DC5"/>
    <w:rsid w:val="001E008A"/>
    <w:rsid w:val="001E1207"/>
    <w:rsid w:val="001E16FD"/>
    <w:rsid w:val="001E2CBB"/>
    <w:rsid w:val="001E4014"/>
    <w:rsid w:val="001E45D6"/>
    <w:rsid w:val="001E6582"/>
    <w:rsid w:val="001E75A4"/>
    <w:rsid w:val="001E7A57"/>
    <w:rsid w:val="001F1C94"/>
    <w:rsid w:val="001F2A09"/>
    <w:rsid w:val="001F487B"/>
    <w:rsid w:val="001F4A9E"/>
    <w:rsid w:val="001F6A01"/>
    <w:rsid w:val="002037B3"/>
    <w:rsid w:val="00205258"/>
    <w:rsid w:val="00205CCD"/>
    <w:rsid w:val="0021137E"/>
    <w:rsid w:val="00211456"/>
    <w:rsid w:val="002125D8"/>
    <w:rsid w:val="00212F54"/>
    <w:rsid w:val="0022034F"/>
    <w:rsid w:val="00221165"/>
    <w:rsid w:val="002218D4"/>
    <w:rsid w:val="00222F46"/>
    <w:rsid w:val="00223267"/>
    <w:rsid w:val="002242C7"/>
    <w:rsid w:val="002260D9"/>
    <w:rsid w:val="00226C0E"/>
    <w:rsid w:val="00230D0B"/>
    <w:rsid w:val="0023163D"/>
    <w:rsid w:val="002337F2"/>
    <w:rsid w:val="002349E4"/>
    <w:rsid w:val="00234C95"/>
    <w:rsid w:val="002353B4"/>
    <w:rsid w:val="0023578F"/>
    <w:rsid w:val="00235C76"/>
    <w:rsid w:val="002360F2"/>
    <w:rsid w:val="00236753"/>
    <w:rsid w:val="0023684F"/>
    <w:rsid w:val="00236909"/>
    <w:rsid w:val="002413AD"/>
    <w:rsid w:val="00244670"/>
    <w:rsid w:val="00245C96"/>
    <w:rsid w:val="00250181"/>
    <w:rsid w:val="00251BD5"/>
    <w:rsid w:val="00253A51"/>
    <w:rsid w:val="00255B0D"/>
    <w:rsid w:val="00256F1D"/>
    <w:rsid w:val="00257FA6"/>
    <w:rsid w:val="00260423"/>
    <w:rsid w:val="002638A4"/>
    <w:rsid w:val="00264734"/>
    <w:rsid w:val="00266A09"/>
    <w:rsid w:val="002713B5"/>
    <w:rsid w:val="002759E0"/>
    <w:rsid w:val="00276276"/>
    <w:rsid w:val="00282AD3"/>
    <w:rsid w:val="00285449"/>
    <w:rsid w:val="00287828"/>
    <w:rsid w:val="00287BB0"/>
    <w:rsid w:val="002902D8"/>
    <w:rsid w:val="00290551"/>
    <w:rsid w:val="00292813"/>
    <w:rsid w:val="00293830"/>
    <w:rsid w:val="00295B8B"/>
    <w:rsid w:val="002961A6"/>
    <w:rsid w:val="00296250"/>
    <w:rsid w:val="00297095"/>
    <w:rsid w:val="002A249E"/>
    <w:rsid w:val="002A250E"/>
    <w:rsid w:val="002A2E1C"/>
    <w:rsid w:val="002A3101"/>
    <w:rsid w:val="002A49A2"/>
    <w:rsid w:val="002A5035"/>
    <w:rsid w:val="002A57FD"/>
    <w:rsid w:val="002A7797"/>
    <w:rsid w:val="002B1105"/>
    <w:rsid w:val="002B11A2"/>
    <w:rsid w:val="002B1F04"/>
    <w:rsid w:val="002B51AE"/>
    <w:rsid w:val="002B5E7D"/>
    <w:rsid w:val="002B6C71"/>
    <w:rsid w:val="002C085A"/>
    <w:rsid w:val="002C21EA"/>
    <w:rsid w:val="002C303F"/>
    <w:rsid w:val="002C3DA6"/>
    <w:rsid w:val="002C40F9"/>
    <w:rsid w:val="002C6ECD"/>
    <w:rsid w:val="002D0036"/>
    <w:rsid w:val="002D018F"/>
    <w:rsid w:val="002D039F"/>
    <w:rsid w:val="002D68BF"/>
    <w:rsid w:val="002D7064"/>
    <w:rsid w:val="002D7402"/>
    <w:rsid w:val="002D7FD5"/>
    <w:rsid w:val="002E0D22"/>
    <w:rsid w:val="002E11EC"/>
    <w:rsid w:val="002E17BF"/>
    <w:rsid w:val="002E1805"/>
    <w:rsid w:val="002E25D1"/>
    <w:rsid w:val="002E630F"/>
    <w:rsid w:val="002E6EC5"/>
    <w:rsid w:val="002E7465"/>
    <w:rsid w:val="002E7493"/>
    <w:rsid w:val="002F05DE"/>
    <w:rsid w:val="002F1FD0"/>
    <w:rsid w:val="002F2F7C"/>
    <w:rsid w:val="002F3075"/>
    <w:rsid w:val="002F350B"/>
    <w:rsid w:val="002F3C16"/>
    <w:rsid w:val="002F4F4A"/>
    <w:rsid w:val="002F610B"/>
    <w:rsid w:val="00300C31"/>
    <w:rsid w:val="00300E7E"/>
    <w:rsid w:val="00301651"/>
    <w:rsid w:val="00301AFC"/>
    <w:rsid w:val="00302BD8"/>
    <w:rsid w:val="003032CB"/>
    <w:rsid w:val="003041D1"/>
    <w:rsid w:val="00305C52"/>
    <w:rsid w:val="003060B1"/>
    <w:rsid w:val="00306333"/>
    <w:rsid w:val="00306486"/>
    <w:rsid w:val="00307541"/>
    <w:rsid w:val="00311205"/>
    <w:rsid w:val="0031303F"/>
    <w:rsid w:val="0031375D"/>
    <w:rsid w:val="00313EA7"/>
    <w:rsid w:val="003169AF"/>
    <w:rsid w:val="00320095"/>
    <w:rsid w:val="003220A0"/>
    <w:rsid w:val="0032276D"/>
    <w:rsid w:val="00323A58"/>
    <w:rsid w:val="00325F7D"/>
    <w:rsid w:val="0032616C"/>
    <w:rsid w:val="003261AA"/>
    <w:rsid w:val="003271F4"/>
    <w:rsid w:val="00327AAD"/>
    <w:rsid w:val="00327DDD"/>
    <w:rsid w:val="00327E16"/>
    <w:rsid w:val="00330298"/>
    <w:rsid w:val="003316F1"/>
    <w:rsid w:val="003326F0"/>
    <w:rsid w:val="00332BA9"/>
    <w:rsid w:val="00334392"/>
    <w:rsid w:val="00336BEF"/>
    <w:rsid w:val="003374D9"/>
    <w:rsid w:val="00340F7C"/>
    <w:rsid w:val="00341D95"/>
    <w:rsid w:val="00344312"/>
    <w:rsid w:val="0034479D"/>
    <w:rsid w:val="00346288"/>
    <w:rsid w:val="00346B2B"/>
    <w:rsid w:val="00346E83"/>
    <w:rsid w:val="00350DFA"/>
    <w:rsid w:val="0035107C"/>
    <w:rsid w:val="00351BF4"/>
    <w:rsid w:val="003520FE"/>
    <w:rsid w:val="00352904"/>
    <w:rsid w:val="00352A12"/>
    <w:rsid w:val="003531A0"/>
    <w:rsid w:val="0035337B"/>
    <w:rsid w:val="003554BA"/>
    <w:rsid w:val="00355D3D"/>
    <w:rsid w:val="00356864"/>
    <w:rsid w:val="003574CF"/>
    <w:rsid w:val="00357822"/>
    <w:rsid w:val="00357A65"/>
    <w:rsid w:val="003606F1"/>
    <w:rsid w:val="00360D62"/>
    <w:rsid w:val="00362AD5"/>
    <w:rsid w:val="003640F6"/>
    <w:rsid w:val="00367CCE"/>
    <w:rsid w:val="003705D9"/>
    <w:rsid w:val="00371529"/>
    <w:rsid w:val="00371589"/>
    <w:rsid w:val="00371730"/>
    <w:rsid w:val="00371A94"/>
    <w:rsid w:val="003732DB"/>
    <w:rsid w:val="00373D09"/>
    <w:rsid w:val="00375524"/>
    <w:rsid w:val="00376B27"/>
    <w:rsid w:val="00376C00"/>
    <w:rsid w:val="00381C12"/>
    <w:rsid w:val="0038251A"/>
    <w:rsid w:val="003845FD"/>
    <w:rsid w:val="00385088"/>
    <w:rsid w:val="003871C2"/>
    <w:rsid w:val="00387A7C"/>
    <w:rsid w:val="00390A40"/>
    <w:rsid w:val="00390BB0"/>
    <w:rsid w:val="00390C61"/>
    <w:rsid w:val="003922E1"/>
    <w:rsid w:val="00392BAC"/>
    <w:rsid w:val="00392F9A"/>
    <w:rsid w:val="0039403E"/>
    <w:rsid w:val="003951F3"/>
    <w:rsid w:val="0039665A"/>
    <w:rsid w:val="003975DA"/>
    <w:rsid w:val="00397A80"/>
    <w:rsid w:val="003A0D6C"/>
    <w:rsid w:val="003A1C28"/>
    <w:rsid w:val="003A3954"/>
    <w:rsid w:val="003A5ED2"/>
    <w:rsid w:val="003A6D3F"/>
    <w:rsid w:val="003A757D"/>
    <w:rsid w:val="003B1C9D"/>
    <w:rsid w:val="003B31FE"/>
    <w:rsid w:val="003B6F0A"/>
    <w:rsid w:val="003C1882"/>
    <w:rsid w:val="003C18FA"/>
    <w:rsid w:val="003C2BE7"/>
    <w:rsid w:val="003C4D31"/>
    <w:rsid w:val="003C6C24"/>
    <w:rsid w:val="003D2238"/>
    <w:rsid w:val="003D2C5B"/>
    <w:rsid w:val="003D3100"/>
    <w:rsid w:val="003D3811"/>
    <w:rsid w:val="003D3935"/>
    <w:rsid w:val="003D4A58"/>
    <w:rsid w:val="003E269E"/>
    <w:rsid w:val="003E370F"/>
    <w:rsid w:val="003E4274"/>
    <w:rsid w:val="003E4CC9"/>
    <w:rsid w:val="003E502C"/>
    <w:rsid w:val="003E6770"/>
    <w:rsid w:val="003E7845"/>
    <w:rsid w:val="003F1D00"/>
    <w:rsid w:val="003F224B"/>
    <w:rsid w:val="003F2CE4"/>
    <w:rsid w:val="003F3F84"/>
    <w:rsid w:val="003F5F01"/>
    <w:rsid w:val="003F63DF"/>
    <w:rsid w:val="003F6BBB"/>
    <w:rsid w:val="00400571"/>
    <w:rsid w:val="004010F7"/>
    <w:rsid w:val="00401D65"/>
    <w:rsid w:val="00403317"/>
    <w:rsid w:val="004036B5"/>
    <w:rsid w:val="00405241"/>
    <w:rsid w:val="00405597"/>
    <w:rsid w:val="00411F3D"/>
    <w:rsid w:val="00414668"/>
    <w:rsid w:val="004158AB"/>
    <w:rsid w:val="00416BBA"/>
    <w:rsid w:val="00416F5F"/>
    <w:rsid w:val="004221F6"/>
    <w:rsid w:val="004240A4"/>
    <w:rsid w:val="004244FB"/>
    <w:rsid w:val="00430BFD"/>
    <w:rsid w:val="004313FB"/>
    <w:rsid w:val="004317C3"/>
    <w:rsid w:val="00431BC7"/>
    <w:rsid w:val="00431CB8"/>
    <w:rsid w:val="00433388"/>
    <w:rsid w:val="00434F78"/>
    <w:rsid w:val="004364B9"/>
    <w:rsid w:val="00436C7C"/>
    <w:rsid w:val="004407B1"/>
    <w:rsid w:val="00442954"/>
    <w:rsid w:val="00445EB7"/>
    <w:rsid w:val="00450D2B"/>
    <w:rsid w:val="00451899"/>
    <w:rsid w:val="0045301C"/>
    <w:rsid w:val="004542D7"/>
    <w:rsid w:val="004573D5"/>
    <w:rsid w:val="00463239"/>
    <w:rsid w:val="004664DE"/>
    <w:rsid w:val="00466B47"/>
    <w:rsid w:val="0047093F"/>
    <w:rsid w:val="00470AE8"/>
    <w:rsid w:val="0047333F"/>
    <w:rsid w:val="004744BA"/>
    <w:rsid w:val="004763F8"/>
    <w:rsid w:val="0047729A"/>
    <w:rsid w:val="00480221"/>
    <w:rsid w:val="0048030A"/>
    <w:rsid w:val="00481221"/>
    <w:rsid w:val="00481894"/>
    <w:rsid w:val="00482122"/>
    <w:rsid w:val="00482218"/>
    <w:rsid w:val="00483F02"/>
    <w:rsid w:val="00485117"/>
    <w:rsid w:val="00486627"/>
    <w:rsid w:val="00486DB4"/>
    <w:rsid w:val="00492267"/>
    <w:rsid w:val="0049477B"/>
    <w:rsid w:val="00494E7A"/>
    <w:rsid w:val="004960CE"/>
    <w:rsid w:val="00497000"/>
    <w:rsid w:val="00497B22"/>
    <w:rsid w:val="004A0554"/>
    <w:rsid w:val="004A11D3"/>
    <w:rsid w:val="004A272B"/>
    <w:rsid w:val="004A32D8"/>
    <w:rsid w:val="004A36C8"/>
    <w:rsid w:val="004A3A0E"/>
    <w:rsid w:val="004A65E8"/>
    <w:rsid w:val="004B06D6"/>
    <w:rsid w:val="004B3258"/>
    <w:rsid w:val="004B43DA"/>
    <w:rsid w:val="004B49ED"/>
    <w:rsid w:val="004B5698"/>
    <w:rsid w:val="004B617B"/>
    <w:rsid w:val="004B759A"/>
    <w:rsid w:val="004B771C"/>
    <w:rsid w:val="004B7A7E"/>
    <w:rsid w:val="004B7C41"/>
    <w:rsid w:val="004B7F08"/>
    <w:rsid w:val="004C0733"/>
    <w:rsid w:val="004C2693"/>
    <w:rsid w:val="004C3168"/>
    <w:rsid w:val="004C3800"/>
    <w:rsid w:val="004C6D75"/>
    <w:rsid w:val="004C783B"/>
    <w:rsid w:val="004C793B"/>
    <w:rsid w:val="004D1B72"/>
    <w:rsid w:val="004D1FC5"/>
    <w:rsid w:val="004D24C6"/>
    <w:rsid w:val="004D36AC"/>
    <w:rsid w:val="004D5E08"/>
    <w:rsid w:val="004D77AA"/>
    <w:rsid w:val="004E2EF6"/>
    <w:rsid w:val="004E40EB"/>
    <w:rsid w:val="004E4F7D"/>
    <w:rsid w:val="004E52E0"/>
    <w:rsid w:val="004F40AC"/>
    <w:rsid w:val="004F4182"/>
    <w:rsid w:val="004F4599"/>
    <w:rsid w:val="004F4622"/>
    <w:rsid w:val="004F48BB"/>
    <w:rsid w:val="004F53D4"/>
    <w:rsid w:val="004F582C"/>
    <w:rsid w:val="004F7C27"/>
    <w:rsid w:val="00500B00"/>
    <w:rsid w:val="00501303"/>
    <w:rsid w:val="00503AC0"/>
    <w:rsid w:val="0050430C"/>
    <w:rsid w:val="0051006D"/>
    <w:rsid w:val="0051091D"/>
    <w:rsid w:val="00511077"/>
    <w:rsid w:val="00511DA5"/>
    <w:rsid w:val="0051453F"/>
    <w:rsid w:val="0051576F"/>
    <w:rsid w:val="0051580B"/>
    <w:rsid w:val="00517C08"/>
    <w:rsid w:val="00520834"/>
    <w:rsid w:val="00523543"/>
    <w:rsid w:val="005240FC"/>
    <w:rsid w:val="005242B3"/>
    <w:rsid w:val="00525479"/>
    <w:rsid w:val="00525617"/>
    <w:rsid w:val="0052656B"/>
    <w:rsid w:val="00527012"/>
    <w:rsid w:val="005277E0"/>
    <w:rsid w:val="00527C00"/>
    <w:rsid w:val="00530647"/>
    <w:rsid w:val="005318DB"/>
    <w:rsid w:val="0053521B"/>
    <w:rsid w:val="00542C8D"/>
    <w:rsid w:val="005440BC"/>
    <w:rsid w:val="005443E4"/>
    <w:rsid w:val="005466A4"/>
    <w:rsid w:val="00546AA9"/>
    <w:rsid w:val="00551859"/>
    <w:rsid w:val="0055206D"/>
    <w:rsid w:val="005522DE"/>
    <w:rsid w:val="0055429B"/>
    <w:rsid w:val="005544D7"/>
    <w:rsid w:val="00554845"/>
    <w:rsid w:val="005548B5"/>
    <w:rsid w:val="00554957"/>
    <w:rsid w:val="00556405"/>
    <w:rsid w:val="00562E26"/>
    <w:rsid w:val="0056738D"/>
    <w:rsid w:val="00570D7D"/>
    <w:rsid w:val="00573013"/>
    <w:rsid w:val="0057302D"/>
    <w:rsid w:val="00575AA9"/>
    <w:rsid w:val="00575B01"/>
    <w:rsid w:val="00575D67"/>
    <w:rsid w:val="00576A4E"/>
    <w:rsid w:val="0057730D"/>
    <w:rsid w:val="00580099"/>
    <w:rsid w:val="0058054B"/>
    <w:rsid w:val="0058088F"/>
    <w:rsid w:val="0058136E"/>
    <w:rsid w:val="0058396D"/>
    <w:rsid w:val="005858B4"/>
    <w:rsid w:val="00586BC6"/>
    <w:rsid w:val="005901A8"/>
    <w:rsid w:val="00590652"/>
    <w:rsid w:val="00591A13"/>
    <w:rsid w:val="00593328"/>
    <w:rsid w:val="00593EFD"/>
    <w:rsid w:val="005958A4"/>
    <w:rsid w:val="00595BDB"/>
    <w:rsid w:val="00596145"/>
    <w:rsid w:val="005977FA"/>
    <w:rsid w:val="005979DF"/>
    <w:rsid w:val="005A0F56"/>
    <w:rsid w:val="005A30FA"/>
    <w:rsid w:val="005A347D"/>
    <w:rsid w:val="005A489A"/>
    <w:rsid w:val="005A51FB"/>
    <w:rsid w:val="005A5FD7"/>
    <w:rsid w:val="005B1CEA"/>
    <w:rsid w:val="005B360A"/>
    <w:rsid w:val="005B42A6"/>
    <w:rsid w:val="005B4B3A"/>
    <w:rsid w:val="005B60DA"/>
    <w:rsid w:val="005C03EF"/>
    <w:rsid w:val="005C2540"/>
    <w:rsid w:val="005C2D0A"/>
    <w:rsid w:val="005C3475"/>
    <w:rsid w:val="005C3AFF"/>
    <w:rsid w:val="005C44E1"/>
    <w:rsid w:val="005C46ED"/>
    <w:rsid w:val="005C73A8"/>
    <w:rsid w:val="005D17C4"/>
    <w:rsid w:val="005D275E"/>
    <w:rsid w:val="005D2858"/>
    <w:rsid w:val="005D2D65"/>
    <w:rsid w:val="005D3094"/>
    <w:rsid w:val="005D34A3"/>
    <w:rsid w:val="005D3A40"/>
    <w:rsid w:val="005D3C4C"/>
    <w:rsid w:val="005D43A0"/>
    <w:rsid w:val="005D7492"/>
    <w:rsid w:val="005D7F00"/>
    <w:rsid w:val="005E140E"/>
    <w:rsid w:val="005E37F7"/>
    <w:rsid w:val="005E3EA3"/>
    <w:rsid w:val="005E5E6C"/>
    <w:rsid w:val="005E73D1"/>
    <w:rsid w:val="005E7475"/>
    <w:rsid w:val="005F0E2F"/>
    <w:rsid w:val="005F3F89"/>
    <w:rsid w:val="005F6A58"/>
    <w:rsid w:val="005F7E09"/>
    <w:rsid w:val="0060005C"/>
    <w:rsid w:val="006013D8"/>
    <w:rsid w:val="006015E4"/>
    <w:rsid w:val="006028EB"/>
    <w:rsid w:val="00604DAB"/>
    <w:rsid w:val="006051C2"/>
    <w:rsid w:val="0060577E"/>
    <w:rsid w:val="00606D6A"/>
    <w:rsid w:val="006102E3"/>
    <w:rsid w:val="00611C73"/>
    <w:rsid w:val="0061224E"/>
    <w:rsid w:val="00614885"/>
    <w:rsid w:val="00614D7B"/>
    <w:rsid w:val="006154D0"/>
    <w:rsid w:val="00615BE2"/>
    <w:rsid w:val="006160AC"/>
    <w:rsid w:val="00616FC0"/>
    <w:rsid w:val="0062353E"/>
    <w:rsid w:val="0062456A"/>
    <w:rsid w:val="006253E1"/>
    <w:rsid w:val="00625A31"/>
    <w:rsid w:val="00633A37"/>
    <w:rsid w:val="00633B18"/>
    <w:rsid w:val="0063500F"/>
    <w:rsid w:val="0063565B"/>
    <w:rsid w:val="00636D88"/>
    <w:rsid w:val="00637781"/>
    <w:rsid w:val="006404FB"/>
    <w:rsid w:val="00641AEF"/>
    <w:rsid w:val="0064245E"/>
    <w:rsid w:val="006432E1"/>
    <w:rsid w:val="00643AB3"/>
    <w:rsid w:val="00645CF1"/>
    <w:rsid w:val="00647F1B"/>
    <w:rsid w:val="00650990"/>
    <w:rsid w:val="00650AEE"/>
    <w:rsid w:val="00652513"/>
    <w:rsid w:val="0065435C"/>
    <w:rsid w:val="006543D5"/>
    <w:rsid w:val="00654695"/>
    <w:rsid w:val="00654E5E"/>
    <w:rsid w:val="00655CB6"/>
    <w:rsid w:val="00656474"/>
    <w:rsid w:val="00657259"/>
    <w:rsid w:val="00657EC7"/>
    <w:rsid w:val="00662AD8"/>
    <w:rsid w:val="006651EE"/>
    <w:rsid w:val="0066582F"/>
    <w:rsid w:val="00665D76"/>
    <w:rsid w:val="006668BE"/>
    <w:rsid w:val="00667C3E"/>
    <w:rsid w:val="00670BB0"/>
    <w:rsid w:val="006714A7"/>
    <w:rsid w:val="0067302C"/>
    <w:rsid w:val="00676F46"/>
    <w:rsid w:val="00681272"/>
    <w:rsid w:val="0068142B"/>
    <w:rsid w:val="00681AE8"/>
    <w:rsid w:val="00683BF9"/>
    <w:rsid w:val="006848B5"/>
    <w:rsid w:val="00684F88"/>
    <w:rsid w:val="0068657A"/>
    <w:rsid w:val="00690982"/>
    <w:rsid w:val="00690FA7"/>
    <w:rsid w:val="00691879"/>
    <w:rsid w:val="00691CE3"/>
    <w:rsid w:val="006923F7"/>
    <w:rsid w:val="00693D05"/>
    <w:rsid w:val="0069644A"/>
    <w:rsid w:val="0069705F"/>
    <w:rsid w:val="00697426"/>
    <w:rsid w:val="0069749C"/>
    <w:rsid w:val="00697743"/>
    <w:rsid w:val="006A2B56"/>
    <w:rsid w:val="006A3259"/>
    <w:rsid w:val="006A69E2"/>
    <w:rsid w:val="006A69EB"/>
    <w:rsid w:val="006A7D85"/>
    <w:rsid w:val="006B0DB0"/>
    <w:rsid w:val="006B0F4E"/>
    <w:rsid w:val="006B1E80"/>
    <w:rsid w:val="006B6B7A"/>
    <w:rsid w:val="006C3150"/>
    <w:rsid w:val="006C3A00"/>
    <w:rsid w:val="006C5A5F"/>
    <w:rsid w:val="006C669D"/>
    <w:rsid w:val="006C740D"/>
    <w:rsid w:val="006D15D0"/>
    <w:rsid w:val="006D26FB"/>
    <w:rsid w:val="006D370B"/>
    <w:rsid w:val="006D4D61"/>
    <w:rsid w:val="006E0640"/>
    <w:rsid w:val="006E130C"/>
    <w:rsid w:val="006E202D"/>
    <w:rsid w:val="006E2B2F"/>
    <w:rsid w:val="006E3DFA"/>
    <w:rsid w:val="006E3E5F"/>
    <w:rsid w:val="006E4709"/>
    <w:rsid w:val="006E4A72"/>
    <w:rsid w:val="006E7815"/>
    <w:rsid w:val="006F01E6"/>
    <w:rsid w:val="006F0536"/>
    <w:rsid w:val="006F10FF"/>
    <w:rsid w:val="006F11FE"/>
    <w:rsid w:val="006F1284"/>
    <w:rsid w:val="006F4DFE"/>
    <w:rsid w:val="006F5896"/>
    <w:rsid w:val="006F7C8E"/>
    <w:rsid w:val="0070051D"/>
    <w:rsid w:val="00701D52"/>
    <w:rsid w:val="0070231A"/>
    <w:rsid w:val="00702364"/>
    <w:rsid w:val="00702C03"/>
    <w:rsid w:val="00703561"/>
    <w:rsid w:val="0070513D"/>
    <w:rsid w:val="00705E81"/>
    <w:rsid w:val="00706161"/>
    <w:rsid w:val="007066DA"/>
    <w:rsid w:val="00707892"/>
    <w:rsid w:val="0071131F"/>
    <w:rsid w:val="007118FB"/>
    <w:rsid w:val="00712605"/>
    <w:rsid w:val="007127A9"/>
    <w:rsid w:val="0071367A"/>
    <w:rsid w:val="0071428F"/>
    <w:rsid w:val="007157E0"/>
    <w:rsid w:val="00715AC3"/>
    <w:rsid w:val="00715C6F"/>
    <w:rsid w:val="00716B69"/>
    <w:rsid w:val="00723050"/>
    <w:rsid w:val="00723447"/>
    <w:rsid w:val="00724655"/>
    <w:rsid w:val="00725197"/>
    <w:rsid w:val="007266D5"/>
    <w:rsid w:val="0072733D"/>
    <w:rsid w:val="00727C60"/>
    <w:rsid w:val="00731A3E"/>
    <w:rsid w:val="007321AF"/>
    <w:rsid w:val="0073446D"/>
    <w:rsid w:val="00734A12"/>
    <w:rsid w:val="00734C9E"/>
    <w:rsid w:val="00734F51"/>
    <w:rsid w:val="007353CE"/>
    <w:rsid w:val="007356D5"/>
    <w:rsid w:val="007358BD"/>
    <w:rsid w:val="0074148E"/>
    <w:rsid w:val="00741978"/>
    <w:rsid w:val="007422FC"/>
    <w:rsid w:val="00742F7A"/>
    <w:rsid w:val="007441B4"/>
    <w:rsid w:val="007453CA"/>
    <w:rsid w:val="00745552"/>
    <w:rsid w:val="00746603"/>
    <w:rsid w:val="00746C0F"/>
    <w:rsid w:val="00747746"/>
    <w:rsid w:val="0075197C"/>
    <w:rsid w:val="007537D7"/>
    <w:rsid w:val="007538F5"/>
    <w:rsid w:val="00754BFB"/>
    <w:rsid w:val="00755CBA"/>
    <w:rsid w:val="00755D24"/>
    <w:rsid w:val="007564B9"/>
    <w:rsid w:val="00756AAD"/>
    <w:rsid w:val="00757441"/>
    <w:rsid w:val="00760694"/>
    <w:rsid w:val="00760E4C"/>
    <w:rsid w:val="007619DC"/>
    <w:rsid w:val="00762BC2"/>
    <w:rsid w:val="0076321E"/>
    <w:rsid w:val="00763EDC"/>
    <w:rsid w:val="00764386"/>
    <w:rsid w:val="00764A72"/>
    <w:rsid w:val="00765E47"/>
    <w:rsid w:val="007716CC"/>
    <w:rsid w:val="00772D02"/>
    <w:rsid w:val="0077321D"/>
    <w:rsid w:val="007733D4"/>
    <w:rsid w:val="0077529C"/>
    <w:rsid w:val="00776A04"/>
    <w:rsid w:val="0078079F"/>
    <w:rsid w:val="007808E8"/>
    <w:rsid w:val="00781860"/>
    <w:rsid w:val="00781949"/>
    <w:rsid w:val="00782BA6"/>
    <w:rsid w:val="00783009"/>
    <w:rsid w:val="00783A4C"/>
    <w:rsid w:val="00784481"/>
    <w:rsid w:val="0078665F"/>
    <w:rsid w:val="00786BCB"/>
    <w:rsid w:val="007873CE"/>
    <w:rsid w:val="00787B96"/>
    <w:rsid w:val="00793629"/>
    <w:rsid w:val="007936FC"/>
    <w:rsid w:val="00793A27"/>
    <w:rsid w:val="00795531"/>
    <w:rsid w:val="00796E45"/>
    <w:rsid w:val="007A16C1"/>
    <w:rsid w:val="007A1748"/>
    <w:rsid w:val="007A35B0"/>
    <w:rsid w:val="007A4C70"/>
    <w:rsid w:val="007A4C84"/>
    <w:rsid w:val="007B4489"/>
    <w:rsid w:val="007B6461"/>
    <w:rsid w:val="007B66A2"/>
    <w:rsid w:val="007B773F"/>
    <w:rsid w:val="007B7FD9"/>
    <w:rsid w:val="007C0B4F"/>
    <w:rsid w:val="007C18FC"/>
    <w:rsid w:val="007C1FE2"/>
    <w:rsid w:val="007C3291"/>
    <w:rsid w:val="007C356E"/>
    <w:rsid w:val="007C3790"/>
    <w:rsid w:val="007C3CEB"/>
    <w:rsid w:val="007C4760"/>
    <w:rsid w:val="007C4926"/>
    <w:rsid w:val="007C4934"/>
    <w:rsid w:val="007C5217"/>
    <w:rsid w:val="007C535E"/>
    <w:rsid w:val="007C53A2"/>
    <w:rsid w:val="007C635D"/>
    <w:rsid w:val="007C6C5D"/>
    <w:rsid w:val="007C7783"/>
    <w:rsid w:val="007D13A0"/>
    <w:rsid w:val="007D1DC4"/>
    <w:rsid w:val="007D4098"/>
    <w:rsid w:val="007D5192"/>
    <w:rsid w:val="007D7BB6"/>
    <w:rsid w:val="007E10DD"/>
    <w:rsid w:val="007E231F"/>
    <w:rsid w:val="007E40BF"/>
    <w:rsid w:val="007E6A7E"/>
    <w:rsid w:val="007E7923"/>
    <w:rsid w:val="007F2689"/>
    <w:rsid w:val="007F2E59"/>
    <w:rsid w:val="007F3423"/>
    <w:rsid w:val="007F3D20"/>
    <w:rsid w:val="007F570A"/>
    <w:rsid w:val="007F6333"/>
    <w:rsid w:val="00800B92"/>
    <w:rsid w:val="008023BE"/>
    <w:rsid w:val="008023FF"/>
    <w:rsid w:val="00805492"/>
    <w:rsid w:val="00806264"/>
    <w:rsid w:val="00806BDC"/>
    <w:rsid w:val="00806FD6"/>
    <w:rsid w:val="0080748F"/>
    <w:rsid w:val="008076DB"/>
    <w:rsid w:val="008078FF"/>
    <w:rsid w:val="00807CA0"/>
    <w:rsid w:val="00811591"/>
    <w:rsid w:val="00811A01"/>
    <w:rsid w:val="0081353F"/>
    <w:rsid w:val="00815A12"/>
    <w:rsid w:val="00815F68"/>
    <w:rsid w:val="00817FD9"/>
    <w:rsid w:val="00820084"/>
    <w:rsid w:val="00821A86"/>
    <w:rsid w:val="00822EAA"/>
    <w:rsid w:val="00823832"/>
    <w:rsid w:val="00823EFB"/>
    <w:rsid w:val="008241E4"/>
    <w:rsid w:val="008249B3"/>
    <w:rsid w:val="008250AD"/>
    <w:rsid w:val="00831EFB"/>
    <w:rsid w:val="0083221E"/>
    <w:rsid w:val="00832B4D"/>
    <w:rsid w:val="00833880"/>
    <w:rsid w:val="00836837"/>
    <w:rsid w:val="00836EE0"/>
    <w:rsid w:val="00844229"/>
    <w:rsid w:val="00846B72"/>
    <w:rsid w:val="00847000"/>
    <w:rsid w:val="008479B8"/>
    <w:rsid w:val="00847A95"/>
    <w:rsid w:val="0085022C"/>
    <w:rsid w:val="00851782"/>
    <w:rsid w:val="00852220"/>
    <w:rsid w:val="008532D6"/>
    <w:rsid w:val="008555F9"/>
    <w:rsid w:val="00855DDB"/>
    <w:rsid w:val="00856A91"/>
    <w:rsid w:val="00857691"/>
    <w:rsid w:val="008578E2"/>
    <w:rsid w:val="008636BC"/>
    <w:rsid w:val="00864919"/>
    <w:rsid w:val="00866CBE"/>
    <w:rsid w:val="00866D94"/>
    <w:rsid w:val="00870A07"/>
    <w:rsid w:val="0087167A"/>
    <w:rsid w:val="00871687"/>
    <w:rsid w:val="0087217B"/>
    <w:rsid w:val="0087240A"/>
    <w:rsid w:val="00872B76"/>
    <w:rsid w:val="008736A4"/>
    <w:rsid w:val="00876E6B"/>
    <w:rsid w:val="00876F07"/>
    <w:rsid w:val="00876FC0"/>
    <w:rsid w:val="008804A0"/>
    <w:rsid w:val="00883481"/>
    <w:rsid w:val="00884F89"/>
    <w:rsid w:val="00885CE3"/>
    <w:rsid w:val="00890D27"/>
    <w:rsid w:val="0089216D"/>
    <w:rsid w:val="008924BE"/>
    <w:rsid w:val="008925C4"/>
    <w:rsid w:val="00892827"/>
    <w:rsid w:val="00892B45"/>
    <w:rsid w:val="0089363B"/>
    <w:rsid w:val="008948F2"/>
    <w:rsid w:val="00895A47"/>
    <w:rsid w:val="00895B34"/>
    <w:rsid w:val="00897CBE"/>
    <w:rsid w:val="00897D9E"/>
    <w:rsid w:val="00897F12"/>
    <w:rsid w:val="008A10E5"/>
    <w:rsid w:val="008A15D0"/>
    <w:rsid w:val="008A2664"/>
    <w:rsid w:val="008A3E6D"/>
    <w:rsid w:val="008A3EDE"/>
    <w:rsid w:val="008A47D5"/>
    <w:rsid w:val="008A5321"/>
    <w:rsid w:val="008A798B"/>
    <w:rsid w:val="008B04DB"/>
    <w:rsid w:val="008B1198"/>
    <w:rsid w:val="008B1851"/>
    <w:rsid w:val="008B30FB"/>
    <w:rsid w:val="008B39D1"/>
    <w:rsid w:val="008C053F"/>
    <w:rsid w:val="008C0E2C"/>
    <w:rsid w:val="008C1A1E"/>
    <w:rsid w:val="008C1CCD"/>
    <w:rsid w:val="008C27CD"/>
    <w:rsid w:val="008C281E"/>
    <w:rsid w:val="008C4B47"/>
    <w:rsid w:val="008C54DB"/>
    <w:rsid w:val="008C6A0D"/>
    <w:rsid w:val="008C7660"/>
    <w:rsid w:val="008D14CB"/>
    <w:rsid w:val="008D1590"/>
    <w:rsid w:val="008D29F4"/>
    <w:rsid w:val="008D32C8"/>
    <w:rsid w:val="008D34B9"/>
    <w:rsid w:val="008D484F"/>
    <w:rsid w:val="008D69CC"/>
    <w:rsid w:val="008D794F"/>
    <w:rsid w:val="008E35B7"/>
    <w:rsid w:val="008E37A5"/>
    <w:rsid w:val="008E3C88"/>
    <w:rsid w:val="008E50B5"/>
    <w:rsid w:val="008E5564"/>
    <w:rsid w:val="008E62C3"/>
    <w:rsid w:val="008E63DC"/>
    <w:rsid w:val="008E6634"/>
    <w:rsid w:val="008E6E95"/>
    <w:rsid w:val="008F02D9"/>
    <w:rsid w:val="008F07FF"/>
    <w:rsid w:val="008F335C"/>
    <w:rsid w:val="008F48CE"/>
    <w:rsid w:val="008F4D8F"/>
    <w:rsid w:val="008F4ECC"/>
    <w:rsid w:val="008F5E2E"/>
    <w:rsid w:val="008F7422"/>
    <w:rsid w:val="008F7D0B"/>
    <w:rsid w:val="00902780"/>
    <w:rsid w:val="009043A2"/>
    <w:rsid w:val="009052A3"/>
    <w:rsid w:val="00905831"/>
    <w:rsid w:val="00910621"/>
    <w:rsid w:val="00910DF1"/>
    <w:rsid w:val="00912E45"/>
    <w:rsid w:val="00913ABD"/>
    <w:rsid w:val="00915683"/>
    <w:rsid w:val="0091710A"/>
    <w:rsid w:val="00920872"/>
    <w:rsid w:val="00921E00"/>
    <w:rsid w:val="009239CB"/>
    <w:rsid w:val="00923E8C"/>
    <w:rsid w:val="009242BD"/>
    <w:rsid w:val="00924AA5"/>
    <w:rsid w:val="00925AAD"/>
    <w:rsid w:val="00925FAB"/>
    <w:rsid w:val="00926866"/>
    <w:rsid w:val="00926F68"/>
    <w:rsid w:val="00931C03"/>
    <w:rsid w:val="0093274A"/>
    <w:rsid w:val="00933CED"/>
    <w:rsid w:val="00934CCD"/>
    <w:rsid w:val="0094095B"/>
    <w:rsid w:val="00943613"/>
    <w:rsid w:val="0095008E"/>
    <w:rsid w:val="00951114"/>
    <w:rsid w:val="00955F35"/>
    <w:rsid w:val="0095621D"/>
    <w:rsid w:val="0095637F"/>
    <w:rsid w:val="009571C4"/>
    <w:rsid w:val="009615B0"/>
    <w:rsid w:val="00961FF6"/>
    <w:rsid w:val="00962C2D"/>
    <w:rsid w:val="009631D5"/>
    <w:rsid w:val="009638BA"/>
    <w:rsid w:val="00963B12"/>
    <w:rsid w:val="0096627F"/>
    <w:rsid w:val="009672E8"/>
    <w:rsid w:val="0096761E"/>
    <w:rsid w:val="00967A5A"/>
    <w:rsid w:val="00967F3C"/>
    <w:rsid w:val="00970882"/>
    <w:rsid w:val="00970947"/>
    <w:rsid w:val="00971441"/>
    <w:rsid w:val="0097536C"/>
    <w:rsid w:val="009769D3"/>
    <w:rsid w:val="00981309"/>
    <w:rsid w:val="009820A4"/>
    <w:rsid w:val="0098358C"/>
    <w:rsid w:val="0098415D"/>
    <w:rsid w:val="009845D2"/>
    <w:rsid w:val="00985D50"/>
    <w:rsid w:val="00987E9A"/>
    <w:rsid w:val="00990387"/>
    <w:rsid w:val="009919B0"/>
    <w:rsid w:val="00992668"/>
    <w:rsid w:val="00993CA9"/>
    <w:rsid w:val="009951A9"/>
    <w:rsid w:val="0099578B"/>
    <w:rsid w:val="00996302"/>
    <w:rsid w:val="009966DF"/>
    <w:rsid w:val="00996EC5"/>
    <w:rsid w:val="00997A3F"/>
    <w:rsid w:val="009A1FAB"/>
    <w:rsid w:val="009A22CC"/>
    <w:rsid w:val="009A4743"/>
    <w:rsid w:val="009B0962"/>
    <w:rsid w:val="009B1771"/>
    <w:rsid w:val="009B18FC"/>
    <w:rsid w:val="009B2ED3"/>
    <w:rsid w:val="009B5758"/>
    <w:rsid w:val="009C20C8"/>
    <w:rsid w:val="009C2AC5"/>
    <w:rsid w:val="009C2F9A"/>
    <w:rsid w:val="009C3C26"/>
    <w:rsid w:val="009C4CA7"/>
    <w:rsid w:val="009C4D20"/>
    <w:rsid w:val="009C6AF3"/>
    <w:rsid w:val="009C7BBE"/>
    <w:rsid w:val="009D2E93"/>
    <w:rsid w:val="009D6F52"/>
    <w:rsid w:val="009D717D"/>
    <w:rsid w:val="009D7384"/>
    <w:rsid w:val="009D749E"/>
    <w:rsid w:val="009D7C91"/>
    <w:rsid w:val="009E0D3D"/>
    <w:rsid w:val="009E13B7"/>
    <w:rsid w:val="009E219E"/>
    <w:rsid w:val="009E21F3"/>
    <w:rsid w:val="009E249A"/>
    <w:rsid w:val="009E2EA0"/>
    <w:rsid w:val="009E55E4"/>
    <w:rsid w:val="009E5DE3"/>
    <w:rsid w:val="009E64BF"/>
    <w:rsid w:val="009E65EC"/>
    <w:rsid w:val="009E695D"/>
    <w:rsid w:val="009E78C3"/>
    <w:rsid w:val="009E7947"/>
    <w:rsid w:val="009F08DE"/>
    <w:rsid w:val="009F19E3"/>
    <w:rsid w:val="009F2C1A"/>
    <w:rsid w:val="009F45BF"/>
    <w:rsid w:val="009F47A7"/>
    <w:rsid w:val="009F4A2B"/>
    <w:rsid w:val="009F4B3C"/>
    <w:rsid w:val="009F66ED"/>
    <w:rsid w:val="009F6E81"/>
    <w:rsid w:val="009F7191"/>
    <w:rsid w:val="009F7FCA"/>
    <w:rsid w:val="00A0170F"/>
    <w:rsid w:val="00A01D6A"/>
    <w:rsid w:val="00A025B1"/>
    <w:rsid w:val="00A03D28"/>
    <w:rsid w:val="00A045EC"/>
    <w:rsid w:val="00A048DB"/>
    <w:rsid w:val="00A055F7"/>
    <w:rsid w:val="00A05BAB"/>
    <w:rsid w:val="00A06449"/>
    <w:rsid w:val="00A07473"/>
    <w:rsid w:val="00A124E9"/>
    <w:rsid w:val="00A21974"/>
    <w:rsid w:val="00A22885"/>
    <w:rsid w:val="00A228D5"/>
    <w:rsid w:val="00A22AFB"/>
    <w:rsid w:val="00A23C35"/>
    <w:rsid w:val="00A248F8"/>
    <w:rsid w:val="00A26441"/>
    <w:rsid w:val="00A2763C"/>
    <w:rsid w:val="00A27BD0"/>
    <w:rsid w:val="00A30634"/>
    <w:rsid w:val="00A315F7"/>
    <w:rsid w:val="00A322C4"/>
    <w:rsid w:val="00A329D5"/>
    <w:rsid w:val="00A33278"/>
    <w:rsid w:val="00A342CF"/>
    <w:rsid w:val="00A3456E"/>
    <w:rsid w:val="00A352FC"/>
    <w:rsid w:val="00A36C7C"/>
    <w:rsid w:val="00A373C7"/>
    <w:rsid w:val="00A378B8"/>
    <w:rsid w:val="00A37ED5"/>
    <w:rsid w:val="00A40D0F"/>
    <w:rsid w:val="00A42796"/>
    <w:rsid w:val="00A42D5D"/>
    <w:rsid w:val="00A453BA"/>
    <w:rsid w:val="00A46346"/>
    <w:rsid w:val="00A46CF1"/>
    <w:rsid w:val="00A47774"/>
    <w:rsid w:val="00A508D3"/>
    <w:rsid w:val="00A521A1"/>
    <w:rsid w:val="00A52688"/>
    <w:rsid w:val="00A53D61"/>
    <w:rsid w:val="00A54654"/>
    <w:rsid w:val="00A55031"/>
    <w:rsid w:val="00A57630"/>
    <w:rsid w:val="00A607B5"/>
    <w:rsid w:val="00A645D0"/>
    <w:rsid w:val="00A64B36"/>
    <w:rsid w:val="00A650BF"/>
    <w:rsid w:val="00A65528"/>
    <w:rsid w:val="00A66D96"/>
    <w:rsid w:val="00A66FA2"/>
    <w:rsid w:val="00A67607"/>
    <w:rsid w:val="00A71A1B"/>
    <w:rsid w:val="00A724FF"/>
    <w:rsid w:val="00A73B48"/>
    <w:rsid w:val="00A73C46"/>
    <w:rsid w:val="00A75AE3"/>
    <w:rsid w:val="00A75E6A"/>
    <w:rsid w:val="00A7612E"/>
    <w:rsid w:val="00A81E2A"/>
    <w:rsid w:val="00A8266A"/>
    <w:rsid w:val="00A8779E"/>
    <w:rsid w:val="00A877D6"/>
    <w:rsid w:val="00A90E66"/>
    <w:rsid w:val="00A932C2"/>
    <w:rsid w:val="00A9524F"/>
    <w:rsid w:val="00A95646"/>
    <w:rsid w:val="00A95E28"/>
    <w:rsid w:val="00A9641D"/>
    <w:rsid w:val="00A97E3D"/>
    <w:rsid w:val="00AA15EC"/>
    <w:rsid w:val="00AA2D7E"/>
    <w:rsid w:val="00AA31F0"/>
    <w:rsid w:val="00AA5189"/>
    <w:rsid w:val="00AA5ED9"/>
    <w:rsid w:val="00AA615F"/>
    <w:rsid w:val="00AA7C8F"/>
    <w:rsid w:val="00AB0B04"/>
    <w:rsid w:val="00AB1C15"/>
    <w:rsid w:val="00AB1C73"/>
    <w:rsid w:val="00AB25B9"/>
    <w:rsid w:val="00AB2AC8"/>
    <w:rsid w:val="00AB2DB5"/>
    <w:rsid w:val="00AB3539"/>
    <w:rsid w:val="00AB4098"/>
    <w:rsid w:val="00AB45E6"/>
    <w:rsid w:val="00AB4AD6"/>
    <w:rsid w:val="00AB50C9"/>
    <w:rsid w:val="00AB7736"/>
    <w:rsid w:val="00AC0B5C"/>
    <w:rsid w:val="00AC1BCD"/>
    <w:rsid w:val="00AC6DAD"/>
    <w:rsid w:val="00AC7738"/>
    <w:rsid w:val="00AD02B5"/>
    <w:rsid w:val="00AD142E"/>
    <w:rsid w:val="00AD57D1"/>
    <w:rsid w:val="00AD5C8B"/>
    <w:rsid w:val="00AD754A"/>
    <w:rsid w:val="00AD7855"/>
    <w:rsid w:val="00AD7EA2"/>
    <w:rsid w:val="00AE11C4"/>
    <w:rsid w:val="00AE22E1"/>
    <w:rsid w:val="00AE431A"/>
    <w:rsid w:val="00AE5E58"/>
    <w:rsid w:val="00AE6C3F"/>
    <w:rsid w:val="00AF02C9"/>
    <w:rsid w:val="00AF0ED8"/>
    <w:rsid w:val="00AF14CE"/>
    <w:rsid w:val="00AF4FCA"/>
    <w:rsid w:val="00AF52AA"/>
    <w:rsid w:val="00AF57F9"/>
    <w:rsid w:val="00AF5CA0"/>
    <w:rsid w:val="00B01A77"/>
    <w:rsid w:val="00B03E0C"/>
    <w:rsid w:val="00B05418"/>
    <w:rsid w:val="00B06053"/>
    <w:rsid w:val="00B060D5"/>
    <w:rsid w:val="00B06385"/>
    <w:rsid w:val="00B14349"/>
    <w:rsid w:val="00B14911"/>
    <w:rsid w:val="00B15009"/>
    <w:rsid w:val="00B17EFB"/>
    <w:rsid w:val="00B17EFF"/>
    <w:rsid w:val="00B20038"/>
    <w:rsid w:val="00B21A07"/>
    <w:rsid w:val="00B220C9"/>
    <w:rsid w:val="00B22BA3"/>
    <w:rsid w:val="00B22F1C"/>
    <w:rsid w:val="00B23878"/>
    <w:rsid w:val="00B23BC6"/>
    <w:rsid w:val="00B24CA4"/>
    <w:rsid w:val="00B26137"/>
    <w:rsid w:val="00B26246"/>
    <w:rsid w:val="00B262F8"/>
    <w:rsid w:val="00B30345"/>
    <w:rsid w:val="00B31BDE"/>
    <w:rsid w:val="00B32253"/>
    <w:rsid w:val="00B33FA2"/>
    <w:rsid w:val="00B35062"/>
    <w:rsid w:val="00B36165"/>
    <w:rsid w:val="00B37F2D"/>
    <w:rsid w:val="00B42066"/>
    <w:rsid w:val="00B42F86"/>
    <w:rsid w:val="00B43430"/>
    <w:rsid w:val="00B436B0"/>
    <w:rsid w:val="00B46F03"/>
    <w:rsid w:val="00B50B19"/>
    <w:rsid w:val="00B53830"/>
    <w:rsid w:val="00B539EC"/>
    <w:rsid w:val="00B53F1B"/>
    <w:rsid w:val="00B53FB9"/>
    <w:rsid w:val="00B54535"/>
    <w:rsid w:val="00B54FB6"/>
    <w:rsid w:val="00B56B65"/>
    <w:rsid w:val="00B603E4"/>
    <w:rsid w:val="00B614EE"/>
    <w:rsid w:val="00B61C2A"/>
    <w:rsid w:val="00B6280B"/>
    <w:rsid w:val="00B6385E"/>
    <w:rsid w:val="00B65D0D"/>
    <w:rsid w:val="00B67315"/>
    <w:rsid w:val="00B71A1A"/>
    <w:rsid w:val="00B71A2B"/>
    <w:rsid w:val="00B72937"/>
    <w:rsid w:val="00B72966"/>
    <w:rsid w:val="00B74B25"/>
    <w:rsid w:val="00B75308"/>
    <w:rsid w:val="00B759B3"/>
    <w:rsid w:val="00B77F40"/>
    <w:rsid w:val="00B849E2"/>
    <w:rsid w:val="00B85FC3"/>
    <w:rsid w:val="00B91672"/>
    <w:rsid w:val="00B92B26"/>
    <w:rsid w:val="00B93FD2"/>
    <w:rsid w:val="00B94EB2"/>
    <w:rsid w:val="00B9633E"/>
    <w:rsid w:val="00B96C46"/>
    <w:rsid w:val="00B97315"/>
    <w:rsid w:val="00BA01A9"/>
    <w:rsid w:val="00BA1A7D"/>
    <w:rsid w:val="00BA1AD9"/>
    <w:rsid w:val="00BA4CA8"/>
    <w:rsid w:val="00BA50B5"/>
    <w:rsid w:val="00BA798E"/>
    <w:rsid w:val="00BB093E"/>
    <w:rsid w:val="00BB0DCC"/>
    <w:rsid w:val="00BB1502"/>
    <w:rsid w:val="00BB1A4A"/>
    <w:rsid w:val="00BB3872"/>
    <w:rsid w:val="00BB4895"/>
    <w:rsid w:val="00BB4DBD"/>
    <w:rsid w:val="00BB54F7"/>
    <w:rsid w:val="00BB68EB"/>
    <w:rsid w:val="00BB7077"/>
    <w:rsid w:val="00BB738E"/>
    <w:rsid w:val="00BB76F2"/>
    <w:rsid w:val="00BB7BDD"/>
    <w:rsid w:val="00BB7FCD"/>
    <w:rsid w:val="00BC0461"/>
    <w:rsid w:val="00BC0B51"/>
    <w:rsid w:val="00BC2413"/>
    <w:rsid w:val="00BC3094"/>
    <w:rsid w:val="00BC3AEF"/>
    <w:rsid w:val="00BC46F3"/>
    <w:rsid w:val="00BC49AB"/>
    <w:rsid w:val="00BC69B1"/>
    <w:rsid w:val="00BC76E3"/>
    <w:rsid w:val="00BC784B"/>
    <w:rsid w:val="00BC7AD0"/>
    <w:rsid w:val="00BC7B72"/>
    <w:rsid w:val="00BD2A87"/>
    <w:rsid w:val="00BD3FBF"/>
    <w:rsid w:val="00BD4E4B"/>
    <w:rsid w:val="00BD582A"/>
    <w:rsid w:val="00BD64BB"/>
    <w:rsid w:val="00BD7868"/>
    <w:rsid w:val="00BE3138"/>
    <w:rsid w:val="00BE34A5"/>
    <w:rsid w:val="00BE4555"/>
    <w:rsid w:val="00BE632D"/>
    <w:rsid w:val="00BE7434"/>
    <w:rsid w:val="00BF0930"/>
    <w:rsid w:val="00BF0F59"/>
    <w:rsid w:val="00BF152D"/>
    <w:rsid w:val="00BF1A4F"/>
    <w:rsid w:val="00BF32EC"/>
    <w:rsid w:val="00BF4188"/>
    <w:rsid w:val="00BF4576"/>
    <w:rsid w:val="00BF51E7"/>
    <w:rsid w:val="00BF6B0C"/>
    <w:rsid w:val="00C00C53"/>
    <w:rsid w:val="00C037FF"/>
    <w:rsid w:val="00C0451C"/>
    <w:rsid w:val="00C054A1"/>
    <w:rsid w:val="00C06506"/>
    <w:rsid w:val="00C06B34"/>
    <w:rsid w:val="00C1272D"/>
    <w:rsid w:val="00C13918"/>
    <w:rsid w:val="00C15470"/>
    <w:rsid w:val="00C176A1"/>
    <w:rsid w:val="00C20753"/>
    <w:rsid w:val="00C20812"/>
    <w:rsid w:val="00C260AB"/>
    <w:rsid w:val="00C2620B"/>
    <w:rsid w:val="00C355BE"/>
    <w:rsid w:val="00C364AC"/>
    <w:rsid w:val="00C37329"/>
    <w:rsid w:val="00C37535"/>
    <w:rsid w:val="00C3785F"/>
    <w:rsid w:val="00C401AC"/>
    <w:rsid w:val="00C410BB"/>
    <w:rsid w:val="00C413AC"/>
    <w:rsid w:val="00C4182F"/>
    <w:rsid w:val="00C42057"/>
    <w:rsid w:val="00C422EB"/>
    <w:rsid w:val="00C42F19"/>
    <w:rsid w:val="00C44CC1"/>
    <w:rsid w:val="00C44F17"/>
    <w:rsid w:val="00C45358"/>
    <w:rsid w:val="00C45D8E"/>
    <w:rsid w:val="00C46D4D"/>
    <w:rsid w:val="00C47E55"/>
    <w:rsid w:val="00C506D0"/>
    <w:rsid w:val="00C548A8"/>
    <w:rsid w:val="00C552D8"/>
    <w:rsid w:val="00C57658"/>
    <w:rsid w:val="00C5799D"/>
    <w:rsid w:val="00C57B09"/>
    <w:rsid w:val="00C6081B"/>
    <w:rsid w:val="00C61B71"/>
    <w:rsid w:val="00C63D6F"/>
    <w:rsid w:val="00C64080"/>
    <w:rsid w:val="00C65914"/>
    <w:rsid w:val="00C65930"/>
    <w:rsid w:val="00C70C30"/>
    <w:rsid w:val="00C70E5A"/>
    <w:rsid w:val="00C7304C"/>
    <w:rsid w:val="00C7339E"/>
    <w:rsid w:val="00C74F93"/>
    <w:rsid w:val="00C76C3C"/>
    <w:rsid w:val="00C76DEB"/>
    <w:rsid w:val="00C770EE"/>
    <w:rsid w:val="00C7750C"/>
    <w:rsid w:val="00C803B3"/>
    <w:rsid w:val="00C80DC6"/>
    <w:rsid w:val="00C82509"/>
    <w:rsid w:val="00C831F4"/>
    <w:rsid w:val="00C83243"/>
    <w:rsid w:val="00C84E93"/>
    <w:rsid w:val="00C853A2"/>
    <w:rsid w:val="00C85614"/>
    <w:rsid w:val="00C87256"/>
    <w:rsid w:val="00C873A5"/>
    <w:rsid w:val="00C87582"/>
    <w:rsid w:val="00C9005E"/>
    <w:rsid w:val="00C9111D"/>
    <w:rsid w:val="00C915A5"/>
    <w:rsid w:val="00C91DEF"/>
    <w:rsid w:val="00C9293B"/>
    <w:rsid w:val="00C93420"/>
    <w:rsid w:val="00C95F6F"/>
    <w:rsid w:val="00CA1DDF"/>
    <w:rsid w:val="00CA2769"/>
    <w:rsid w:val="00CA3448"/>
    <w:rsid w:val="00CA3B7C"/>
    <w:rsid w:val="00CA5828"/>
    <w:rsid w:val="00CA7B83"/>
    <w:rsid w:val="00CB0FDE"/>
    <w:rsid w:val="00CB2683"/>
    <w:rsid w:val="00CB3010"/>
    <w:rsid w:val="00CB3A12"/>
    <w:rsid w:val="00CB4C75"/>
    <w:rsid w:val="00CB4CC3"/>
    <w:rsid w:val="00CB517F"/>
    <w:rsid w:val="00CB51B0"/>
    <w:rsid w:val="00CB6241"/>
    <w:rsid w:val="00CC14A9"/>
    <w:rsid w:val="00CC2CE3"/>
    <w:rsid w:val="00CC71B3"/>
    <w:rsid w:val="00CD173E"/>
    <w:rsid w:val="00CD19EA"/>
    <w:rsid w:val="00CD4BB1"/>
    <w:rsid w:val="00CD4BD6"/>
    <w:rsid w:val="00CD6AE5"/>
    <w:rsid w:val="00CD7043"/>
    <w:rsid w:val="00CE190C"/>
    <w:rsid w:val="00CE271A"/>
    <w:rsid w:val="00CE2977"/>
    <w:rsid w:val="00CE39FE"/>
    <w:rsid w:val="00CE6266"/>
    <w:rsid w:val="00CE63F7"/>
    <w:rsid w:val="00CE6445"/>
    <w:rsid w:val="00CE7764"/>
    <w:rsid w:val="00CF0348"/>
    <w:rsid w:val="00CF63F7"/>
    <w:rsid w:val="00CF72BD"/>
    <w:rsid w:val="00CF7E6F"/>
    <w:rsid w:val="00D01447"/>
    <w:rsid w:val="00D018AA"/>
    <w:rsid w:val="00D0301A"/>
    <w:rsid w:val="00D04637"/>
    <w:rsid w:val="00D04BA7"/>
    <w:rsid w:val="00D06557"/>
    <w:rsid w:val="00D1081C"/>
    <w:rsid w:val="00D1207B"/>
    <w:rsid w:val="00D1280C"/>
    <w:rsid w:val="00D1288E"/>
    <w:rsid w:val="00D131AC"/>
    <w:rsid w:val="00D13CF8"/>
    <w:rsid w:val="00D14ADA"/>
    <w:rsid w:val="00D15B6F"/>
    <w:rsid w:val="00D16574"/>
    <w:rsid w:val="00D17969"/>
    <w:rsid w:val="00D210C7"/>
    <w:rsid w:val="00D21308"/>
    <w:rsid w:val="00D21D2F"/>
    <w:rsid w:val="00D23F98"/>
    <w:rsid w:val="00D25C11"/>
    <w:rsid w:val="00D2680C"/>
    <w:rsid w:val="00D26E2F"/>
    <w:rsid w:val="00D27454"/>
    <w:rsid w:val="00D30108"/>
    <w:rsid w:val="00D33A8D"/>
    <w:rsid w:val="00D33E2C"/>
    <w:rsid w:val="00D3557A"/>
    <w:rsid w:val="00D3564E"/>
    <w:rsid w:val="00D35D05"/>
    <w:rsid w:val="00D363A0"/>
    <w:rsid w:val="00D368DC"/>
    <w:rsid w:val="00D37B3D"/>
    <w:rsid w:val="00D42FE2"/>
    <w:rsid w:val="00D43AAC"/>
    <w:rsid w:val="00D43FEC"/>
    <w:rsid w:val="00D451AC"/>
    <w:rsid w:val="00D453EE"/>
    <w:rsid w:val="00D45E3B"/>
    <w:rsid w:val="00D51349"/>
    <w:rsid w:val="00D522F2"/>
    <w:rsid w:val="00D5265C"/>
    <w:rsid w:val="00D5393F"/>
    <w:rsid w:val="00D54AF2"/>
    <w:rsid w:val="00D54B86"/>
    <w:rsid w:val="00D57B8C"/>
    <w:rsid w:val="00D60D75"/>
    <w:rsid w:val="00D61470"/>
    <w:rsid w:val="00D614D4"/>
    <w:rsid w:val="00D658F4"/>
    <w:rsid w:val="00D65931"/>
    <w:rsid w:val="00D65D0A"/>
    <w:rsid w:val="00D664E0"/>
    <w:rsid w:val="00D70037"/>
    <w:rsid w:val="00D700E5"/>
    <w:rsid w:val="00D70BBA"/>
    <w:rsid w:val="00D737F8"/>
    <w:rsid w:val="00D7388E"/>
    <w:rsid w:val="00D744AA"/>
    <w:rsid w:val="00D74F62"/>
    <w:rsid w:val="00D751DE"/>
    <w:rsid w:val="00D7603E"/>
    <w:rsid w:val="00D76433"/>
    <w:rsid w:val="00D80171"/>
    <w:rsid w:val="00D807DF"/>
    <w:rsid w:val="00D8607B"/>
    <w:rsid w:val="00D86DEB"/>
    <w:rsid w:val="00D870B2"/>
    <w:rsid w:val="00D879F3"/>
    <w:rsid w:val="00D87E38"/>
    <w:rsid w:val="00D87F80"/>
    <w:rsid w:val="00D90257"/>
    <w:rsid w:val="00D911AD"/>
    <w:rsid w:val="00D91EDF"/>
    <w:rsid w:val="00D94429"/>
    <w:rsid w:val="00D97DD5"/>
    <w:rsid w:val="00DA0303"/>
    <w:rsid w:val="00DA03A0"/>
    <w:rsid w:val="00DA2105"/>
    <w:rsid w:val="00DA4B72"/>
    <w:rsid w:val="00DA5EF4"/>
    <w:rsid w:val="00DA6E4E"/>
    <w:rsid w:val="00DB051E"/>
    <w:rsid w:val="00DB0F89"/>
    <w:rsid w:val="00DB12EE"/>
    <w:rsid w:val="00DB2BC0"/>
    <w:rsid w:val="00DB3864"/>
    <w:rsid w:val="00DB5E9E"/>
    <w:rsid w:val="00DB6A11"/>
    <w:rsid w:val="00DB7B66"/>
    <w:rsid w:val="00DC0096"/>
    <w:rsid w:val="00DC0B40"/>
    <w:rsid w:val="00DC13A3"/>
    <w:rsid w:val="00DC3DC9"/>
    <w:rsid w:val="00DC3E60"/>
    <w:rsid w:val="00DC3FD3"/>
    <w:rsid w:val="00DC4780"/>
    <w:rsid w:val="00DC486A"/>
    <w:rsid w:val="00DC4BEE"/>
    <w:rsid w:val="00DC54F8"/>
    <w:rsid w:val="00DC58F2"/>
    <w:rsid w:val="00DC6ED3"/>
    <w:rsid w:val="00DC7173"/>
    <w:rsid w:val="00DC71E9"/>
    <w:rsid w:val="00DC7441"/>
    <w:rsid w:val="00DC776C"/>
    <w:rsid w:val="00DD0FCF"/>
    <w:rsid w:val="00DD1103"/>
    <w:rsid w:val="00DD271D"/>
    <w:rsid w:val="00DD38E1"/>
    <w:rsid w:val="00DD5555"/>
    <w:rsid w:val="00DD55D8"/>
    <w:rsid w:val="00DD58F4"/>
    <w:rsid w:val="00DD719F"/>
    <w:rsid w:val="00DE1A56"/>
    <w:rsid w:val="00DE46F8"/>
    <w:rsid w:val="00DE496C"/>
    <w:rsid w:val="00DE5DB6"/>
    <w:rsid w:val="00DF0B29"/>
    <w:rsid w:val="00DF1F2C"/>
    <w:rsid w:val="00DF4B1F"/>
    <w:rsid w:val="00DF522F"/>
    <w:rsid w:val="00DF6028"/>
    <w:rsid w:val="00DF606F"/>
    <w:rsid w:val="00DF702D"/>
    <w:rsid w:val="00DF7085"/>
    <w:rsid w:val="00DF7288"/>
    <w:rsid w:val="00DF7E67"/>
    <w:rsid w:val="00E006BD"/>
    <w:rsid w:val="00E01178"/>
    <w:rsid w:val="00E0216F"/>
    <w:rsid w:val="00E02AF6"/>
    <w:rsid w:val="00E03268"/>
    <w:rsid w:val="00E0342F"/>
    <w:rsid w:val="00E04C99"/>
    <w:rsid w:val="00E05532"/>
    <w:rsid w:val="00E05570"/>
    <w:rsid w:val="00E06433"/>
    <w:rsid w:val="00E07E91"/>
    <w:rsid w:val="00E108AA"/>
    <w:rsid w:val="00E11831"/>
    <w:rsid w:val="00E119C1"/>
    <w:rsid w:val="00E13228"/>
    <w:rsid w:val="00E14751"/>
    <w:rsid w:val="00E17D83"/>
    <w:rsid w:val="00E200CD"/>
    <w:rsid w:val="00E21238"/>
    <w:rsid w:val="00E22B20"/>
    <w:rsid w:val="00E22FF2"/>
    <w:rsid w:val="00E239A6"/>
    <w:rsid w:val="00E25EBA"/>
    <w:rsid w:val="00E27A7C"/>
    <w:rsid w:val="00E27B16"/>
    <w:rsid w:val="00E30F35"/>
    <w:rsid w:val="00E32046"/>
    <w:rsid w:val="00E32470"/>
    <w:rsid w:val="00E32961"/>
    <w:rsid w:val="00E340D6"/>
    <w:rsid w:val="00E34130"/>
    <w:rsid w:val="00E34ED3"/>
    <w:rsid w:val="00E350BA"/>
    <w:rsid w:val="00E35980"/>
    <w:rsid w:val="00E36EE8"/>
    <w:rsid w:val="00E4236A"/>
    <w:rsid w:val="00E4239C"/>
    <w:rsid w:val="00E44461"/>
    <w:rsid w:val="00E46035"/>
    <w:rsid w:val="00E46C5A"/>
    <w:rsid w:val="00E47129"/>
    <w:rsid w:val="00E4720E"/>
    <w:rsid w:val="00E50767"/>
    <w:rsid w:val="00E50CD5"/>
    <w:rsid w:val="00E550D7"/>
    <w:rsid w:val="00E551E9"/>
    <w:rsid w:val="00E5539A"/>
    <w:rsid w:val="00E553CC"/>
    <w:rsid w:val="00E569A0"/>
    <w:rsid w:val="00E60BE0"/>
    <w:rsid w:val="00E60D5F"/>
    <w:rsid w:val="00E62B63"/>
    <w:rsid w:val="00E7023F"/>
    <w:rsid w:val="00E7294A"/>
    <w:rsid w:val="00E743A2"/>
    <w:rsid w:val="00E748B3"/>
    <w:rsid w:val="00E757EE"/>
    <w:rsid w:val="00E77C5D"/>
    <w:rsid w:val="00E80B41"/>
    <w:rsid w:val="00E826C5"/>
    <w:rsid w:val="00E8492B"/>
    <w:rsid w:val="00E86373"/>
    <w:rsid w:val="00E87F3C"/>
    <w:rsid w:val="00E907DC"/>
    <w:rsid w:val="00E91A85"/>
    <w:rsid w:val="00E93ACB"/>
    <w:rsid w:val="00E955DF"/>
    <w:rsid w:val="00E95CD1"/>
    <w:rsid w:val="00E96C22"/>
    <w:rsid w:val="00EA03E7"/>
    <w:rsid w:val="00EA0DDE"/>
    <w:rsid w:val="00EA2290"/>
    <w:rsid w:val="00EA478E"/>
    <w:rsid w:val="00EA53BA"/>
    <w:rsid w:val="00EA5FA1"/>
    <w:rsid w:val="00EA6AE4"/>
    <w:rsid w:val="00EA6CE7"/>
    <w:rsid w:val="00EB0BAF"/>
    <w:rsid w:val="00EB0C69"/>
    <w:rsid w:val="00EB13BB"/>
    <w:rsid w:val="00EB21EE"/>
    <w:rsid w:val="00EB29A1"/>
    <w:rsid w:val="00EB318D"/>
    <w:rsid w:val="00EB79B9"/>
    <w:rsid w:val="00EC06BB"/>
    <w:rsid w:val="00EC138F"/>
    <w:rsid w:val="00EC2ADE"/>
    <w:rsid w:val="00EC303D"/>
    <w:rsid w:val="00EC3EE7"/>
    <w:rsid w:val="00EC3F17"/>
    <w:rsid w:val="00EC41FE"/>
    <w:rsid w:val="00EC569D"/>
    <w:rsid w:val="00EC75E9"/>
    <w:rsid w:val="00ED0179"/>
    <w:rsid w:val="00ED044A"/>
    <w:rsid w:val="00ED294E"/>
    <w:rsid w:val="00ED447A"/>
    <w:rsid w:val="00ED46C4"/>
    <w:rsid w:val="00EE0D81"/>
    <w:rsid w:val="00EE19E9"/>
    <w:rsid w:val="00EE1B29"/>
    <w:rsid w:val="00EE2600"/>
    <w:rsid w:val="00EE3F98"/>
    <w:rsid w:val="00EE402A"/>
    <w:rsid w:val="00EE43B3"/>
    <w:rsid w:val="00EE5F48"/>
    <w:rsid w:val="00EF0919"/>
    <w:rsid w:val="00EF4A19"/>
    <w:rsid w:val="00EF6D7B"/>
    <w:rsid w:val="00F02EA3"/>
    <w:rsid w:val="00F03F29"/>
    <w:rsid w:val="00F044AB"/>
    <w:rsid w:val="00F06B53"/>
    <w:rsid w:val="00F1027F"/>
    <w:rsid w:val="00F104F6"/>
    <w:rsid w:val="00F11A80"/>
    <w:rsid w:val="00F11BB5"/>
    <w:rsid w:val="00F12B86"/>
    <w:rsid w:val="00F12E67"/>
    <w:rsid w:val="00F13701"/>
    <w:rsid w:val="00F175B2"/>
    <w:rsid w:val="00F202CB"/>
    <w:rsid w:val="00F20E4B"/>
    <w:rsid w:val="00F22E8C"/>
    <w:rsid w:val="00F2635D"/>
    <w:rsid w:val="00F26926"/>
    <w:rsid w:val="00F33228"/>
    <w:rsid w:val="00F364F7"/>
    <w:rsid w:val="00F408C6"/>
    <w:rsid w:val="00F44025"/>
    <w:rsid w:val="00F44C8A"/>
    <w:rsid w:val="00F45CE7"/>
    <w:rsid w:val="00F45D32"/>
    <w:rsid w:val="00F46A10"/>
    <w:rsid w:val="00F479EE"/>
    <w:rsid w:val="00F503BB"/>
    <w:rsid w:val="00F53839"/>
    <w:rsid w:val="00F54FF5"/>
    <w:rsid w:val="00F55CBD"/>
    <w:rsid w:val="00F57AAF"/>
    <w:rsid w:val="00F60DDF"/>
    <w:rsid w:val="00F611FB"/>
    <w:rsid w:val="00F640E7"/>
    <w:rsid w:val="00F65CEC"/>
    <w:rsid w:val="00F669E5"/>
    <w:rsid w:val="00F66CFB"/>
    <w:rsid w:val="00F6777F"/>
    <w:rsid w:val="00F71BA3"/>
    <w:rsid w:val="00F7248C"/>
    <w:rsid w:val="00F72542"/>
    <w:rsid w:val="00F7299F"/>
    <w:rsid w:val="00F763DF"/>
    <w:rsid w:val="00F775D0"/>
    <w:rsid w:val="00F80BD0"/>
    <w:rsid w:val="00F81AEE"/>
    <w:rsid w:val="00F820D7"/>
    <w:rsid w:val="00F82294"/>
    <w:rsid w:val="00F8244A"/>
    <w:rsid w:val="00F82A0A"/>
    <w:rsid w:val="00F8367F"/>
    <w:rsid w:val="00F83E59"/>
    <w:rsid w:val="00F842F6"/>
    <w:rsid w:val="00F84CFF"/>
    <w:rsid w:val="00F869A8"/>
    <w:rsid w:val="00F87CCD"/>
    <w:rsid w:val="00F90184"/>
    <w:rsid w:val="00F95EE5"/>
    <w:rsid w:val="00FA2CF5"/>
    <w:rsid w:val="00FA5382"/>
    <w:rsid w:val="00FA5F1B"/>
    <w:rsid w:val="00FA713C"/>
    <w:rsid w:val="00FA716F"/>
    <w:rsid w:val="00FA7C3A"/>
    <w:rsid w:val="00FB0FBD"/>
    <w:rsid w:val="00FB2712"/>
    <w:rsid w:val="00FB2811"/>
    <w:rsid w:val="00FB2CC6"/>
    <w:rsid w:val="00FB5591"/>
    <w:rsid w:val="00FB738F"/>
    <w:rsid w:val="00FB758B"/>
    <w:rsid w:val="00FC1BBC"/>
    <w:rsid w:val="00FC27A8"/>
    <w:rsid w:val="00FC28D2"/>
    <w:rsid w:val="00FC648A"/>
    <w:rsid w:val="00FD060A"/>
    <w:rsid w:val="00FD3653"/>
    <w:rsid w:val="00FD3E2E"/>
    <w:rsid w:val="00FD5AE7"/>
    <w:rsid w:val="00FD745A"/>
    <w:rsid w:val="00FE25A4"/>
    <w:rsid w:val="00FE2D93"/>
    <w:rsid w:val="00FE35DF"/>
    <w:rsid w:val="00FE3B00"/>
    <w:rsid w:val="00FE4CA9"/>
    <w:rsid w:val="00FF09FB"/>
    <w:rsid w:val="00FF1BED"/>
    <w:rsid w:val="00FF1C0A"/>
    <w:rsid w:val="00FF25BC"/>
    <w:rsid w:val="00FF3270"/>
    <w:rsid w:val="00FF33D1"/>
    <w:rsid w:val="00FF3401"/>
    <w:rsid w:val="00FF4B5C"/>
    <w:rsid w:val="00FF4D23"/>
    <w:rsid w:val="00FF4E7E"/>
    <w:rsid w:val="00FF4ECA"/>
    <w:rsid w:val="00FF5929"/>
    <w:rsid w:val="00FF5F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CB93C"/>
  <w15:docId w15:val="{AC8695D2-880B-42EB-9244-1863533B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C2075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125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F4B5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outlineLvl w:val="2"/>
    </w:pPr>
    <w:rPr>
      <w:rFonts w:ascii="Times New Roman" w:eastAsia="Times New Roman" w:hAnsi="Times New Roman" w:cs="Times New Roman"/>
      <w:b/>
      <w:bCs/>
      <w:color w:val="auto"/>
      <w:sz w:val="27"/>
      <w:szCs w:val="27"/>
      <w:bdr w:val="none" w:sz="0" w:space="0" w:color="auto"/>
      <w14:textOutline w14:w="0" w14:cap="rnd" w14:cmpd="sng" w14:algn="ctr">
        <w14:noFill/>
        <w14:prstDash w14:val="solid"/>
        <w14:bevel/>
      </w14:textOutline>
    </w:rPr>
  </w:style>
  <w:style w:type="paragraph" w:styleId="Heading4">
    <w:name w:val="heading 4"/>
    <w:basedOn w:val="Normal"/>
    <w:next w:val="Normal"/>
    <w:link w:val="Heading4Char"/>
    <w:uiPriority w:val="9"/>
    <w:semiHidden/>
    <w:unhideWhenUsed/>
    <w:qFormat/>
    <w:rsid w:val="00F611F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link w:val="NoSpacingChar"/>
    <w:uiPriority w:val="1"/>
    <w:qFormat/>
    <w:rPr>
      <w:rFonts w:ascii="Calibri" w:hAnsi="Calibri" w:cs="Arial Unicode MS"/>
      <w:color w:val="000000"/>
      <w:u w:color="000000"/>
    </w:rPr>
  </w:style>
  <w:style w:type="paragraph" w:customStyle="1" w:styleId="HoofdtekstA">
    <w:name w:val="Hoofdtekst A"/>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character" w:customStyle="1" w:styleId="Hyperlink0">
    <w:name w:val="Hyperlink.0"/>
    <w:rPr>
      <w:rFonts w:ascii="Calibri Light" w:hAnsi="Calibri Light"/>
      <w:outline w:val="0"/>
      <w:color w:val="000000"/>
      <w:sz w:val="20"/>
      <w:szCs w:val="20"/>
      <w:u w:color="000000"/>
      <w:lang w:val="en-US"/>
    </w:rPr>
  </w:style>
  <w:style w:type="character" w:customStyle="1" w:styleId="Link">
    <w:name w:val="Link"/>
    <w:rPr>
      <w:outline w:val="0"/>
      <w:color w:val="0563C1"/>
      <w:u w:val="single" w:color="0563C1"/>
    </w:rPr>
  </w:style>
  <w:style w:type="character" w:customStyle="1" w:styleId="Hyperlink1">
    <w:name w:val="Hyperlink.1"/>
    <w:basedOn w:val="Link"/>
    <w:rPr>
      <w:rFonts w:ascii="Calibri Light" w:eastAsia="Calibri Light" w:hAnsi="Calibri Light" w:cs="Calibri Light"/>
      <w:outline w:val="0"/>
      <w:color w:val="0563C1"/>
      <w:sz w:val="20"/>
      <w:szCs w:val="20"/>
      <w:u w:val="single" w:color="0563C1"/>
    </w:rPr>
  </w:style>
  <w:style w:type="paragraph" w:customStyle="1" w:styleId="Hoofdtekst">
    <w:name w:val="Hoofdtekst"/>
    <w:link w:val="HoofdtekstChar"/>
    <w:pPr>
      <w:spacing w:after="120" w:line="264" w:lineRule="auto"/>
    </w:pPr>
    <w:rPr>
      <w:rFonts w:ascii="Calibri" w:eastAsia="Calibri" w:hAnsi="Calibri" w:cs="Calibri"/>
      <w:color w:val="000000"/>
      <w:u w:color="000000"/>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CommentText">
    <w:name w:val="annotation text"/>
    <w:link w:val="CommentTextChar"/>
    <w:uiPriority w:val="99"/>
    <w:pPr>
      <w:spacing w:after="120"/>
    </w:pPr>
    <w:rPr>
      <w:rFonts w:ascii="Calibri" w:eastAsia="Calibri" w:hAnsi="Calibri" w:cs="Calibri"/>
      <w:color w:val="000000"/>
      <w:u w:color="000000"/>
    </w:rPr>
  </w:style>
  <w:style w:type="numbering" w:customStyle="1" w:styleId="Gemporteerdestijl1">
    <w:name w:val="Geïmporteerde stijl 1"/>
    <w:pPr>
      <w:numPr>
        <w:numId w:val="1"/>
      </w:numPr>
    </w:pPr>
  </w:style>
  <w:style w:type="character" w:customStyle="1" w:styleId="Geen">
    <w:name w:val="Geen"/>
  </w:style>
  <w:style w:type="character" w:customStyle="1" w:styleId="Hyperlink2">
    <w:name w:val="Hyperlink.2"/>
    <w:basedOn w:val="Geen"/>
    <w:rPr>
      <w:rFonts w:ascii="Calibri" w:eastAsia="Calibri" w:hAnsi="Calibri" w:cs="Calibri"/>
      <w:i/>
      <w:iCs/>
      <w:sz w:val="18"/>
      <w:szCs w:val="18"/>
    </w:rPr>
  </w:style>
  <w:style w:type="paragraph" w:customStyle="1" w:styleId="EndNoteBibliography">
    <w:name w:val="EndNote Bibliography"/>
    <w:pPr>
      <w:spacing w:after="120"/>
    </w:pPr>
    <w:rPr>
      <w:rFonts w:ascii="Helvetica Neue" w:eastAsia="Calibri" w:hAnsi="Helvetica Neue" w:cs="Calibri"/>
      <w:color w:val="000000"/>
      <w:sz w:val="24"/>
      <w:u w:color="000000"/>
    </w:rPr>
  </w:style>
  <w:style w:type="character" w:customStyle="1" w:styleId="Hyperlink3">
    <w:name w:val="Hyperlink.3"/>
    <w:basedOn w:val="Link"/>
    <w:rPr>
      <w:rFonts w:ascii="Calibri" w:eastAsia="Calibri" w:hAnsi="Calibri" w:cs="Calibri"/>
      <w:i/>
      <w:iCs/>
      <w:outline w:val="0"/>
      <w:color w:val="0563C1"/>
      <w:sz w:val="18"/>
      <w:szCs w:val="18"/>
      <w:u w:val="single" w:color="0563C1"/>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E632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2D"/>
    <w:rPr>
      <w:rFonts w:ascii="Segoe UI" w:hAnsi="Segoe UI" w:cs="Segoe UI"/>
      <w:color w:val="000000"/>
      <w:sz w:val="18"/>
      <w:szCs w:val="18"/>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503AC0"/>
    <w:pPr>
      <w:spacing w:before="160" w:after="0"/>
    </w:pPr>
    <w:rPr>
      <w:rFonts w:ascii="Helvetica Neue" w:eastAsia="Arial Unicode MS" w:hAnsi="Helvetica Neue" w:cs="Arial Unicode MS"/>
      <w:b/>
      <w:bCs/>
      <w14:textOutline w14:w="0" w14:cap="flat" w14:cmpd="sng" w14:algn="ctr">
        <w14:noFill/>
        <w14:prstDash w14:val="solid"/>
        <w14:bevel/>
      </w14:textOutline>
    </w:rPr>
  </w:style>
  <w:style w:type="character" w:customStyle="1" w:styleId="CommentTextChar">
    <w:name w:val="Comment Text Char"/>
    <w:basedOn w:val="DefaultParagraphFont"/>
    <w:link w:val="CommentText"/>
    <w:uiPriority w:val="99"/>
    <w:rsid w:val="00503AC0"/>
    <w:rPr>
      <w:rFonts w:ascii="Calibri" w:eastAsia="Calibri" w:hAnsi="Calibri" w:cs="Calibri"/>
      <w:color w:val="000000"/>
      <w:u w:color="000000"/>
    </w:rPr>
  </w:style>
  <w:style w:type="character" w:customStyle="1" w:styleId="CommentSubjectChar">
    <w:name w:val="Comment Subject Char"/>
    <w:basedOn w:val="CommentTextChar"/>
    <w:link w:val="CommentSubject"/>
    <w:uiPriority w:val="99"/>
    <w:semiHidden/>
    <w:rsid w:val="00503AC0"/>
    <w:rPr>
      <w:rFonts w:ascii="Helvetica Neue" w:eastAsia="Calibri" w:hAnsi="Helvetica Neue" w:cs="Arial Unicode MS"/>
      <w:b/>
      <w:bCs/>
      <w:color w:val="000000"/>
      <w:u w:color="000000"/>
      <w14:textOutline w14:w="0" w14:cap="flat" w14:cmpd="sng" w14:algn="ctr">
        <w14:noFill/>
        <w14:prstDash w14:val="solid"/>
        <w14:bevel/>
      </w14:textOutline>
    </w:rPr>
  </w:style>
  <w:style w:type="paragraph" w:styleId="Revision">
    <w:name w:val="Revision"/>
    <w:hidden/>
    <w:uiPriority w:val="99"/>
    <w:semiHidden/>
    <w:rsid w:val="00070781"/>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eading3Char">
    <w:name w:val="Heading 3 Char"/>
    <w:basedOn w:val="DefaultParagraphFont"/>
    <w:link w:val="Heading3"/>
    <w:uiPriority w:val="9"/>
    <w:rsid w:val="00FF4B5C"/>
    <w:rPr>
      <w:rFonts w:eastAsia="Times New Roman"/>
      <w:b/>
      <w:bCs/>
      <w:sz w:val="27"/>
      <w:szCs w:val="27"/>
      <w:bdr w:val="none" w:sz="0" w:space="0" w:color="auto"/>
    </w:rPr>
  </w:style>
  <w:style w:type="character" w:customStyle="1" w:styleId="NoSpacingChar">
    <w:name w:val="No Spacing Char"/>
    <w:basedOn w:val="DefaultParagraphFont"/>
    <w:link w:val="NoSpacing"/>
    <w:uiPriority w:val="1"/>
    <w:rsid w:val="00657EC7"/>
    <w:rPr>
      <w:rFonts w:ascii="Calibri" w:hAnsi="Calibri" w:cs="Arial Unicode MS"/>
      <w:color w:val="000000"/>
      <w:u w:color="000000"/>
    </w:rPr>
  </w:style>
  <w:style w:type="paragraph" w:styleId="ListParagraph">
    <w:name w:val="List Paragraph"/>
    <w:basedOn w:val="Normal"/>
    <w:qFormat/>
    <w:rsid w:val="00BC784B"/>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4" w:lineRule="auto"/>
      <w:ind w:left="720"/>
      <w:contextualSpacing/>
    </w:pPr>
    <w:rPr>
      <w:rFonts w:asciiTheme="minorHAnsi" w:eastAsiaTheme="minorHAnsi" w:hAnsiTheme="minorHAnsi" w:cstheme="minorBidi"/>
      <w:color w:val="auto"/>
      <w:sz w:val="22"/>
      <w:szCs w:val="22"/>
      <w:bdr w:val="none" w:sz="0" w:space="0" w:color="auto"/>
      <w:lang w:eastAsia="en-US"/>
      <w14:textOutline w14:w="0" w14:cap="rnd" w14:cmpd="sng" w14:algn="ctr">
        <w14:noFill/>
        <w14:prstDash w14:val="solid"/>
        <w14:bevel/>
      </w14:textOutline>
    </w:rPr>
  </w:style>
  <w:style w:type="character" w:customStyle="1" w:styleId="Heading2Char">
    <w:name w:val="Heading 2 Char"/>
    <w:basedOn w:val="DefaultParagraphFont"/>
    <w:link w:val="Heading2"/>
    <w:uiPriority w:val="9"/>
    <w:semiHidden/>
    <w:rsid w:val="002125D8"/>
    <w:rPr>
      <w:rFonts w:asciiTheme="majorHAnsi" w:eastAsiaTheme="majorEastAsia" w:hAnsiTheme="majorHAnsi" w:cstheme="majorBidi"/>
      <w:color w:val="2E74B5" w:themeColor="accent1" w:themeShade="BF"/>
      <w:sz w:val="26"/>
      <w:szCs w:val="26"/>
      <w14:textOutline w14:w="0" w14:cap="flat" w14:cmpd="sng" w14:algn="ctr">
        <w14:noFill/>
        <w14:prstDash w14:val="solid"/>
        <w14:bevel/>
      </w14:textOutline>
    </w:rPr>
  </w:style>
  <w:style w:type="character" w:styleId="LineNumber">
    <w:name w:val="line number"/>
    <w:basedOn w:val="DefaultParagraphFont"/>
    <w:uiPriority w:val="99"/>
    <w:semiHidden/>
    <w:unhideWhenUsed/>
    <w:rsid w:val="002125D8"/>
  </w:style>
  <w:style w:type="paragraph" w:customStyle="1" w:styleId="EndNoteBibliographyTitle">
    <w:name w:val="EndNote Bibliography Title"/>
    <w:basedOn w:val="Normal"/>
    <w:link w:val="EndNoteBibliographyTitleChar"/>
    <w:rsid w:val="00093C48"/>
    <w:pPr>
      <w:jc w:val="center"/>
    </w:pPr>
    <w:rPr>
      <w:noProof/>
    </w:rPr>
  </w:style>
  <w:style w:type="character" w:customStyle="1" w:styleId="EndNoteBibliographyTitleChar">
    <w:name w:val="EndNote Bibliography Title Char"/>
    <w:basedOn w:val="NoSpacingChar"/>
    <w:link w:val="EndNoteBibliographyTitle"/>
    <w:rsid w:val="00093C48"/>
    <w:rPr>
      <w:rFonts w:ascii="Helvetica Neue" w:hAnsi="Helvetica Neue" w:cs="Arial Unicode MS"/>
      <w:noProof/>
      <w:color w:val="000000"/>
      <w:sz w:val="24"/>
      <w:szCs w:val="24"/>
      <w:u w:color="000000"/>
      <w14:textOutline w14:w="0" w14:cap="flat" w14:cmpd="sng" w14:algn="ctr">
        <w14:noFill/>
        <w14:prstDash w14:val="solid"/>
        <w14:bevel/>
      </w14:textOutline>
    </w:rPr>
  </w:style>
  <w:style w:type="table" w:styleId="TableGrid">
    <w:name w:val="Table Grid"/>
    <w:basedOn w:val="TableNormal"/>
    <w:uiPriority w:val="39"/>
    <w:rsid w:val="00796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B5910"/>
    <w:rPr>
      <w:color w:val="FF00FF" w:themeColor="followedHyperlink"/>
      <w:u w:val="single"/>
    </w:rPr>
  </w:style>
  <w:style w:type="paragraph" w:styleId="HTMLPreformatted">
    <w:name w:val="HTML Preformatted"/>
    <w:basedOn w:val="Normal"/>
    <w:link w:val="HTMLPreformattedChar"/>
    <w:uiPriority w:val="99"/>
    <w:semiHidden/>
    <w:unhideWhenUsed/>
    <w:rsid w:val="00CB517F"/>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z w:val="20"/>
      <w:szCs w:val="20"/>
      <w:bdr w:val="none" w:sz="0" w:space="0" w:color="auto"/>
      <w14:textOutline w14:w="0" w14:cap="rnd" w14:cmpd="sng" w14:algn="ctr">
        <w14:noFill/>
        <w14:prstDash w14:val="solid"/>
        <w14:bevel/>
      </w14:textOutline>
    </w:rPr>
  </w:style>
  <w:style w:type="character" w:customStyle="1" w:styleId="HTMLPreformattedChar">
    <w:name w:val="HTML Preformatted Char"/>
    <w:basedOn w:val="DefaultParagraphFont"/>
    <w:link w:val="HTMLPreformatted"/>
    <w:uiPriority w:val="99"/>
    <w:semiHidden/>
    <w:rsid w:val="00CB517F"/>
    <w:rPr>
      <w:rFonts w:ascii="Courier New" w:eastAsia="Times New Roman" w:hAnsi="Courier New" w:cs="Courier New"/>
      <w:bdr w:val="none" w:sz="0" w:space="0" w:color="auto"/>
    </w:rPr>
  </w:style>
  <w:style w:type="character" w:customStyle="1" w:styleId="y2iqfc">
    <w:name w:val="y2iqfc"/>
    <w:basedOn w:val="DefaultParagraphFont"/>
    <w:rsid w:val="00CB517F"/>
  </w:style>
  <w:style w:type="character" w:customStyle="1" w:styleId="HoofdtekstChar">
    <w:name w:val="Hoofdtekst Char"/>
    <w:basedOn w:val="DefaultParagraphFont"/>
    <w:link w:val="Hoofdtekst"/>
    <w:rsid w:val="002037B3"/>
    <w:rPr>
      <w:rFonts w:ascii="Calibri" w:eastAsia="Calibri" w:hAnsi="Calibri" w:cs="Calibri"/>
      <w:color w:val="000000"/>
      <w:u w:color="000000"/>
      <w14:textOutline w14:w="0" w14:cap="flat" w14:cmpd="sng" w14:algn="ctr">
        <w14:noFill/>
        <w14:prstDash w14:val="solid"/>
        <w14:bevel/>
      </w14:textOutline>
    </w:rPr>
  </w:style>
  <w:style w:type="character" w:styleId="Emphasis">
    <w:name w:val="Emphasis"/>
    <w:basedOn w:val="DefaultParagraphFont"/>
    <w:uiPriority w:val="20"/>
    <w:qFormat/>
    <w:rsid w:val="002037B3"/>
    <w:rPr>
      <w:i/>
      <w:iCs/>
    </w:rPr>
  </w:style>
  <w:style w:type="character" w:customStyle="1" w:styleId="Heading1Char">
    <w:name w:val="Heading 1 Char"/>
    <w:basedOn w:val="DefaultParagraphFont"/>
    <w:link w:val="Heading1"/>
    <w:uiPriority w:val="9"/>
    <w:rsid w:val="00C20753"/>
    <w:rPr>
      <w:rFonts w:asciiTheme="majorHAnsi" w:eastAsiaTheme="majorEastAsia" w:hAnsiTheme="majorHAnsi" w:cstheme="majorBidi"/>
      <w:color w:val="2E74B5" w:themeColor="accent1" w:themeShade="BF"/>
      <w:sz w:val="32"/>
      <w:szCs w:val="32"/>
      <w14:textOutline w14:w="0" w14:cap="flat" w14:cmpd="sng" w14:algn="ctr">
        <w14:noFill/>
        <w14:prstDash w14:val="solid"/>
        <w14:bevel/>
      </w14:textOutline>
    </w:rPr>
  </w:style>
  <w:style w:type="paragraph" w:styleId="Footer">
    <w:name w:val="footer"/>
    <w:basedOn w:val="Normal"/>
    <w:link w:val="FooterChar"/>
    <w:uiPriority w:val="99"/>
    <w:unhideWhenUsed/>
    <w:rsid w:val="00847A95"/>
    <w:pPr>
      <w:tabs>
        <w:tab w:val="center" w:pos="4536"/>
        <w:tab w:val="right" w:pos="9072"/>
      </w:tabs>
      <w:spacing w:before="0" w:line="240" w:lineRule="auto"/>
    </w:pPr>
  </w:style>
  <w:style w:type="character" w:customStyle="1" w:styleId="FooterChar">
    <w:name w:val="Footer Char"/>
    <w:basedOn w:val="DefaultParagraphFont"/>
    <w:link w:val="Footer"/>
    <w:uiPriority w:val="99"/>
    <w:rsid w:val="00847A95"/>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pple-converted-space">
    <w:name w:val="apple-converted-space"/>
    <w:basedOn w:val="DefaultParagraphFont"/>
    <w:rsid w:val="00F104F6"/>
  </w:style>
  <w:style w:type="character" w:customStyle="1" w:styleId="Heading4Char">
    <w:name w:val="Heading 4 Char"/>
    <w:basedOn w:val="DefaultParagraphFont"/>
    <w:link w:val="Heading4"/>
    <w:uiPriority w:val="9"/>
    <w:semiHidden/>
    <w:rsid w:val="00F611FB"/>
    <w:rPr>
      <w:rFonts w:asciiTheme="majorHAnsi" w:eastAsiaTheme="majorEastAsia" w:hAnsiTheme="majorHAnsi" w:cstheme="majorBidi"/>
      <w:i/>
      <w:iCs/>
      <w:color w:val="2E74B5" w:themeColor="accent1" w:themeShade="BF"/>
      <w:sz w:val="24"/>
      <w:szCs w:val="24"/>
      <w14:textOutline w14:w="0" w14:cap="flat" w14:cmpd="sng" w14:algn="ctr">
        <w14:noFill/>
        <w14:prstDash w14:val="solid"/>
        <w14:bevel/>
      </w14:textOutline>
    </w:rPr>
  </w:style>
  <w:style w:type="table" w:customStyle="1" w:styleId="TableNormal11">
    <w:name w:val="Table Normal11"/>
    <w:rsid w:val="001366E4"/>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rPr>
    <w:tblPr>
      <w:tblCellMar>
        <w:top w:w="0" w:type="dxa"/>
        <w:left w:w="0" w:type="dxa"/>
        <w:bottom w:w="0" w:type="dxa"/>
        <w:right w:w="0" w:type="dxa"/>
      </w:tblCellMar>
    </w:tblPr>
  </w:style>
  <w:style w:type="character" w:customStyle="1" w:styleId="Onopgelostemelding1">
    <w:name w:val="Onopgeloste melding1"/>
    <w:basedOn w:val="DefaultParagraphFont"/>
    <w:uiPriority w:val="99"/>
    <w:semiHidden/>
    <w:unhideWhenUsed/>
    <w:rsid w:val="00B17EFF"/>
    <w:rPr>
      <w:color w:val="605E5C"/>
      <w:shd w:val="clear" w:color="auto" w:fill="E1DFDD"/>
    </w:rPr>
  </w:style>
  <w:style w:type="paragraph" w:styleId="Header">
    <w:name w:val="header"/>
    <w:basedOn w:val="Normal"/>
    <w:link w:val="HeaderChar"/>
    <w:uiPriority w:val="99"/>
    <w:unhideWhenUsed/>
    <w:rsid w:val="00B17EFF"/>
    <w:pPr>
      <w:tabs>
        <w:tab w:val="center" w:pos="4536"/>
        <w:tab w:val="right" w:pos="9072"/>
      </w:tabs>
      <w:spacing w:before="0" w:line="240" w:lineRule="auto"/>
    </w:pPr>
  </w:style>
  <w:style w:type="character" w:customStyle="1" w:styleId="HeaderChar">
    <w:name w:val="Header Char"/>
    <w:basedOn w:val="DefaultParagraphFont"/>
    <w:link w:val="Header"/>
    <w:uiPriority w:val="99"/>
    <w:rsid w:val="00B17EFF"/>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cf01">
    <w:name w:val="cf01"/>
    <w:basedOn w:val="DefaultParagraphFont"/>
    <w:rsid w:val="005443E4"/>
    <w:rPr>
      <w:rFonts w:ascii="Segoe UI" w:hAnsi="Segoe UI" w:cs="Segoe UI" w:hint="default"/>
      <w:sz w:val="18"/>
      <w:szCs w:val="18"/>
      <w:shd w:val="clear" w:color="auto" w:fill="00FFFF"/>
    </w:rPr>
  </w:style>
  <w:style w:type="paragraph" w:customStyle="1" w:styleId="pf0">
    <w:name w:val="pf0"/>
    <w:basedOn w:val="Normal"/>
    <w:rsid w:val="000E364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bdr w:val="none" w:sz="0" w:space="0" w:color="auto"/>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FF33D1"/>
    <w:rPr>
      <w:color w:val="605E5C"/>
      <w:shd w:val="clear" w:color="auto" w:fill="E1DFDD"/>
    </w:rPr>
  </w:style>
  <w:style w:type="character" w:styleId="Strong">
    <w:name w:val="Strong"/>
    <w:basedOn w:val="DefaultParagraphFont"/>
    <w:uiPriority w:val="22"/>
    <w:qFormat/>
    <w:rsid w:val="0051006D"/>
    <w:rPr>
      <w:b/>
      <w:bCs/>
    </w:rPr>
  </w:style>
  <w:style w:type="character" w:customStyle="1" w:styleId="katex-mathml">
    <w:name w:val="katex-mathml"/>
    <w:basedOn w:val="DefaultParagraphFont"/>
    <w:rsid w:val="0058136E"/>
  </w:style>
  <w:style w:type="character" w:customStyle="1" w:styleId="mord">
    <w:name w:val="mord"/>
    <w:basedOn w:val="DefaultParagraphFont"/>
    <w:rsid w:val="0058136E"/>
  </w:style>
  <w:style w:type="character" w:customStyle="1" w:styleId="mpunct">
    <w:name w:val="mpunct"/>
    <w:basedOn w:val="DefaultParagraphFont"/>
    <w:rsid w:val="00581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123">
      <w:bodyDiv w:val="1"/>
      <w:marLeft w:val="0"/>
      <w:marRight w:val="0"/>
      <w:marTop w:val="0"/>
      <w:marBottom w:val="0"/>
      <w:divBdr>
        <w:top w:val="none" w:sz="0" w:space="0" w:color="auto"/>
        <w:left w:val="none" w:sz="0" w:space="0" w:color="auto"/>
        <w:bottom w:val="none" w:sz="0" w:space="0" w:color="auto"/>
        <w:right w:val="none" w:sz="0" w:space="0" w:color="auto"/>
      </w:divBdr>
    </w:div>
    <w:div w:id="90782702">
      <w:bodyDiv w:val="1"/>
      <w:marLeft w:val="0"/>
      <w:marRight w:val="0"/>
      <w:marTop w:val="0"/>
      <w:marBottom w:val="0"/>
      <w:divBdr>
        <w:top w:val="none" w:sz="0" w:space="0" w:color="auto"/>
        <w:left w:val="none" w:sz="0" w:space="0" w:color="auto"/>
        <w:bottom w:val="none" w:sz="0" w:space="0" w:color="auto"/>
        <w:right w:val="none" w:sz="0" w:space="0" w:color="auto"/>
      </w:divBdr>
    </w:div>
    <w:div w:id="98259922">
      <w:bodyDiv w:val="1"/>
      <w:marLeft w:val="0"/>
      <w:marRight w:val="0"/>
      <w:marTop w:val="0"/>
      <w:marBottom w:val="0"/>
      <w:divBdr>
        <w:top w:val="none" w:sz="0" w:space="0" w:color="auto"/>
        <w:left w:val="none" w:sz="0" w:space="0" w:color="auto"/>
        <w:bottom w:val="none" w:sz="0" w:space="0" w:color="auto"/>
        <w:right w:val="none" w:sz="0" w:space="0" w:color="auto"/>
      </w:divBdr>
    </w:div>
    <w:div w:id="224532252">
      <w:bodyDiv w:val="1"/>
      <w:marLeft w:val="0"/>
      <w:marRight w:val="0"/>
      <w:marTop w:val="0"/>
      <w:marBottom w:val="0"/>
      <w:divBdr>
        <w:top w:val="none" w:sz="0" w:space="0" w:color="auto"/>
        <w:left w:val="none" w:sz="0" w:space="0" w:color="auto"/>
        <w:bottom w:val="none" w:sz="0" w:space="0" w:color="auto"/>
        <w:right w:val="none" w:sz="0" w:space="0" w:color="auto"/>
      </w:divBdr>
      <w:divsChild>
        <w:div w:id="1120496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200919">
      <w:bodyDiv w:val="1"/>
      <w:marLeft w:val="0"/>
      <w:marRight w:val="0"/>
      <w:marTop w:val="0"/>
      <w:marBottom w:val="0"/>
      <w:divBdr>
        <w:top w:val="none" w:sz="0" w:space="0" w:color="auto"/>
        <w:left w:val="none" w:sz="0" w:space="0" w:color="auto"/>
        <w:bottom w:val="none" w:sz="0" w:space="0" w:color="auto"/>
        <w:right w:val="none" w:sz="0" w:space="0" w:color="auto"/>
      </w:divBdr>
    </w:div>
    <w:div w:id="310908863">
      <w:bodyDiv w:val="1"/>
      <w:marLeft w:val="0"/>
      <w:marRight w:val="0"/>
      <w:marTop w:val="0"/>
      <w:marBottom w:val="0"/>
      <w:divBdr>
        <w:top w:val="none" w:sz="0" w:space="0" w:color="auto"/>
        <w:left w:val="none" w:sz="0" w:space="0" w:color="auto"/>
        <w:bottom w:val="none" w:sz="0" w:space="0" w:color="auto"/>
        <w:right w:val="none" w:sz="0" w:space="0" w:color="auto"/>
      </w:divBdr>
    </w:div>
    <w:div w:id="348145423">
      <w:bodyDiv w:val="1"/>
      <w:marLeft w:val="0"/>
      <w:marRight w:val="0"/>
      <w:marTop w:val="0"/>
      <w:marBottom w:val="0"/>
      <w:divBdr>
        <w:top w:val="none" w:sz="0" w:space="0" w:color="auto"/>
        <w:left w:val="none" w:sz="0" w:space="0" w:color="auto"/>
        <w:bottom w:val="none" w:sz="0" w:space="0" w:color="auto"/>
        <w:right w:val="none" w:sz="0" w:space="0" w:color="auto"/>
      </w:divBdr>
      <w:divsChild>
        <w:div w:id="2046328464">
          <w:marLeft w:val="0"/>
          <w:marRight w:val="0"/>
          <w:marTop w:val="0"/>
          <w:marBottom w:val="0"/>
          <w:divBdr>
            <w:top w:val="single" w:sz="2" w:space="0" w:color="auto"/>
            <w:left w:val="single" w:sz="2" w:space="0" w:color="auto"/>
            <w:bottom w:val="single" w:sz="6" w:space="0" w:color="auto"/>
            <w:right w:val="single" w:sz="2" w:space="0" w:color="auto"/>
          </w:divBdr>
          <w:divsChild>
            <w:div w:id="95571478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9189897">
                  <w:marLeft w:val="0"/>
                  <w:marRight w:val="0"/>
                  <w:marTop w:val="0"/>
                  <w:marBottom w:val="0"/>
                  <w:divBdr>
                    <w:top w:val="single" w:sz="2" w:space="0" w:color="D9D9E3"/>
                    <w:left w:val="single" w:sz="2" w:space="0" w:color="D9D9E3"/>
                    <w:bottom w:val="single" w:sz="2" w:space="0" w:color="D9D9E3"/>
                    <w:right w:val="single" w:sz="2" w:space="0" w:color="D9D9E3"/>
                  </w:divBdr>
                  <w:divsChild>
                    <w:div w:id="105391669">
                      <w:marLeft w:val="0"/>
                      <w:marRight w:val="0"/>
                      <w:marTop w:val="0"/>
                      <w:marBottom w:val="0"/>
                      <w:divBdr>
                        <w:top w:val="single" w:sz="2" w:space="0" w:color="D9D9E3"/>
                        <w:left w:val="single" w:sz="2" w:space="0" w:color="D9D9E3"/>
                        <w:bottom w:val="single" w:sz="2" w:space="0" w:color="D9D9E3"/>
                        <w:right w:val="single" w:sz="2" w:space="0" w:color="D9D9E3"/>
                      </w:divBdr>
                      <w:divsChild>
                        <w:div w:id="212085550">
                          <w:marLeft w:val="0"/>
                          <w:marRight w:val="0"/>
                          <w:marTop w:val="0"/>
                          <w:marBottom w:val="0"/>
                          <w:divBdr>
                            <w:top w:val="single" w:sz="2" w:space="0" w:color="D9D9E3"/>
                            <w:left w:val="single" w:sz="2" w:space="0" w:color="D9D9E3"/>
                            <w:bottom w:val="single" w:sz="2" w:space="0" w:color="D9D9E3"/>
                            <w:right w:val="single" w:sz="2" w:space="0" w:color="D9D9E3"/>
                          </w:divBdr>
                          <w:divsChild>
                            <w:div w:id="12203588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6542774">
      <w:bodyDiv w:val="1"/>
      <w:marLeft w:val="0"/>
      <w:marRight w:val="0"/>
      <w:marTop w:val="0"/>
      <w:marBottom w:val="0"/>
      <w:divBdr>
        <w:top w:val="none" w:sz="0" w:space="0" w:color="auto"/>
        <w:left w:val="none" w:sz="0" w:space="0" w:color="auto"/>
        <w:bottom w:val="none" w:sz="0" w:space="0" w:color="auto"/>
        <w:right w:val="none" w:sz="0" w:space="0" w:color="auto"/>
      </w:divBdr>
    </w:div>
    <w:div w:id="387531860">
      <w:bodyDiv w:val="1"/>
      <w:marLeft w:val="0"/>
      <w:marRight w:val="0"/>
      <w:marTop w:val="0"/>
      <w:marBottom w:val="0"/>
      <w:divBdr>
        <w:top w:val="none" w:sz="0" w:space="0" w:color="auto"/>
        <w:left w:val="none" w:sz="0" w:space="0" w:color="auto"/>
        <w:bottom w:val="none" w:sz="0" w:space="0" w:color="auto"/>
        <w:right w:val="none" w:sz="0" w:space="0" w:color="auto"/>
      </w:divBdr>
    </w:div>
    <w:div w:id="423503253">
      <w:bodyDiv w:val="1"/>
      <w:marLeft w:val="0"/>
      <w:marRight w:val="0"/>
      <w:marTop w:val="0"/>
      <w:marBottom w:val="0"/>
      <w:divBdr>
        <w:top w:val="none" w:sz="0" w:space="0" w:color="auto"/>
        <w:left w:val="none" w:sz="0" w:space="0" w:color="auto"/>
        <w:bottom w:val="none" w:sz="0" w:space="0" w:color="auto"/>
        <w:right w:val="none" w:sz="0" w:space="0" w:color="auto"/>
      </w:divBdr>
      <w:divsChild>
        <w:div w:id="197159212">
          <w:marLeft w:val="0"/>
          <w:marRight w:val="0"/>
          <w:marTop w:val="0"/>
          <w:marBottom w:val="0"/>
          <w:divBdr>
            <w:top w:val="none" w:sz="0" w:space="0" w:color="auto"/>
            <w:left w:val="none" w:sz="0" w:space="0" w:color="auto"/>
            <w:bottom w:val="none" w:sz="0" w:space="0" w:color="auto"/>
            <w:right w:val="none" w:sz="0" w:space="0" w:color="auto"/>
          </w:divBdr>
        </w:div>
        <w:div w:id="1098793639">
          <w:marLeft w:val="0"/>
          <w:marRight w:val="0"/>
          <w:marTop w:val="0"/>
          <w:marBottom w:val="0"/>
          <w:divBdr>
            <w:top w:val="none" w:sz="0" w:space="0" w:color="auto"/>
            <w:left w:val="none" w:sz="0" w:space="0" w:color="auto"/>
            <w:bottom w:val="none" w:sz="0" w:space="0" w:color="auto"/>
            <w:right w:val="none" w:sz="0" w:space="0" w:color="auto"/>
          </w:divBdr>
          <w:divsChild>
            <w:div w:id="1088161856">
              <w:marLeft w:val="0"/>
              <w:marRight w:val="165"/>
              <w:marTop w:val="150"/>
              <w:marBottom w:val="0"/>
              <w:divBdr>
                <w:top w:val="none" w:sz="0" w:space="0" w:color="auto"/>
                <w:left w:val="none" w:sz="0" w:space="0" w:color="auto"/>
                <w:bottom w:val="none" w:sz="0" w:space="0" w:color="auto"/>
                <w:right w:val="none" w:sz="0" w:space="0" w:color="auto"/>
              </w:divBdr>
              <w:divsChild>
                <w:div w:id="363099760">
                  <w:marLeft w:val="0"/>
                  <w:marRight w:val="0"/>
                  <w:marTop w:val="0"/>
                  <w:marBottom w:val="0"/>
                  <w:divBdr>
                    <w:top w:val="none" w:sz="0" w:space="0" w:color="auto"/>
                    <w:left w:val="none" w:sz="0" w:space="0" w:color="auto"/>
                    <w:bottom w:val="none" w:sz="0" w:space="0" w:color="auto"/>
                    <w:right w:val="none" w:sz="0" w:space="0" w:color="auto"/>
                  </w:divBdr>
                  <w:divsChild>
                    <w:div w:id="15060461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454213">
      <w:bodyDiv w:val="1"/>
      <w:marLeft w:val="0"/>
      <w:marRight w:val="0"/>
      <w:marTop w:val="0"/>
      <w:marBottom w:val="0"/>
      <w:divBdr>
        <w:top w:val="none" w:sz="0" w:space="0" w:color="auto"/>
        <w:left w:val="none" w:sz="0" w:space="0" w:color="auto"/>
        <w:bottom w:val="none" w:sz="0" w:space="0" w:color="auto"/>
        <w:right w:val="none" w:sz="0" w:space="0" w:color="auto"/>
      </w:divBdr>
    </w:div>
    <w:div w:id="459614042">
      <w:bodyDiv w:val="1"/>
      <w:marLeft w:val="0"/>
      <w:marRight w:val="0"/>
      <w:marTop w:val="0"/>
      <w:marBottom w:val="0"/>
      <w:divBdr>
        <w:top w:val="none" w:sz="0" w:space="0" w:color="auto"/>
        <w:left w:val="none" w:sz="0" w:space="0" w:color="auto"/>
        <w:bottom w:val="none" w:sz="0" w:space="0" w:color="auto"/>
        <w:right w:val="none" w:sz="0" w:space="0" w:color="auto"/>
      </w:divBdr>
    </w:div>
    <w:div w:id="495002469">
      <w:bodyDiv w:val="1"/>
      <w:marLeft w:val="0"/>
      <w:marRight w:val="0"/>
      <w:marTop w:val="0"/>
      <w:marBottom w:val="0"/>
      <w:divBdr>
        <w:top w:val="none" w:sz="0" w:space="0" w:color="auto"/>
        <w:left w:val="none" w:sz="0" w:space="0" w:color="auto"/>
        <w:bottom w:val="none" w:sz="0" w:space="0" w:color="auto"/>
        <w:right w:val="none" w:sz="0" w:space="0" w:color="auto"/>
      </w:divBdr>
    </w:div>
    <w:div w:id="513885423">
      <w:bodyDiv w:val="1"/>
      <w:marLeft w:val="0"/>
      <w:marRight w:val="0"/>
      <w:marTop w:val="0"/>
      <w:marBottom w:val="0"/>
      <w:divBdr>
        <w:top w:val="none" w:sz="0" w:space="0" w:color="auto"/>
        <w:left w:val="none" w:sz="0" w:space="0" w:color="auto"/>
        <w:bottom w:val="none" w:sz="0" w:space="0" w:color="auto"/>
        <w:right w:val="none" w:sz="0" w:space="0" w:color="auto"/>
      </w:divBdr>
    </w:div>
    <w:div w:id="516117748">
      <w:bodyDiv w:val="1"/>
      <w:marLeft w:val="0"/>
      <w:marRight w:val="0"/>
      <w:marTop w:val="0"/>
      <w:marBottom w:val="0"/>
      <w:divBdr>
        <w:top w:val="none" w:sz="0" w:space="0" w:color="auto"/>
        <w:left w:val="none" w:sz="0" w:space="0" w:color="auto"/>
        <w:bottom w:val="none" w:sz="0" w:space="0" w:color="auto"/>
        <w:right w:val="none" w:sz="0" w:space="0" w:color="auto"/>
      </w:divBdr>
    </w:div>
    <w:div w:id="517934500">
      <w:bodyDiv w:val="1"/>
      <w:marLeft w:val="0"/>
      <w:marRight w:val="0"/>
      <w:marTop w:val="0"/>
      <w:marBottom w:val="0"/>
      <w:divBdr>
        <w:top w:val="none" w:sz="0" w:space="0" w:color="auto"/>
        <w:left w:val="none" w:sz="0" w:space="0" w:color="auto"/>
        <w:bottom w:val="none" w:sz="0" w:space="0" w:color="auto"/>
        <w:right w:val="none" w:sz="0" w:space="0" w:color="auto"/>
      </w:divBdr>
    </w:div>
    <w:div w:id="520241050">
      <w:bodyDiv w:val="1"/>
      <w:marLeft w:val="0"/>
      <w:marRight w:val="0"/>
      <w:marTop w:val="0"/>
      <w:marBottom w:val="0"/>
      <w:divBdr>
        <w:top w:val="none" w:sz="0" w:space="0" w:color="auto"/>
        <w:left w:val="none" w:sz="0" w:space="0" w:color="auto"/>
        <w:bottom w:val="none" w:sz="0" w:space="0" w:color="auto"/>
        <w:right w:val="none" w:sz="0" w:space="0" w:color="auto"/>
      </w:divBdr>
    </w:div>
    <w:div w:id="531070419">
      <w:bodyDiv w:val="1"/>
      <w:marLeft w:val="0"/>
      <w:marRight w:val="0"/>
      <w:marTop w:val="0"/>
      <w:marBottom w:val="0"/>
      <w:divBdr>
        <w:top w:val="none" w:sz="0" w:space="0" w:color="auto"/>
        <w:left w:val="none" w:sz="0" w:space="0" w:color="auto"/>
        <w:bottom w:val="none" w:sz="0" w:space="0" w:color="auto"/>
        <w:right w:val="none" w:sz="0" w:space="0" w:color="auto"/>
      </w:divBdr>
    </w:div>
    <w:div w:id="537863757">
      <w:bodyDiv w:val="1"/>
      <w:marLeft w:val="0"/>
      <w:marRight w:val="0"/>
      <w:marTop w:val="0"/>
      <w:marBottom w:val="0"/>
      <w:divBdr>
        <w:top w:val="none" w:sz="0" w:space="0" w:color="auto"/>
        <w:left w:val="none" w:sz="0" w:space="0" w:color="auto"/>
        <w:bottom w:val="none" w:sz="0" w:space="0" w:color="auto"/>
        <w:right w:val="none" w:sz="0" w:space="0" w:color="auto"/>
      </w:divBdr>
    </w:div>
    <w:div w:id="547490807">
      <w:bodyDiv w:val="1"/>
      <w:marLeft w:val="0"/>
      <w:marRight w:val="0"/>
      <w:marTop w:val="0"/>
      <w:marBottom w:val="0"/>
      <w:divBdr>
        <w:top w:val="none" w:sz="0" w:space="0" w:color="auto"/>
        <w:left w:val="none" w:sz="0" w:space="0" w:color="auto"/>
        <w:bottom w:val="none" w:sz="0" w:space="0" w:color="auto"/>
        <w:right w:val="none" w:sz="0" w:space="0" w:color="auto"/>
      </w:divBdr>
    </w:div>
    <w:div w:id="565997549">
      <w:bodyDiv w:val="1"/>
      <w:marLeft w:val="0"/>
      <w:marRight w:val="0"/>
      <w:marTop w:val="0"/>
      <w:marBottom w:val="0"/>
      <w:divBdr>
        <w:top w:val="none" w:sz="0" w:space="0" w:color="auto"/>
        <w:left w:val="none" w:sz="0" w:space="0" w:color="auto"/>
        <w:bottom w:val="none" w:sz="0" w:space="0" w:color="auto"/>
        <w:right w:val="none" w:sz="0" w:space="0" w:color="auto"/>
      </w:divBdr>
    </w:div>
    <w:div w:id="572548708">
      <w:bodyDiv w:val="1"/>
      <w:marLeft w:val="0"/>
      <w:marRight w:val="0"/>
      <w:marTop w:val="0"/>
      <w:marBottom w:val="0"/>
      <w:divBdr>
        <w:top w:val="none" w:sz="0" w:space="0" w:color="auto"/>
        <w:left w:val="none" w:sz="0" w:space="0" w:color="auto"/>
        <w:bottom w:val="none" w:sz="0" w:space="0" w:color="auto"/>
        <w:right w:val="none" w:sz="0" w:space="0" w:color="auto"/>
      </w:divBdr>
    </w:div>
    <w:div w:id="578100078">
      <w:bodyDiv w:val="1"/>
      <w:marLeft w:val="0"/>
      <w:marRight w:val="0"/>
      <w:marTop w:val="0"/>
      <w:marBottom w:val="0"/>
      <w:divBdr>
        <w:top w:val="none" w:sz="0" w:space="0" w:color="auto"/>
        <w:left w:val="none" w:sz="0" w:space="0" w:color="auto"/>
        <w:bottom w:val="none" w:sz="0" w:space="0" w:color="auto"/>
        <w:right w:val="none" w:sz="0" w:space="0" w:color="auto"/>
      </w:divBdr>
    </w:div>
    <w:div w:id="595285410">
      <w:bodyDiv w:val="1"/>
      <w:marLeft w:val="0"/>
      <w:marRight w:val="0"/>
      <w:marTop w:val="0"/>
      <w:marBottom w:val="0"/>
      <w:divBdr>
        <w:top w:val="none" w:sz="0" w:space="0" w:color="auto"/>
        <w:left w:val="none" w:sz="0" w:space="0" w:color="auto"/>
        <w:bottom w:val="none" w:sz="0" w:space="0" w:color="auto"/>
        <w:right w:val="none" w:sz="0" w:space="0" w:color="auto"/>
      </w:divBdr>
    </w:div>
    <w:div w:id="651183301">
      <w:bodyDiv w:val="1"/>
      <w:marLeft w:val="0"/>
      <w:marRight w:val="0"/>
      <w:marTop w:val="0"/>
      <w:marBottom w:val="0"/>
      <w:divBdr>
        <w:top w:val="none" w:sz="0" w:space="0" w:color="auto"/>
        <w:left w:val="none" w:sz="0" w:space="0" w:color="auto"/>
        <w:bottom w:val="none" w:sz="0" w:space="0" w:color="auto"/>
        <w:right w:val="none" w:sz="0" w:space="0" w:color="auto"/>
      </w:divBdr>
    </w:div>
    <w:div w:id="651566548">
      <w:bodyDiv w:val="1"/>
      <w:marLeft w:val="0"/>
      <w:marRight w:val="0"/>
      <w:marTop w:val="0"/>
      <w:marBottom w:val="0"/>
      <w:divBdr>
        <w:top w:val="none" w:sz="0" w:space="0" w:color="auto"/>
        <w:left w:val="none" w:sz="0" w:space="0" w:color="auto"/>
        <w:bottom w:val="none" w:sz="0" w:space="0" w:color="auto"/>
        <w:right w:val="none" w:sz="0" w:space="0" w:color="auto"/>
      </w:divBdr>
    </w:div>
    <w:div w:id="683675837">
      <w:bodyDiv w:val="1"/>
      <w:marLeft w:val="0"/>
      <w:marRight w:val="0"/>
      <w:marTop w:val="0"/>
      <w:marBottom w:val="0"/>
      <w:divBdr>
        <w:top w:val="none" w:sz="0" w:space="0" w:color="auto"/>
        <w:left w:val="none" w:sz="0" w:space="0" w:color="auto"/>
        <w:bottom w:val="none" w:sz="0" w:space="0" w:color="auto"/>
        <w:right w:val="none" w:sz="0" w:space="0" w:color="auto"/>
      </w:divBdr>
    </w:div>
    <w:div w:id="688063763">
      <w:bodyDiv w:val="1"/>
      <w:marLeft w:val="0"/>
      <w:marRight w:val="0"/>
      <w:marTop w:val="0"/>
      <w:marBottom w:val="0"/>
      <w:divBdr>
        <w:top w:val="none" w:sz="0" w:space="0" w:color="auto"/>
        <w:left w:val="none" w:sz="0" w:space="0" w:color="auto"/>
        <w:bottom w:val="none" w:sz="0" w:space="0" w:color="auto"/>
        <w:right w:val="none" w:sz="0" w:space="0" w:color="auto"/>
      </w:divBdr>
    </w:div>
    <w:div w:id="771555379">
      <w:bodyDiv w:val="1"/>
      <w:marLeft w:val="0"/>
      <w:marRight w:val="0"/>
      <w:marTop w:val="0"/>
      <w:marBottom w:val="0"/>
      <w:divBdr>
        <w:top w:val="none" w:sz="0" w:space="0" w:color="auto"/>
        <w:left w:val="none" w:sz="0" w:space="0" w:color="auto"/>
        <w:bottom w:val="none" w:sz="0" w:space="0" w:color="auto"/>
        <w:right w:val="none" w:sz="0" w:space="0" w:color="auto"/>
      </w:divBdr>
    </w:div>
    <w:div w:id="787889671">
      <w:bodyDiv w:val="1"/>
      <w:marLeft w:val="0"/>
      <w:marRight w:val="0"/>
      <w:marTop w:val="0"/>
      <w:marBottom w:val="0"/>
      <w:divBdr>
        <w:top w:val="none" w:sz="0" w:space="0" w:color="auto"/>
        <w:left w:val="none" w:sz="0" w:space="0" w:color="auto"/>
        <w:bottom w:val="none" w:sz="0" w:space="0" w:color="auto"/>
        <w:right w:val="none" w:sz="0" w:space="0" w:color="auto"/>
      </w:divBdr>
    </w:div>
    <w:div w:id="810557050">
      <w:bodyDiv w:val="1"/>
      <w:marLeft w:val="0"/>
      <w:marRight w:val="0"/>
      <w:marTop w:val="0"/>
      <w:marBottom w:val="0"/>
      <w:divBdr>
        <w:top w:val="none" w:sz="0" w:space="0" w:color="auto"/>
        <w:left w:val="none" w:sz="0" w:space="0" w:color="auto"/>
        <w:bottom w:val="none" w:sz="0" w:space="0" w:color="auto"/>
        <w:right w:val="none" w:sz="0" w:space="0" w:color="auto"/>
      </w:divBdr>
    </w:div>
    <w:div w:id="816922011">
      <w:bodyDiv w:val="1"/>
      <w:marLeft w:val="0"/>
      <w:marRight w:val="0"/>
      <w:marTop w:val="0"/>
      <w:marBottom w:val="0"/>
      <w:divBdr>
        <w:top w:val="none" w:sz="0" w:space="0" w:color="auto"/>
        <w:left w:val="none" w:sz="0" w:space="0" w:color="auto"/>
        <w:bottom w:val="none" w:sz="0" w:space="0" w:color="auto"/>
        <w:right w:val="none" w:sz="0" w:space="0" w:color="auto"/>
      </w:divBdr>
    </w:div>
    <w:div w:id="848253139">
      <w:bodyDiv w:val="1"/>
      <w:marLeft w:val="0"/>
      <w:marRight w:val="0"/>
      <w:marTop w:val="0"/>
      <w:marBottom w:val="0"/>
      <w:divBdr>
        <w:top w:val="none" w:sz="0" w:space="0" w:color="auto"/>
        <w:left w:val="none" w:sz="0" w:space="0" w:color="auto"/>
        <w:bottom w:val="none" w:sz="0" w:space="0" w:color="auto"/>
        <w:right w:val="none" w:sz="0" w:space="0" w:color="auto"/>
      </w:divBdr>
    </w:div>
    <w:div w:id="896739854">
      <w:bodyDiv w:val="1"/>
      <w:marLeft w:val="0"/>
      <w:marRight w:val="0"/>
      <w:marTop w:val="0"/>
      <w:marBottom w:val="0"/>
      <w:divBdr>
        <w:top w:val="none" w:sz="0" w:space="0" w:color="auto"/>
        <w:left w:val="none" w:sz="0" w:space="0" w:color="auto"/>
        <w:bottom w:val="none" w:sz="0" w:space="0" w:color="auto"/>
        <w:right w:val="none" w:sz="0" w:space="0" w:color="auto"/>
      </w:divBdr>
      <w:divsChild>
        <w:div w:id="721949912">
          <w:marLeft w:val="0"/>
          <w:marRight w:val="0"/>
          <w:marTop w:val="0"/>
          <w:marBottom w:val="0"/>
          <w:divBdr>
            <w:top w:val="none" w:sz="0" w:space="0" w:color="auto"/>
            <w:left w:val="none" w:sz="0" w:space="0" w:color="auto"/>
            <w:bottom w:val="none" w:sz="0" w:space="0" w:color="auto"/>
            <w:right w:val="none" w:sz="0" w:space="0" w:color="auto"/>
          </w:divBdr>
        </w:div>
        <w:div w:id="1697583550">
          <w:marLeft w:val="0"/>
          <w:marRight w:val="0"/>
          <w:marTop w:val="0"/>
          <w:marBottom w:val="0"/>
          <w:divBdr>
            <w:top w:val="none" w:sz="0" w:space="0" w:color="auto"/>
            <w:left w:val="none" w:sz="0" w:space="0" w:color="auto"/>
            <w:bottom w:val="none" w:sz="0" w:space="0" w:color="auto"/>
            <w:right w:val="none" w:sz="0" w:space="0" w:color="auto"/>
          </w:divBdr>
          <w:divsChild>
            <w:div w:id="2085225729">
              <w:marLeft w:val="0"/>
              <w:marRight w:val="165"/>
              <w:marTop w:val="150"/>
              <w:marBottom w:val="0"/>
              <w:divBdr>
                <w:top w:val="none" w:sz="0" w:space="0" w:color="auto"/>
                <w:left w:val="none" w:sz="0" w:space="0" w:color="auto"/>
                <w:bottom w:val="none" w:sz="0" w:space="0" w:color="auto"/>
                <w:right w:val="none" w:sz="0" w:space="0" w:color="auto"/>
              </w:divBdr>
              <w:divsChild>
                <w:div w:id="377970828">
                  <w:marLeft w:val="0"/>
                  <w:marRight w:val="0"/>
                  <w:marTop w:val="0"/>
                  <w:marBottom w:val="0"/>
                  <w:divBdr>
                    <w:top w:val="none" w:sz="0" w:space="0" w:color="auto"/>
                    <w:left w:val="none" w:sz="0" w:space="0" w:color="auto"/>
                    <w:bottom w:val="none" w:sz="0" w:space="0" w:color="auto"/>
                    <w:right w:val="none" w:sz="0" w:space="0" w:color="auto"/>
                  </w:divBdr>
                  <w:divsChild>
                    <w:div w:id="110830849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962962">
      <w:bodyDiv w:val="1"/>
      <w:marLeft w:val="0"/>
      <w:marRight w:val="0"/>
      <w:marTop w:val="0"/>
      <w:marBottom w:val="0"/>
      <w:divBdr>
        <w:top w:val="none" w:sz="0" w:space="0" w:color="auto"/>
        <w:left w:val="none" w:sz="0" w:space="0" w:color="auto"/>
        <w:bottom w:val="none" w:sz="0" w:space="0" w:color="auto"/>
        <w:right w:val="none" w:sz="0" w:space="0" w:color="auto"/>
      </w:divBdr>
    </w:div>
    <w:div w:id="949895693">
      <w:bodyDiv w:val="1"/>
      <w:marLeft w:val="0"/>
      <w:marRight w:val="0"/>
      <w:marTop w:val="0"/>
      <w:marBottom w:val="0"/>
      <w:divBdr>
        <w:top w:val="none" w:sz="0" w:space="0" w:color="auto"/>
        <w:left w:val="none" w:sz="0" w:space="0" w:color="auto"/>
        <w:bottom w:val="none" w:sz="0" w:space="0" w:color="auto"/>
        <w:right w:val="none" w:sz="0" w:space="0" w:color="auto"/>
      </w:divBdr>
    </w:div>
    <w:div w:id="1009647819">
      <w:bodyDiv w:val="1"/>
      <w:marLeft w:val="0"/>
      <w:marRight w:val="0"/>
      <w:marTop w:val="0"/>
      <w:marBottom w:val="0"/>
      <w:divBdr>
        <w:top w:val="none" w:sz="0" w:space="0" w:color="auto"/>
        <w:left w:val="none" w:sz="0" w:space="0" w:color="auto"/>
        <w:bottom w:val="none" w:sz="0" w:space="0" w:color="auto"/>
        <w:right w:val="none" w:sz="0" w:space="0" w:color="auto"/>
      </w:divBdr>
    </w:div>
    <w:div w:id="1034160095">
      <w:bodyDiv w:val="1"/>
      <w:marLeft w:val="0"/>
      <w:marRight w:val="0"/>
      <w:marTop w:val="0"/>
      <w:marBottom w:val="0"/>
      <w:divBdr>
        <w:top w:val="none" w:sz="0" w:space="0" w:color="auto"/>
        <w:left w:val="none" w:sz="0" w:space="0" w:color="auto"/>
        <w:bottom w:val="none" w:sz="0" w:space="0" w:color="auto"/>
        <w:right w:val="none" w:sz="0" w:space="0" w:color="auto"/>
      </w:divBdr>
    </w:div>
    <w:div w:id="1078942280">
      <w:bodyDiv w:val="1"/>
      <w:marLeft w:val="0"/>
      <w:marRight w:val="0"/>
      <w:marTop w:val="0"/>
      <w:marBottom w:val="0"/>
      <w:divBdr>
        <w:top w:val="none" w:sz="0" w:space="0" w:color="auto"/>
        <w:left w:val="none" w:sz="0" w:space="0" w:color="auto"/>
        <w:bottom w:val="none" w:sz="0" w:space="0" w:color="auto"/>
        <w:right w:val="none" w:sz="0" w:space="0" w:color="auto"/>
      </w:divBdr>
    </w:div>
    <w:div w:id="1101989546">
      <w:bodyDiv w:val="1"/>
      <w:marLeft w:val="0"/>
      <w:marRight w:val="0"/>
      <w:marTop w:val="0"/>
      <w:marBottom w:val="0"/>
      <w:divBdr>
        <w:top w:val="none" w:sz="0" w:space="0" w:color="auto"/>
        <w:left w:val="none" w:sz="0" w:space="0" w:color="auto"/>
        <w:bottom w:val="none" w:sz="0" w:space="0" w:color="auto"/>
        <w:right w:val="none" w:sz="0" w:space="0" w:color="auto"/>
      </w:divBdr>
    </w:div>
    <w:div w:id="1139953619">
      <w:bodyDiv w:val="1"/>
      <w:marLeft w:val="0"/>
      <w:marRight w:val="0"/>
      <w:marTop w:val="0"/>
      <w:marBottom w:val="0"/>
      <w:divBdr>
        <w:top w:val="none" w:sz="0" w:space="0" w:color="auto"/>
        <w:left w:val="none" w:sz="0" w:space="0" w:color="auto"/>
        <w:bottom w:val="none" w:sz="0" w:space="0" w:color="auto"/>
        <w:right w:val="none" w:sz="0" w:space="0" w:color="auto"/>
      </w:divBdr>
    </w:div>
    <w:div w:id="1159807660">
      <w:bodyDiv w:val="1"/>
      <w:marLeft w:val="0"/>
      <w:marRight w:val="0"/>
      <w:marTop w:val="0"/>
      <w:marBottom w:val="0"/>
      <w:divBdr>
        <w:top w:val="none" w:sz="0" w:space="0" w:color="auto"/>
        <w:left w:val="none" w:sz="0" w:space="0" w:color="auto"/>
        <w:bottom w:val="none" w:sz="0" w:space="0" w:color="auto"/>
        <w:right w:val="none" w:sz="0" w:space="0" w:color="auto"/>
      </w:divBdr>
    </w:div>
    <w:div w:id="1167087986">
      <w:bodyDiv w:val="1"/>
      <w:marLeft w:val="0"/>
      <w:marRight w:val="0"/>
      <w:marTop w:val="0"/>
      <w:marBottom w:val="0"/>
      <w:divBdr>
        <w:top w:val="none" w:sz="0" w:space="0" w:color="auto"/>
        <w:left w:val="none" w:sz="0" w:space="0" w:color="auto"/>
        <w:bottom w:val="none" w:sz="0" w:space="0" w:color="auto"/>
        <w:right w:val="none" w:sz="0" w:space="0" w:color="auto"/>
      </w:divBdr>
      <w:divsChild>
        <w:div w:id="1403794344">
          <w:marLeft w:val="0"/>
          <w:marRight w:val="0"/>
          <w:marTop w:val="0"/>
          <w:marBottom w:val="0"/>
          <w:divBdr>
            <w:top w:val="single" w:sz="2" w:space="0" w:color="auto"/>
            <w:left w:val="single" w:sz="2" w:space="0" w:color="auto"/>
            <w:bottom w:val="single" w:sz="6" w:space="0" w:color="auto"/>
            <w:right w:val="single" w:sz="2" w:space="0" w:color="auto"/>
          </w:divBdr>
          <w:divsChild>
            <w:div w:id="1974404055">
              <w:marLeft w:val="0"/>
              <w:marRight w:val="0"/>
              <w:marTop w:val="100"/>
              <w:marBottom w:val="100"/>
              <w:divBdr>
                <w:top w:val="single" w:sz="2" w:space="0" w:color="D9D9E3"/>
                <w:left w:val="single" w:sz="2" w:space="0" w:color="D9D9E3"/>
                <w:bottom w:val="single" w:sz="2" w:space="0" w:color="D9D9E3"/>
                <w:right w:val="single" w:sz="2" w:space="0" w:color="D9D9E3"/>
              </w:divBdr>
              <w:divsChild>
                <w:div w:id="1752198355">
                  <w:marLeft w:val="0"/>
                  <w:marRight w:val="0"/>
                  <w:marTop w:val="0"/>
                  <w:marBottom w:val="0"/>
                  <w:divBdr>
                    <w:top w:val="single" w:sz="2" w:space="0" w:color="D9D9E3"/>
                    <w:left w:val="single" w:sz="2" w:space="0" w:color="D9D9E3"/>
                    <w:bottom w:val="single" w:sz="2" w:space="0" w:color="D9D9E3"/>
                    <w:right w:val="single" w:sz="2" w:space="0" w:color="D9D9E3"/>
                  </w:divBdr>
                  <w:divsChild>
                    <w:div w:id="1200974154">
                      <w:marLeft w:val="0"/>
                      <w:marRight w:val="0"/>
                      <w:marTop w:val="0"/>
                      <w:marBottom w:val="0"/>
                      <w:divBdr>
                        <w:top w:val="single" w:sz="2" w:space="0" w:color="D9D9E3"/>
                        <w:left w:val="single" w:sz="2" w:space="0" w:color="D9D9E3"/>
                        <w:bottom w:val="single" w:sz="2" w:space="0" w:color="D9D9E3"/>
                        <w:right w:val="single" w:sz="2" w:space="0" w:color="D9D9E3"/>
                      </w:divBdr>
                      <w:divsChild>
                        <w:div w:id="833838712">
                          <w:marLeft w:val="0"/>
                          <w:marRight w:val="0"/>
                          <w:marTop w:val="0"/>
                          <w:marBottom w:val="0"/>
                          <w:divBdr>
                            <w:top w:val="single" w:sz="2" w:space="0" w:color="D9D9E3"/>
                            <w:left w:val="single" w:sz="2" w:space="0" w:color="D9D9E3"/>
                            <w:bottom w:val="single" w:sz="2" w:space="0" w:color="D9D9E3"/>
                            <w:right w:val="single" w:sz="2" w:space="0" w:color="D9D9E3"/>
                          </w:divBdr>
                          <w:divsChild>
                            <w:div w:id="12127707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83784489">
      <w:bodyDiv w:val="1"/>
      <w:marLeft w:val="0"/>
      <w:marRight w:val="0"/>
      <w:marTop w:val="0"/>
      <w:marBottom w:val="0"/>
      <w:divBdr>
        <w:top w:val="none" w:sz="0" w:space="0" w:color="auto"/>
        <w:left w:val="none" w:sz="0" w:space="0" w:color="auto"/>
        <w:bottom w:val="none" w:sz="0" w:space="0" w:color="auto"/>
        <w:right w:val="none" w:sz="0" w:space="0" w:color="auto"/>
      </w:divBdr>
    </w:div>
    <w:div w:id="1204246438">
      <w:bodyDiv w:val="1"/>
      <w:marLeft w:val="0"/>
      <w:marRight w:val="0"/>
      <w:marTop w:val="0"/>
      <w:marBottom w:val="0"/>
      <w:divBdr>
        <w:top w:val="none" w:sz="0" w:space="0" w:color="auto"/>
        <w:left w:val="none" w:sz="0" w:space="0" w:color="auto"/>
        <w:bottom w:val="none" w:sz="0" w:space="0" w:color="auto"/>
        <w:right w:val="none" w:sz="0" w:space="0" w:color="auto"/>
      </w:divBdr>
    </w:div>
    <w:div w:id="1317955394">
      <w:bodyDiv w:val="1"/>
      <w:marLeft w:val="0"/>
      <w:marRight w:val="0"/>
      <w:marTop w:val="0"/>
      <w:marBottom w:val="0"/>
      <w:divBdr>
        <w:top w:val="none" w:sz="0" w:space="0" w:color="auto"/>
        <w:left w:val="none" w:sz="0" w:space="0" w:color="auto"/>
        <w:bottom w:val="none" w:sz="0" w:space="0" w:color="auto"/>
        <w:right w:val="none" w:sz="0" w:space="0" w:color="auto"/>
      </w:divBdr>
    </w:div>
    <w:div w:id="1371683623">
      <w:bodyDiv w:val="1"/>
      <w:marLeft w:val="0"/>
      <w:marRight w:val="0"/>
      <w:marTop w:val="0"/>
      <w:marBottom w:val="0"/>
      <w:divBdr>
        <w:top w:val="none" w:sz="0" w:space="0" w:color="auto"/>
        <w:left w:val="none" w:sz="0" w:space="0" w:color="auto"/>
        <w:bottom w:val="none" w:sz="0" w:space="0" w:color="auto"/>
        <w:right w:val="none" w:sz="0" w:space="0" w:color="auto"/>
      </w:divBdr>
    </w:div>
    <w:div w:id="1374575166">
      <w:bodyDiv w:val="1"/>
      <w:marLeft w:val="0"/>
      <w:marRight w:val="0"/>
      <w:marTop w:val="0"/>
      <w:marBottom w:val="0"/>
      <w:divBdr>
        <w:top w:val="none" w:sz="0" w:space="0" w:color="auto"/>
        <w:left w:val="none" w:sz="0" w:space="0" w:color="auto"/>
        <w:bottom w:val="none" w:sz="0" w:space="0" w:color="auto"/>
        <w:right w:val="none" w:sz="0" w:space="0" w:color="auto"/>
      </w:divBdr>
    </w:div>
    <w:div w:id="1387489361">
      <w:bodyDiv w:val="1"/>
      <w:marLeft w:val="0"/>
      <w:marRight w:val="0"/>
      <w:marTop w:val="0"/>
      <w:marBottom w:val="0"/>
      <w:divBdr>
        <w:top w:val="none" w:sz="0" w:space="0" w:color="auto"/>
        <w:left w:val="none" w:sz="0" w:space="0" w:color="auto"/>
        <w:bottom w:val="none" w:sz="0" w:space="0" w:color="auto"/>
        <w:right w:val="none" w:sz="0" w:space="0" w:color="auto"/>
      </w:divBdr>
    </w:div>
    <w:div w:id="1388072659">
      <w:bodyDiv w:val="1"/>
      <w:marLeft w:val="0"/>
      <w:marRight w:val="0"/>
      <w:marTop w:val="0"/>
      <w:marBottom w:val="0"/>
      <w:divBdr>
        <w:top w:val="none" w:sz="0" w:space="0" w:color="auto"/>
        <w:left w:val="none" w:sz="0" w:space="0" w:color="auto"/>
        <w:bottom w:val="none" w:sz="0" w:space="0" w:color="auto"/>
        <w:right w:val="none" w:sz="0" w:space="0" w:color="auto"/>
      </w:divBdr>
    </w:div>
    <w:div w:id="1389260390">
      <w:bodyDiv w:val="1"/>
      <w:marLeft w:val="0"/>
      <w:marRight w:val="0"/>
      <w:marTop w:val="0"/>
      <w:marBottom w:val="0"/>
      <w:divBdr>
        <w:top w:val="none" w:sz="0" w:space="0" w:color="auto"/>
        <w:left w:val="none" w:sz="0" w:space="0" w:color="auto"/>
        <w:bottom w:val="none" w:sz="0" w:space="0" w:color="auto"/>
        <w:right w:val="none" w:sz="0" w:space="0" w:color="auto"/>
      </w:divBdr>
    </w:div>
    <w:div w:id="1400441841">
      <w:bodyDiv w:val="1"/>
      <w:marLeft w:val="0"/>
      <w:marRight w:val="0"/>
      <w:marTop w:val="0"/>
      <w:marBottom w:val="0"/>
      <w:divBdr>
        <w:top w:val="none" w:sz="0" w:space="0" w:color="auto"/>
        <w:left w:val="none" w:sz="0" w:space="0" w:color="auto"/>
        <w:bottom w:val="none" w:sz="0" w:space="0" w:color="auto"/>
        <w:right w:val="none" w:sz="0" w:space="0" w:color="auto"/>
      </w:divBdr>
    </w:div>
    <w:div w:id="1428313097">
      <w:bodyDiv w:val="1"/>
      <w:marLeft w:val="0"/>
      <w:marRight w:val="0"/>
      <w:marTop w:val="0"/>
      <w:marBottom w:val="0"/>
      <w:divBdr>
        <w:top w:val="none" w:sz="0" w:space="0" w:color="auto"/>
        <w:left w:val="none" w:sz="0" w:space="0" w:color="auto"/>
        <w:bottom w:val="none" w:sz="0" w:space="0" w:color="auto"/>
        <w:right w:val="none" w:sz="0" w:space="0" w:color="auto"/>
      </w:divBdr>
    </w:div>
    <w:div w:id="1469325894">
      <w:bodyDiv w:val="1"/>
      <w:marLeft w:val="0"/>
      <w:marRight w:val="0"/>
      <w:marTop w:val="0"/>
      <w:marBottom w:val="0"/>
      <w:divBdr>
        <w:top w:val="none" w:sz="0" w:space="0" w:color="auto"/>
        <w:left w:val="none" w:sz="0" w:space="0" w:color="auto"/>
        <w:bottom w:val="none" w:sz="0" w:space="0" w:color="auto"/>
        <w:right w:val="none" w:sz="0" w:space="0" w:color="auto"/>
      </w:divBdr>
    </w:div>
    <w:div w:id="1505051342">
      <w:bodyDiv w:val="1"/>
      <w:marLeft w:val="0"/>
      <w:marRight w:val="0"/>
      <w:marTop w:val="0"/>
      <w:marBottom w:val="0"/>
      <w:divBdr>
        <w:top w:val="none" w:sz="0" w:space="0" w:color="auto"/>
        <w:left w:val="none" w:sz="0" w:space="0" w:color="auto"/>
        <w:bottom w:val="none" w:sz="0" w:space="0" w:color="auto"/>
        <w:right w:val="none" w:sz="0" w:space="0" w:color="auto"/>
      </w:divBdr>
    </w:div>
    <w:div w:id="1506045612">
      <w:bodyDiv w:val="1"/>
      <w:marLeft w:val="0"/>
      <w:marRight w:val="0"/>
      <w:marTop w:val="0"/>
      <w:marBottom w:val="0"/>
      <w:divBdr>
        <w:top w:val="none" w:sz="0" w:space="0" w:color="auto"/>
        <w:left w:val="none" w:sz="0" w:space="0" w:color="auto"/>
        <w:bottom w:val="none" w:sz="0" w:space="0" w:color="auto"/>
        <w:right w:val="none" w:sz="0" w:space="0" w:color="auto"/>
      </w:divBdr>
    </w:div>
    <w:div w:id="1551767720">
      <w:bodyDiv w:val="1"/>
      <w:marLeft w:val="0"/>
      <w:marRight w:val="0"/>
      <w:marTop w:val="0"/>
      <w:marBottom w:val="0"/>
      <w:divBdr>
        <w:top w:val="none" w:sz="0" w:space="0" w:color="auto"/>
        <w:left w:val="none" w:sz="0" w:space="0" w:color="auto"/>
        <w:bottom w:val="none" w:sz="0" w:space="0" w:color="auto"/>
        <w:right w:val="none" w:sz="0" w:space="0" w:color="auto"/>
      </w:divBdr>
    </w:div>
    <w:div w:id="1555189987">
      <w:bodyDiv w:val="1"/>
      <w:marLeft w:val="0"/>
      <w:marRight w:val="0"/>
      <w:marTop w:val="0"/>
      <w:marBottom w:val="0"/>
      <w:divBdr>
        <w:top w:val="none" w:sz="0" w:space="0" w:color="auto"/>
        <w:left w:val="none" w:sz="0" w:space="0" w:color="auto"/>
        <w:bottom w:val="none" w:sz="0" w:space="0" w:color="auto"/>
        <w:right w:val="none" w:sz="0" w:space="0" w:color="auto"/>
      </w:divBdr>
    </w:div>
    <w:div w:id="1574389897">
      <w:bodyDiv w:val="1"/>
      <w:marLeft w:val="0"/>
      <w:marRight w:val="0"/>
      <w:marTop w:val="0"/>
      <w:marBottom w:val="0"/>
      <w:divBdr>
        <w:top w:val="none" w:sz="0" w:space="0" w:color="auto"/>
        <w:left w:val="none" w:sz="0" w:space="0" w:color="auto"/>
        <w:bottom w:val="none" w:sz="0" w:space="0" w:color="auto"/>
        <w:right w:val="none" w:sz="0" w:space="0" w:color="auto"/>
      </w:divBdr>
    </w:div>
    <w:div w:id="1575122220">
      <w:bodyDiv w:val="1"/>
      <w:marLeft w:val="0"/>
      <w:marRight w:val="0"/>
      <w:marTop w:val="0"/>
      <w:marBottom w:val="0"/>
      <w:divBdr>
        <w:top w:val="none" w:sz="0" w:space="0" w:color="auto"/>
        <w:left w:val="none" w:sz="0" w:space="0" w:color="auto"/>
        <w:bottom w:val="none" w:sz="0" w:space="0" w:color="auto"/>
        <w:right w:val="none" w:sz="0" w:space="0" w:color="auto"/>
      </w:divBdr>
      <w:divsChild>
        <w:div w:id="1248734403">
          <w:marLeft w:val="0"/>
          <w:marRight w:val="0"/>
          <w:marTop w:val="0"/>
          <w:marBottom w:val="0"/>
          <w:divBdr>
            <w:top w:val="none" w:sz="0" w:space="0" w:color="auto"/>
            <w:left w:val="none" w:sz="0" w:space="0" w:color="auto"/>
            <w:bottom w:val="none" w:sz="0" w:space="0" w:color="auto"/>
            <w:right w:val="none" w:sz="0" w:space="0" w:color="auto"/>
          </w:divBdr>
          <w:divsChild>
            <w:div w:id="186673490">
              <w:marLeft w:val="0"/>
              <w:marRight w:val="0"/>
              <w:marTop w:val="0"/>
              <w:marBottom w:val="120"/>
              <w:divBdr>
                <w:top w:val="none" w:sz="0" w:space="0" w:color="auto"/>
                <w:left w:val="none" w:sz="0" w:space="0" w:color="auto"/>
                <w:bottom w:val="none" w:sz="0" w:space="0" w:color="auto"/>
                <w:right w:val="none" w:sz="0" w:space="0" w:color="auto"/>
              </w:divBdr>
              <w:divsChild>
                <w:div w:id="773481713">
                  <w:marLeft w:val="0"/>
                  <w:marRight w:val="0"/>
                  <w:marTop w:val="0"/>
                  <w:marBottom w:val="0"/>
                  <w:divBdr>
                    <w:top w:val="none" w:sz="0" w:space="0" w:color="auto"/>
                    <w:left w:val="none" w:sz="0" w:space="0" w:color="auto"/>
                    <w:bottom w:val="none" w:sz="0" w:space="0" w:color="auto"/>
                    <w:right w:val="none" w:sz="0" w:space="0" w:color="auto"/>
                  </w:divBdr>
                  <w:divsChild>
                    <w:div w:id="128326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663083">
              <w:marLeft w:val="0"/>
              <w:marRight w:val="0"/>
              <w:marTop w:val="0"/>
              <w:marBottom w:val="120"/>
              <w:divBdr>
                <w:top w:val="none" w:sz="0" w:space="0" w:color="auto"/>
                <w:left w:val="none" w:sz="0" w:space="0" w:color="auto"/>
                <w:bottom w:val="none" w:sz="0" w:space="0" w:color="auto"/>
                <w:right w:val="none" w:sz="0" w:space="0" w:color="auto"/>
              </w:divBdr>
              <w:divsChild>
                <w:div w:id="369035087">
                  <w:marLeft w:val="0"/>
                  <w:marRight w:val="0"/>
                  <w:marTop w:val="0"/>
                  <w:marBottom w:val="0"/>
                  <w:divBdr>
                    <w:top w:val="none" w:sz="0" w:space="0" w:color="auto"/>
                    <w:left w:val="none" w:sz="0" w:space="0" w:color="auto"/>
                    <w:bottom w:val="none" w:sz="0" w:space="0" w:color="auto"/>
                    <w:right w:val="none" w:sz="0" w:space="0" w:color="auto"/>
                  </w:divBdr>
                  <w:divsChild>
                    <w:div w:id="753892735">
                      <w:marLeft w:val="0"/>
                      <w:marRight w:val="0"/>
                      <w:marTop w:val="0"/>
                      <w:marBottom w:val="0"/>
                      <w:divBdr>
                        <w:top w:val="none" w:sz="0" w:space="0" w:color="auto"/>
                        <w:left w:val="none" w:sz="0" w:space="0" w:color="auto"/>
                        <w:bottom w:val="none" w:sz="0" w:space="0" w:color="auto"/>
                        <w:right w:val="none" w:sz="0" w:space="0" w:color="auto"/>
                      </w:divBdr>
                      <w:divsChild>
                        <w:div w:id="16517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217746">
          <w:marLeft w:val="0"/>
          <w:marRight w:val="0"/>
          <w:marTop w:val="0"/>
          <w:marBottom w:val="0"/>
          <w:divBdr>
            <w:top w:val="none" w:sz="0" w:space="0" w:color="auto"/>
            <w:left w:val="none" w:sz="0" w:space="0" w:color="auto"/>
            <w:bottom w:val="none" w:sz="0" w:space="0" w:color="auto"/>
            <w:right w:val="none" w:sz="0" w:space="0" w:color="auto"/>
          </w:divBdr>
          <w:divsChild>
            <w:div w:id="1917394508">
              <w:marLeft w:val="0"/>
              <w:marRight w:val="0"/>
              <w:marTop w:val="0"/>
              <w:marBottom w:val="0"/>
              <w:divBdr>
                <w:top w:val="none" w:sz="0" w:space="0" w:color="auto"/>
                <w:left w:val="none" w:sz="0" w:space="0" w:color="auto"/>
                <w:bottom w:val="none" w:sz="0" w:space="0" w:color="auto"/>
                <w:right w:val="none" w:sz="0" w:space="0" w:color="auto"/>
              </w:divBdr>
              <w:divsChild>
                <w:div w:id="1801142383">
                  <w:marLeft w:val="0"/>
                  <w:marRight w:val="0"/>
                  <w:marTop w:val="0"/>
                  <w:marBottom w:val="0"/>
                  <w:divBdr>
                    <w:top w:val="none" w:sz="0" w:space="0" w:color="auto"/>
                    <w:left w:val="none" w:sz="0" w:space="0" w:color="auto"/>
                    <w:bottom w:val="none" w:sz="0" w:space="0" w:color="auto"/>
                    <w:right w:val="none" w:sz="0" w:space="0" w:color="auto"/>
                  </w:divBdr>
                  <w:divsChild>
                    <w:div w:id="2011827807">
                      <w:marLeft w:val="0"/>
                      <w:marRight w:val="0"/>
                      <w:marTop w:val="0"/>
                      <w:marBottom w:val="0"/>
                      <w:divBdr>
                        <w:top w:val="none" w:sz="0" w:space="0" w:color="auto"/>
                        <w:left w:val="none" w:sz="0" w:space="0" w:color="auto"/>
                        <w:bottom w:val="none" w:sz="0" w:space="0" w:color="auto"/>
                        <w:right w:val="none" w:sz="0" w:space="0" w:color="auto"/>
                      </w:divBdr>
                      <w:divsChild>
                        <w:div w:id="1844860190">
                          <w:marLeft w:val="0"/>
                          <w:marRight w:val="0"/>
                          <w:marTop w:val="0"/>
                          <w:marBottom w:val="0"/>
                          <w:divBdr>
                            <w:top w:val="none" w:sz="0" w:space="0" w:color="auto"/>
                            <w:left w:val="none" w:sz="0" w:space="0" w:color="auto"/>
                            <w:bottom w:val="none" w:sz="0" w:space="0" w:color="auto"/>
                            <w:right w:val="none" w:sz="0" w:space="0" w:color="auto"/>
                          </w:divBdr>
                          <w:divsChild>
                            <w:div w:id="145051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329213">
              <w:marLeft w:val="0"/>
              <w:marRight w:val="0"/>
              <w:marTop w:val="0"/>
              <w:marBottom w:val="360"/>
              <w:divBdr>
                <w:top w:val="none" w:sz="0" w:space="0" w:color="auto"/>
                <w:left w:val="none" w:sz="0" w:space="0" w:color="auto"/>
                <w:bottom w:val="none" w:sz="0" w:space="0" w:color="auto"/>
                <w:right w:val="none" w:sz="0" w:space="0" w:color="auto"/>
              </w:divBdr>
              <w:divsChild>
                <w:div w:id="330177337">
                  <w:marLeft w:val="0"/>
                  <w:marRight w:val="0"/>
                  <w:marTop w:val="0"/>
                  <w:marBottom w:val="0"/>
                  <w:divBdr>
                    <w:top w:val="none" w:sz="0" w:space="0" w:color="auto"/>
                    <w:left w:val="none" w:sz="0" w:space="0" w:color="auto"/>
                    <w:bottom w:val="none" w:sz="0" w:space="0" w:color="auto"/>
                    <w:right w:val="none" w:sz="0" w:space="0" w:color="auto"/>
                  </w:divBdr>
                  <w:divsChild>
                    <w:div w:id="2031687288">
                      <w:marLeft w:val="0"/>
                      <w:marRight w:val="0"/>
                      <w:marTop w:val="0"/>
                      <w:marBottom w:val="0"/>
                      <w:divBdr>
                        <w:top w:val="none" w:sz="0" w:space="0" w:color="auto"/>
                        <w:left w:val="none" w:sz="0" w:space="0" w:color="auto"/>
                        <w:bottom w:val="none" w:sz="0" w:space="0" w:color="auto"/>
                        <w:right w:val="none" w:sz="0" w:space="0" w:color="auto"/>
                      </w:divBdr>
                      <w:divsChild>
                        <w:div w:id="1875994374">
                          <w:marLeft w:val="0"/>
                          <w:marRight w:val="0"/>
                          <w:marTop w:val="0"/>
                          <w:marBottom w:val="0"/>
                          <w:divBdr>
                            <w:top w:val="none" w:sz="0" w:space="0" w:color="auto"/>
                            <w:left w:val="none" w:sz="0" w:space="0" w:color="auto"/>
                            <w:bottom w:val="none" w:sz="0" w:space="0" w:color="auto"/>
                            <w:right w:val="none" w:sz="0" w:space="0" w:color="auto"/>
                          </w:divBdr>
                          <w:divsChild>
                            <w:div w:id="16123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854742">
      <w:bodyDiv w:val="1"/>
      <w:marLeft w:val="0"/>
      <w:marRight w:val="0"/>
      <w:marTop w:val="0"/>
      <w:marBottom w:val="0"/>
      <w:divBdr>
        <w:top w:val="none" w:sz="0" w:space="0" w:color="auto"/>
        <w:left w:val="none" w:sz="0" w:space="0" w:color="auto"/>
        <w:bottom w:val="none" w:sz="0" w:space="0" w:color="auto"/>
        <w:right w:val="none" w:sz="0" w:space="0" w:color="auto"/>
      </w:divBdr>
    </w:div>
    <w:div w:id="1648437178">
      <w:bodyDiv w:val="1"/>
      <w:marLeft w:val="0"/>
      <w:marRight w:val="0"/>
      <w:marTop w:val="0"/>
      <w:marBottom w:val="0"/>
      <w:divBdr>
        <w:top w:val="none" w:sz="0" w:space="0" w:color="auto"/>
        <w:left w:val="none" w:sz="0" w:space="0" w:color="auto"/>
        <w:bottom w:val="none" w:sz="0" w:space="0" w:color="auto"/>
        <w:right w:val="none" w:sz="0" w:space="0" w:color="auto"/>
      </w:divBdr>
    </w:div>
    <w:div w:id="1658876078">
      <w:bodyDiv w:val="1"/>
      <w:marLeft w:val="0"/>
      <w:marRight w:val="0"/>
      <w:marTop w:val="0"/>
      <w:marBottom w:val="0"/>
      <w:divBdr>
        <w:top w:val="none" w:sz="0" w:space="0" w:color="auto"/>
        <w:left w:val="none" w:sz="0" w:space="0" w:color="auto"/>
        <w:bottom w:val="none" w:sz="0" w:space="0" w:color="auto"/>
        <w:right w:val="none" w:sz="0" w:space="0" w:color="auto"/>
      </w:divBdr>
    </w:div>
    <w:div w:id="1714114480">
      <w:bodyDiv w:val="1"/>
      <w:marLeft w:val="0"/>
      <w:marRight w:val="0"/>
      <w:marTop w:val="0"/>
      <w:marBottom w:val="0"/>
      <w:divBdr>
        <w:top w:val="none" w:sz="0" w:space="0" w:color="auto"/>
        <w:left w:val="none" w:sz="0" w:space="0" w:color="auto"/>
        <w:bottom w:val="none" w:sz="0" w:space="0" w:color="auto"/>
        <w:right w:val="none" w:sz="0" w:space="0" w:color="auto"/>
      </w:divBdr>
    </w:div>
    <w:div w:id="1729724306">
      <w:bodyDiv w:val="1"/>
      <w:marLeft w:val="0"/>
      <w:marRight w:val="0"/>
      <w:marTop w:val="0"/>
      <w:marBottom w:val="0"/>
      <w:divBdr>
        <w:top w:val="none" w:sz="0" w:space="0" w:color="auto"/>
        <w:left w:val="none" w:sz="0" w:space="0" w:color="auto"/>
        <w:bottom w:val="none" w:sz="0" w:space="0" w:color="auto"/>
        <w:right w:val="none" w:sz="0" w:space="0" w:color="auto"/>
      </w:divBdr>
    </w:div>
    <w:div w:id="1758598578">
      <w:bodyDiv w:val="1"/>
      <w:marLeft w:val="0"/>
      <w:marRight w:val="0"/>
      <w:marTop w:val="0"/>
      <w:marBottom w:val="0"/>
      <w:divBdr>
        <w:top w:val="none" w:sz="0" w:space="0" w:color="auto"/>
        <w:left w:val="none" w:sz="0" w:space="0" w:color="auto"/>
        <w:bottom w:val="none" w:sz="0" w:space="0" w:color="auto"/>
        <w:right w:val="none" w:sz="0" w:space="0" w:color="auto"/>
      </w:divBdr>
    </w:div>
    <w:div w:id="1771929109">
      <w:bodyDiv w:val="1"/>
      <w:marLeft w:val="0"/>
      <w:marRight w:val="0"/>
      <w:marTop w:val="0"/>
      <w:marBottom w:val="0"/>
      <w:divBdr>
        <w:top w:val="none" w:sz="0" w:space="0" w:color="auto"/>
        <w:left w:val="none" w:sz="0" w:space="0" w:color="auto"/>
        <w:bottom w:val="none" w:sz="0" w:space="0" w:color="auto"/>
        <w:right w:val="none" w:sz="0" w:space="0" w:color="auto"/>
      </w:divBdr>
    </w:div>
    <w:div w:id="1773360737">
      <w:bodyDiv w:val="1"/>
      <w:marLeft w:val="0"/>
      <w:marRight w:val="0"/>
      <w:marTop w:val="0"/>
      <w:marBottom w:val="0"/>
      <w:divBdr>
        <w:top w:val="none" w:sz="0" w:space="0" w:color="auto"/>
        <w:left w:val="none" w:sz="0" w:space="0" w:color="auto"/>
        <w:bottom w:val="none" w:sz="0" w:space="0" w:color="auto"/>
        <w:right w:val="none" w:sz="0" w:space="0" w:color="auto"/>
      </w:divBdr>
    </w:div>
    <w:div w:id="1798138908">
      <w:bodyDiv w:val="1"/>
      <w:marLeft w:val="0"/>
      <w:marRight w:val="0"/>
      <w:marTop w:val="0"/>
      <w:marBottom w:val="0"/>
      <w:divBdr>
        <w:top w:val="none" w:sz="0" w:space="0" w:color="auto"/>
        <w:left w:val="none" w:sz="0" w:space="0" w:color="auto"/>
        <w:bottom w:val="none" w:sz="0" w:space="0" w:color="auto"/>
        <w:right w:val="none" w:sz="0" w:space="0" w:color="auto"/>
      </w:divBdr>
    </w:div>
    <w:div w:id="1884978689">
      <w:bodyDiv w:val="1"/>
      <w:marLeft w:val="0"/>
      <w:marRight w:val="0"/>
      <w:marTop w:val="0"/>
      <w:marBottom w:val="0"/>
      <w:divBdr>
        <w:top w:val="none" w:sz="0" w:space="0" w:color="auto"/>
        <w:left w:val="none" w:sz="0" w:space="0" w:color="auto"/>
        <w:bottom w:val="none" w:sz="0" w:space="0" w:color="auto"/>
        <w:right w:val="none" w:sz="0" w:space="0" w:color="auto"/>
      </w:divBdr>
    </w:div>
    <w:div w:id="1957634673">
      <w:bodyDiv w:val="1"/>
      <w:marLeft w:val="0"/>
      <w:marRight w:val="0"/>
      <w:marTop w:val="0"/>
      <w:marBottom w:val="0"/>
      <w:divBdr>
        <w:top w:val="none" w:sz="0" w:space="0" w:color="auto"/>
        <w:left w:val="none" w:sz="0" w:space="0" w:color="auto"/>
        <w:bottom w:val="none" w:sz="0" w:space="0" w:color="auto"/>
        <w:right w:val="none" w:sz="0" w:space="0" w:color="auto"/>
      </w:divBdr>
    </w:div>
    <w:div w:id="2000306968">
      <w:bodyDiv w:val="1"/>
      <w:marLeft w:val="0"/>
      <w:marRight w:val="0"/>
      <w:marTop w:val="0"/>
      <w:marBottom w:val="0"/>
      <w:divBdr>
        <w:top w:val="none" w:sz="0" w:space="0" w:color="auto"/>
        <w:left w:val="none" w:sz="0" w:space="0" w:color="auto"/>
        <w:bottom w:val="none" w:sz="0" w:space="0" w:color="auto"/>
        <w:right w:val="none" w:sz="0" w:space="0" w:color="auto"/>
      </w:divBdr>
    </w:div>
    <w:div w:id="2041541536">
      <w:bodyDiv w:val="1"/>
      <w:marLeft w:val="0"/>
      <w:marRight w:val="0"/>
      <w:marTop w:val="0"/>
      <w:marBottom w:val="0"/>
      <w:divBdr>
        <w:top w:val="none" w:sz="0" w:space="0" w:color="auto"/>
        <w:left w:val="none" w:sz="0" w:space="0" w:color="auto"/>
        <w:bottom w:val="none" w:sz="0" w:space="0" w:color="auto"/>
        <w:right w:val="none" w:sz="0" w:space="0" w:color="auto"/>
      </w:divBdr>
    </w:div>
    <w:div w:id="2045473766">
      <w:bodyDiv w:val="1"/>
      <w:marLeft w:val="0"/>
      <w:marRight w:val="0"/>
      <w:marTop w:val="0"/>
      <w:marBottom w:val="0"/>
      <w:divBdr>
        <w:top w:val="none" w:sz="0" w:space="0" w:color="auto"/>
        <w:left w:val="none" w:sz="0" w:space="0" w:color="auto"/>
        <w:bottom w:val="none" w:sz="0" w:space="0" w:color="auto"/>
        <w:right w:val="none" w:sz="0" w:space="0" w:color="auto"/>
      </w:divBdr>
    </w:div>
    <w:div w:id="2057581528">
      <w:bodyDiv w:val="1"/>
      <w:marLeft w:val="0"/>
      <w:marRight w:val="0"/>
      <w:marTop w:val="0"/>
      <w:marBottom w:val="0"/>
      <w:divBdr>
        <w:top w:val="none" w:sz="0" w:space="0" w:color="auto"/>
        <w:left w:val="none" w:sz="0" w:space="0" w:color="auto"/>
        <w:bottom w:val="none" w:sz="0" w:space="0" w:color="auto"/>
        <w:right w:val="none" w:sz="0" w:space="0" w:color="auto"/>
      </w:divBdr>
    </w:div>
    <w:div w:id="2080469906">
      <w:bodyDiv w:val="1"/>
      <w:marLeft w:val="0"/>
      <w:marRight w:val="0"/>
      <w:marTop w:val="0"/>
      <w:marBottom w:val="0"/>
      <w:divBdr>
        <w:top w:val="none" w:sz="0" w:space="0" w:color="auto"/>
        <w:left w:val="none" w:sz="0" w:space="0" w:color="auto"/>
        <w:bottom w:val="none" w:sz="0" w:space="0" w:color="auto"/>
        <w:right w:val="none" w:sz="0" w:space="0" w:color="auto"/>
      </w:divBdr>
    </w:div>
    <w:div w:id="2135517045">
      <w:bodyDiv w:val="1"/>
      <w:marLeft w:val="0"/>
      <w:marRight w:val="0"/>
      <w:marTop w:val="0"/>
      <w:marBottom w:val="0"/>
      <w:divBdr>
        <w:top w:val="none" w:sz="0" w:space="0" w:color="auto"/>
        <w:left w:val="none" w:sz="0" w:space="0" w:color="auto"/>
        <w:bottom w:val="none" w:sz="0" w:space="0" w:color="auto"/>
        <w:right w:val="none" w:sz="0" w:space="0" w:color="auto"/>
      </w:divBdr>
      <w:divsChild>
        <w:div w:id="1528056273">
          <w:marLeft w:val="0"/>
          <w:marRight w:val="0"/>
          <w:marTop w:val="0"/>
          <w:marBottom w:val="0"/>
          <w:divBdr>
            <w:top w:val="single" w:sz="2" w:space="0" w:color="auto"/>
            <w:left w:val="single" w:sz="2" w:space="0" w:color="auto"/>
            <w:bottom w:val="single" w:sz="6" w:space="0" w:color="auto"/>
            <w:right w:val="single" w:sz="2" w:space="0" w:color="auto"/>
          </w:divBdr>
          <w:divsChild>
            <w:div w:id="1346592974">
              <w:marLeft w:val="0"/>
              <w:marRight w:val="0"/>
              <w:marTop w:val="100"/>
              <w:marBottom w:val="100"/>
              <w:divBdr>
                <w:top w:val="single" w:sz="2" w:space="0" w:color="D9D9E3"/>
                <w:left w:val="single" w:sz="2" w:space="0" w:color="D9D9E3"/>
                <w:bottom w:val="single" w:sz="2" w:space="0" w:color="D9D9E3"/>
                <w:right w:val="single" w:sz="2" w:space="0" w:color="D9D9E3"/>
              </w:divBdr>
              <w:divsChild>
                <w:div w:id="850296516">
                  <w:marLeft w:val="0"/>
                  <w:marRight w:val="0"/>
                  <w:marTop w:val="0"/>
                  <w:marBottom w:val="0"/>
                  <w:divBdr>
                    <w:top w:val="single" w:sz="2" w:space="0" w:color="D9D9E3"/>
                    <w:left w:val="single" w:sz="2" w:space="0" w:color="D9D9E3"/>
                    <w:bottom w:val="single" w:sz="2" w:space="0" w:color="D9D9E3"/>
                    <w:right w:val="single" w:sz="2" w:space="0" w:color="D9D9E3"/>
                  </w:divBdr>
                  <w:divsChild>
                    <w:div w:id="1518537246">
                      <w:marLeft w:val="0"/>
                      <w:marRight w:val="0"/>
                      <w:marTop w:val="0"/>
                      <w:marBottom w:val="0"/>
                      <w:divBdr>
                        <w:top w:val="single" w:sz="2" w:space="0" w:color="D9D9E3"/>
                        <w:left w:val="single" w:sz="2" w:space="0" w:color="D9D9E3"/>
                        <w:bottom w:val="single" w:sz="2" w:space="0" w:color="D9D9E3"/>
                        <w:right w:val="single" w:sz="2" w:space="0" w:color="D9D9E3"/>
                      </w:divBdr>
                      <w:divsChild>
                        <w:div w:id="23482196">
                          <w:marLeft w:val="0"/>
                          <w:marRight w:val="0"/>
                          <w:marTop w:val="0"/>
                          <w:marBottom w:val="0"/>
                          <w:divBdr>
                            <w:top w:val="single" w:sz="2" w:space="0" w:color="D9D9E3"/>
                            <w:left w:val="single" w:sz="2" w:space="0" w:color="D9D9E3"/>
                            <w:bottom w:val="single" w:sz="2" w:space="0" w:color="D9D9E3"/>
                            <w:right w:val="single" w:sz="2" w:space="0" w:color="D9D9E3"/>
                          </w:divBdr>
                          <w:divsChild>
                            <w:div w:id="827095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tten.overheid.nl/BWBR0001854/geldigheidsdatum_27-08-2014/afdrukken" TargetMode="External"/><Relationship Id="rId5" Type="http://schemas.openxmlformats.org/officeDocument/2006/relationships/webSettings" Target="webSettings.xml"/><Relationship Id="rId10" Type="http://schemas.openxmlformats.org/officeDocument/2006/relationships/hyperlink" Target="https://www.rijksoverheid.nl/onderwerpen/levenseinde-en-euthanasie/euthanasie" TargetMode="External"/><Relationship Id="rId4" Type="http://schemas.openxmlformats.org/officeDocument/2006/relationships/settings" Target="settings.xml"/><Relationship Id="rId9" Type="http://schemas.openxmlformats.org/officeDocument/2006/relationships/hyperlink" Target="https://wetten.overheid.nl/jci1.3:c:BWBR0012410&amp;z=2020-03-19&amp;g=2020-03-19" TargetMode="Externa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ECE8F-6354-4829-8A69-94599FCE7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3628</Words>
  <Characters>20683</Characters>
  <Application>Microsoft Office Word</Application>
  <DocSecurity>0</DocSecurity>
  <Lines>172</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VUmc</Company>
  <LinksUpToDate>false</LinksUpToDate>
  <CharactersWithSpaces>24263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Hertogh, C.M.P.M. (Cees)</dc:creator>
  <cp:keywords/>
  <dc:description/>
  <cp:lastModifiedBy>Djura Coers</cp:lastModifiedBy>
  <cp:revision>3</cp:revision>
  <dcterms:created xsi:type="dcterms:W3CDTF">2024-09-20T13:59:00Z</dcterms:created>
  <dcterms:modified xsi:type="dcterms:W3CDTF">2024-09-20T14:00:00Z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2024-07-17T15:06:38Z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42a732fa-5d51-4eb6-9e83-693090228aad</vt:lpwstr>
  </property>
  <property fmtid="{D5CDD505-2E9C-101B-9397-08002B2CF9AE}" pid="8" name="MSIP_Label_8772ba27-cab8-4042-a351-a31f6e4eacdc_ContentBits">
    <vt:lpwstr>0</vt:lpwstr>
  </property>
</Properties>
</file>