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4AF2E" w14:textId="4F1D0C28" w:rsidR="00587E8F" w:rsidRPr="00DD794B" w:rsidRDefault="00587E8F" w:rsidP="00587E8F">
      <w:pPr>
        <w:pStyle w:val="Beschriftung"/>
        <w:keepNext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Appendix A</w:t>
      </w:r>
      <w:r w:rsidRPr="00DD794B">
        <w:rPr>
          <w:rFonts w:ascii="Arial" w:hAnsi="Arial" w:cs="Arial"/>
          <w:lang w:val="en-US"/>
        </w:rPr>
        <w:t>: Items of own questionnaire to assess students’ level of intercultural knowledge and in interculturality regarding Muslim patients before and after the course.</w:t>
      </w:r>
    </w:p>
    <w:tbl>
      <w:tblPr>
        <w:tblStyle w:val="Gitternetztabelle2Akzent1"/>
        <w:tblW w:w="9215" w:type="dxa"/>
        <w:tblLook w:val="04A0" w:firstRow="1" w:lastRow="0" w:firstColumn="1" w:lastColumn="0" w:noHBand="0" w:noVBand="1"/>
      </w:tblPr>
      <w:tblGrid>
        <w:gridCol w:w="1560"/>
        <w:gridCol w:w="992"/>
        <w:gridCol w:w="6663"/>
      </w:tblGrid>
      <w:tr w:rsidR="00587E8F" w:rsidRPr="00DD794B" w14:paraId="24292629" w14:textId="77777777" w:rsidTr="00401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191616F" w14:textId="77777777" w:rsidR="00587E8F" w:rsidRPr="00DD794B" w:rsidRDefault="00587E8F" w:rsidP="00401F0C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Component</w:t>
            </w:r>
          </w:p>
        </w:tc>
        <w:tc>
          <w:tcPr>
            <w:tcW w:w="992" w:type="dxa"/>
          </w:tcPr>
          <w:p w14:paraId="7153C47A" w14:textId="77777777" w:rsidR="00587E8F" w:rsidRPr="00DD794B" w:rsidRDefault="00587E8F" w:rsidP="00401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Item No</w:t>
            </w:r>
          </w:p>
        </w:tc>
        <w:tc>
          <w:tcPr>
            <w:tcW w:w="6663" w:type="dxa"/>
          </w:tcPr>
          <w:p w14:paraId="35A55E8D" w14:textId="77777777" w:rsidR="00587E8F" w:rsidRPr="00DD794B" w:rsidRDefault="00587E8F" w:rsidP="00401F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Sample Item</w:t>
            </w:r>
          </w:p>
        </w:tc>
      </w:tr>
      <w:tr w:rsidR="00587E8F" w:rsidRPr="00325781" w14:paraId="1EEEF1DB" w14:textId="77777777" w:rsidTr="00401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59A9ABB0" w14:textId="77777777" w:rsidR="00587E8F" w:rsidRPr="00DD794B" w:rsidRDefault="00587E8F" w:rsidP="00401F0C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b w:val="0"/>
                <w:bCs w:val="0"/>
                <w:sz w:val="18"/>
                <w:szCs w:val="18"/>
                <w:lang w:val="en-US" w:eastAsia="en-US"/>
              </w:rPr>
              <w:t>Level of intercultural knowledge</w:t>
            </w:r>
          </w:p>
        </w:tc>
        <w:tc>
          <w:tcPr>
            <w:tcW w:w="992" w:type="dxa"/>
          </w:tcPr>
          <w:p w14:paraId="5D2C7300" w14:textId="77777777" w:rsidR="00587E8F" w:rsidRPr="00DD794B" w:rsidRDefault="00587E8F" w:rsidP="00401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IK1</w:t>
            </w:r>
          </w:p>
        </w:tc>
        <w:tc>
          <w:tcPr>
            <w:tcW w:w="6663" w:type="dxa"/>
          </w:tcPr>
          <w:p w14:paraId="0D44AEB4" w14:textId="77777777" w:rsidR="00587E8F" w:rsidRPr="00DD794B" w:rsidRDefault="00587E8F" w:rsidP="00401F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How do you assess your ability in intercultural communication?</w:t>
            </w:r>
          </w:p>
        </w:tc>
      </w:tr>
      <w:tr w:rsidR="00587E8F" w:rsidRPr="00325781" w14:paraId="470B19BD" w14:textId="77777777" w:rsidTr="00401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4FC11674" w14:textId="77777777" w:rsidR="00587E8F" w:rsidRPr="00DD794B" w:rsidRDefault="00587E8F" w:rsidP="00401F0C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 w:eastAsia="en-US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3D874D50" w14:textId="77777777" w:rsidR="00587E8F" w:rsidRPr="00DD794B" w:rsidRDefault="00587E8F" w:rsidP="00401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IK2</w:t>
            </w:r>
          </w:p>
        </w:tc>
        <w:tc>
          <w:tcPr>
            <w:tcW w:w="6663" w:type="dxa"/>
            <w:shd w:val="clear" w:color="auto" w:fill="D9E2F3" w:themeFill="accent1" w:themeFillTint="33"/>
          </w:tcPr>
          <w:p w14:paraId="0AADC27E" w14:textId="77777777" w:rsidR="00587E8F" w:rsidRPr="00DD794B" w:rsidRDefault="00587E8F" w:rsidP="00401F0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How do you assess your level of knowledge regarding conflict resolution strategies in the context of misunderstandings in intercultural settings with patients?</w:t>
            </w:r>
          </w:p>
        </w:tc>
      </w:tr>
      <w:tr w:rsidR="00587E8F" w:rsidRPr="00325781" w14:paraId="3B74499C" w14:textId="77777777" w:rsidTr="00401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0FE749D2" w14:textId="77777777" w:rsidR="00587E8F" w:rsidRPr="00DD794B" w:rsidRDefault="00587E8F" w:rsidP="00401F0C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 w:eastAsia="en-US"/>
              </w:rPr>
            </w:pPr>
          </w:p>
        </w:tc>
        <w:tc>
          <w:tcPr>
            <w:tcW w:w="992" w:type="dxa"/>
          </w:tcPr>
          <w:p w14:paraId="3707AED1" w14:textId="77777777" w:rsidR="00587E8F" w:rsidRPr="00DD794B" w:rsidRDefault="00587E8F" w:rsidP="00401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IK3</w:t>
            </w:r>
          </w:p>
        </w:tc>
        <w:tc>
          <w:tcPr>
            <w:tcW w:w="6663" w:type="dxa"/>
          </w:tcPr>
          <w:p w14:paraId="3CCA643D" w14:textId="77777777" w:rsidR="00587E8F" w:rsidRPr="00DD794B" w:rsidRDefault="00587E8F" w:rsidP="00401F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How confident do you feel in conducting a culturally sensitive physical examination?</w:t>
            </w:r>
          </w:p>
        </w:tc>
      </w:tr>
      <w:tr w:rsidR="00587E8F" w:rsidRPr="00325781" w14:paraId="50EDE73E" w14:textId="77777777" w:rsidTr="00401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7738AA27" w14:textId="77777777" w:rsidR="00587E8F" w:rsidRPr="00DD794B" w:rsidRDefault="00587E8F" w:rsidP="00401F0C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 w:eastAsia="en-US"/>
              </w:rPr>
            </w:pPr>
          </w:p>
        </w:tc>
        <w:tc>
          <w:tcPr>
            <w:tcW w:w="992" w:type="dxa"/>
            <w:shd w:val="clear" w:color="auto" w:fill="D9E2F3" w:themeFill="accent1" w:themeFillTint="33"/>
          </w:tcPr>
          <w:p w14:paraId="53E49B1E" w14:textId="77777777" w:rsidR="00587E8F" w:rsidRPr="00DD794B" w:rsidRDefault="00587E8F" w:rsidP="00401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IK4</w:t>
            </w:r>
          </w:p>
        </w:tc>
        <w:tc>
          <w:tcPr>
            <w:tcW w:w="6663" w:type="dxa"/>
            <w:shd w:val="clear" w:color="auto" w:fill="D9E2F3" w:themeFill="accent1" w:themeFillTint="33"/>
          </w:tcPr>
          <w:p w14:paraId="041FBEF8" w14:textId="77777777" w:rsidR="00587E8F" w:rsidRPr="00DD794B" w:rsidRDefault="00587E8F" w:rsidP="00401F0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How confident do you feel in dealing with culturally sensitive patient information and counseling?</w:t>
            </w:r>
          </w:p>
        </w:tc>
      </w:tr>
      <w:tr w:rsidR="00587E8F" w:rsidRPr="00325781" w14:paraId="19240FFA" w14:textId="77777777" w:rsidTr="00401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51CD0360" w14:textId="77777777" w:rsidR="00587E8F" w:rsidRPr="00DD794B" w:rsidRDefault="00587E8F" w:rsidP="00401F0C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 w:eastAsia="en-US"/>
              </w:rPr>
            </w:pPr>
          </w:p>
        </w:tc>
        <w:tc>
          <w:tcPr>
            <w:tcW w:w="992" w:type="dxa"/>
          </w:tcPr>
          <w:p w14:paraId="41074926" w14:textId="77777777" w:rsidR="00587E8F" w:rsidRPr="00DD794B" w:rsidRDefault="00587E8F" w:rsidP="00401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IK5</w:t>
            </w:r>
          </w:p>
        </w:tc>
        <w:tc>
          <w:tcPr>
            <w:tcW w:w="6663" w:type="dxa"/>
          </w:tcPr>
          <w:p w14:paraId="4F8E1763" w14:textId="77777777" w:rsidR="00587E8F" w:rsidRPr="00DD794B" w:rsidRDefault="00587E8F" w:rsidP="00401F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How competent do you feel in working with interpreters in the medical context?</w:t>
            </w:r>
          </w:p>
        </w:tc>
      </w:tr>
      <w:tr w:rsidR="00587E8F" w:rsidRPr="00325781" w14:paraId="01340F6B" w14:textId="77777777" w:rsidTr="00401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</w:tcPr>
          <w:p w14:paraId="1785A996" w14:textId="77777777" w:rsidR="00587E8F" w:rsidRPr="00DD794B" w:rsidRDefault="00587E8F" w:rsidP="00401F0C">
            <w:pPr>
              <w:rPr>
                <w:rFonts w:ascii="Arial" w:hAnsi="Arial" w:cs="Arial"/>
                <w:b w:val="0"/>
                <w:bCs w:val="0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b w:val="0"/>
                <w:bCs w:val="0"/>
                <w:sz w:val="18"/>
                <w:szCs w:val="18"/>
                <w:lang w:val="en-US" w:eastAsia="en-US"/>
              </w:rPr>
              <w:t>Level of knowledge in interculturality regarding Muslim patients</w:t>
            </w:r>
          </w:p>
        </w:tc>
        <w:tc>
          <w:tcPr>
            <w:tcW w:w="992" w:type="dxa"/>
          </w:tcPr>
          <w:p w14:paraId="7DC7A911" w14:textId="77777777" w:rsidR="00587E8F" w:rsidRPr="00DD794B" w:rsidRDefault="00587E8F" w:rsidP="00401F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IM1</w:t>
            </w:r>
          </w:p>
        </w:tc>
        <w:tc>
          <w:tcPr>
            <w:tcW w:w="6663" w:type="dxa"/>
          </w:tcPr>
          <w:p w14:paraId="6FADFF9D" w14:textId="77777777" w:rsidR="00587E8F" w:rsidRPr="00DD794B" w:rsidRDefault="00587E8F" w:rsidP="00401F0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D794B">
              <w:rPr>
                <w:rFonts w:ascii="Arial" w:hAnsi="Arial" w:cs="Arial"/>
                <w:sz w:val="18"/>
                <w:szCs w:val="18"/>
                <w:lang w:val="en-US" w:eastAsia="en-US"/>
              </w:rPr>
              <w:t>How do you assess your level of knowledge regarding sensitization to culturally specific aspects of Muslim patients?</w:t>
            </w:r>
          </w:p>
        </w:tc>
      </w:tr>
    </w:tbl>
    <w:p w14:paraId="33740E11" w14:textId="77777777" w:rsidR="00325781" w:rsidRDefault="00325781" w:rsidP="00325781">
      <w:pPr>
        <w:rPr>
          <w:lang w:val="en-US"/>
        </w:rPr>
      </w:pPr>
    </w:p>
    <w:p w14:paraId="38BCDF3B" w14:textId="6AF7DAE4" w:rsidR="00325781" w:rsidRPr="0067622B" w:rsidRDefault="00325781">
      <w:pPr>
        <w:rPr>
          <w:lang w:val="en-US"/>
        </w:rPr>
      </w:pPr>
      <w:r w:rsidRPr="0032578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55C0F" wp14:editId="529DD598">
                <wp:simplePos x="0" y="0"/>
                <wp:positionH relativeFrom="margin">
                  <wp:posOffset>-45876</wp:posOffset>
                </wp:positionH>
                <wp:positionV relativeFrom="paragraph">
                  <wp:posOffset>6139899</wp:posOffset>
                </wp:positionV>
                <wp:extent cx="5753100" cy="4826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6F3F2" w14:textId="6683766A" w:rsidR="00325781" w:rsidRPr="00325781" w:rsidRDefault="00325781" w:rsidP="00325781">
                            <w:pPr>
                              <w:pStyle w:val="Beschriftung"/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Appendix B</w:t>
                            </w:r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: Teaching concept as sandwich approach </w:t>
                            </w:r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fldChar w:fldCharType="begin"/>
                            </w:r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instrText xml:space="preserve"> ADDIN EN.CITE &lt;EndNote&gt;&lt;Cite&gt;&lt;Author&gt;Kadmon&lt;/Author&gt;&lt;Year&gt;2008&lt;/Year&gt;&lt;RecNum&gt;26&lt;/RecNum&gt;&lt;DisplayText&gt;[16]&lt;/DisplayText&gt;&lt;record&gt;&lt;rec-number&gt;26&lt;/rec-number&gt;&lt;foreign-keys&gt;&lt;key app="EN" db-id="9rv9xfsp82tw9oepd9dvz55use2sdxvf09se" timestamp="1708610053"&gt;26&lt;/key&gt;&lt;/foreign-keys&gt;&lt;ref-type name="Journal Article"&gt;17&lt;/ref-type&gt;&lt;contributors&gt;&lt;authors&gt;&lt;author&gt;Kadmon, M.&lt;/author&gt;&lt;author&gt;Strittmatter-Haubold, V.&lt;/author&gt;&lt;author&gt;Greifeneder, R.&lt;/author&gt;&lt;author&gt;Ehlail, F.&lt;/author&gt;&lt;author&gt;Lammerding-Koppel, M.&lt;/author&gt;&lt;/authors&gt;&lt;/contributors&gt;&lt;auth-address&gt;Chirurgische Klinik der Universitat Heidelberg. Martina.Kadmon@med.uni-heidelberg.de&lt;/auth-address&gt;&lt;titles&gt;&lt;title&gt;[The sandwich principle--introduction to learner-centred teaching/learning methods in medicine]&lt;/title&gt;&lt;secondary-title&gt;Z Evid Fortbild Qual Gesundhwes&lt;/secondary-title&gt;&lt;/titles&gt;&lt;periodical&gt;&lt;full-title&gt;Z Evid Fortbild Qual Gesundhwes&lt;/full-title&gt;&lt;/periodical&gt;&lt;pages&gt;628-33&lt;/pages&gt;&lt;volume&gt;102&lt;/volume&gt;&lt;number&gt;10&lt;/number&gt;&lt;keywords&gt;&lt;keyword&gt;Education, Medical/*standards&lt;/keyword&gt;&lt;keyword&gt;Germany&lt;/keyword&gt;&lt;keyword&gt;Humans&lt;/keyword&gt;&lt;keyword&gt;*Learning&lt;/keyword&gt;&lt;keyword&gt;Social Support&lt;/keyword&gt;&lt;keyword&gt;Students, Medical/*psychology&lt;/keyword&gt;&lt;keyword&gt;Teaching/methods/*standards&lt;/keyword&gt;&lt;/keywords&gt;&lt;dates&gt;&lt;year&gt;2008&lt;/year&gt;&lt;/dates&gt;&lt;orig-pub&gt;Das Sandwich-Prinzip--Einfuhrung in Lerner zentrierte Lehr-Lernmethoden in der Medizin.&lt;/orig-pub&gt;&lt;isbn&gt;1865-9217 (Print)&amp;#xD;1865-9217 (Linking)&lt;/isbn&gt;&lt;accession-num&gt;19402349&lt;/accession-num&gt;&lt;urls&gt;&lt;related-urls&gt;&lt;url&gt;https://www.ncbi.nlm.nih.gov/pubmed/19402349&lt;/url&gt;&lt;/related-urls&gt;&lt;/urls&gt;&lt;electronic-resource-num&gt;10.1016/j.zefq.2008.11.018&lt;/electronic-resource-num&gt;&lt;/record&gt;&lt;/Cite&gt;&lt;/EndNote&gt;</w:instrText>
                            </w:r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fldChar w:fldCharType="separate"/>
                            </w:r>
                            <w:r w:rsidRPr="00027E24"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  <w:t>[16]</w:t>
                            </w:r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fldChar w:fldCharType="end"/>
                            </w:r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t>Mentimeter</w:t>
                            </w:r>
                            <w:proofErr w:type="spellEnd"/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t>®: interactive presentation and polling tool. Case “Heparin for Muslims”</w:t>
                            </w:r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fldChar w:fldCharType="begin"/>
                            </w:r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instrText xml:space="preserve"> ADDIN EN.CITE &lt;EndNote&gt;&lt;Cite&gt;&lt;Year&gt;2019&lt;/Year&gt;&lt;RecNum&gt;24&lt;/RecNum&gt;&lt;DisplayText&gt;[24]&lt;/DisplayText&gt;&lt;record&gt;&lt;rec-number&gt;24&lt;/rec-number&gt;&lt;foreign-keys&gt;&lt;key app="EN" db-id="9rv9xfsp82tw9oepd9dvz55use2sdxvf09se" timestamp="1708516666"&gt;24&lt;/key&gt;&lt;/foreign-keys&gt;&lt;ref-type name="Journal Article"&gt;17&lt;/ref-type&gt;&lt;contributors&gt;&lt;/contributors&gt;&lt;titles&gt;&lt;title&gt;Heparin für Muslime – Wissenslücke: nicht vegan und nicht halal&lt;/title&gt;&lt;secondary-title&gt;Ethik in der Medizin&lt;/secondary-title&gt;&lt;/titles&gt;&lt;periodical&gt;&lt;full-title&gt;Ethik in der Medizin&lt;/full-title&gt;&lt;/periodical&gt;&lt;pages&gt;81-82&lt;/pages&gt;&lt;volume&gt;31&lt;/volume&gt;&lt;number&gt;1&lt;/number&gt;&lt;dates&gt;&lt;year&gt;2019&lt;/year&gt;&lt;pub-dates&gt;&lt;date&gt;2019/03/01&lt;/date&gt;&lt;/pub-dates&gt;&lt;/dates&gt;&lt;isbn&gt;1437-1618&lt;/isbn&gt;&lt;urls&gt;&lt;related-urls&gt;&lt;url&gt;https://doi.org/10.1007/s00481-018-00512-3&lt;/url&gt;&lt;/related-urls&gt;&lt;/urls&gt;&lt;electronic-resource-num&gt;10.1007/s00481-018-00512-3&lt;/electronic-resource-num&gt;&lt;/record&gt;&lt;/Cite&gt;&lt;/EndNote&gt;</w:instrText>
                            </w:r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fldChar w:fldCharType="separate"/>
                            </w:r>
                            <w:r w:rsidRPr="00027E24">
                              <w:rPr>
                                <w:rFonts w:ascii="Arial" w:hAnsi="Arial" w:cs="Arial"/>
                                <w:noProof/>
                                <w:lang w:val="en-US"/>
                              </w:rPr>
                              <w:t>[24]</w:t>
                            </w:r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fldChar w:fldCharType="end"/>
                            </w:r>
                            <w:r w:rsidRPr="00027E24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: </w:t>
                            </w:r>
                            <w:r w:rsidRPr="00027E24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>administration of porcine-derived heparin to a Muslim patient, potentially conflicting with Islamic beliefs when alternatives are available.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>Sp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>: simulated patient</w:t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55C0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.6pt;margin-top:483.45pt;width:453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" stroked="f">
                <v:textbox>
                  <w:txbxContent>
                    <w:p w14:paraId="6056F3F2" w14:textId="6683766A" w:rsidR="00325781" w:rsidRPr="00325781" w:rsidRDefault="00325781" w:rsidP="00325781">
                      <w:pPr>
                        <w:pStyle w:val="Beschriftung"/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Appendix B</w:t>
                      </w:r>
                      <w:r w:rsidRPr="00027E24">
                        <w:rPr>
                          <w:rFonts w:ascii="Arial" w:hAnsi="Arial" w:cs="Arial"/>
                          <w:lang w:val="en-US"/>
                        </w:rPr>
                        <w:t xml:space="preserve">: Teaching concept as sandwich approach </w:t>
                      </w:r>
                      <w:r w:rsidRPr="00027E24">
                        <w:rPr>
                          <w:rFonts w:ascii="Arial" w:hAnsi="Arial" w:cs="Arial"/>
                          <w:lang w:val="en-US"/>
                        </w:rPr>
                        <w:fldChar w:fldCharType="begin"/>
                      </w:r>
                      <w:r w:rsidRPr="00027E24">
                        <w:rPr>
                          <w:rFonts w:ascii="Arial" w:hAnsi="Arial" w:cs="Arial"/>
                          <w:lang w:val="en-US"/>
                        </w:rPr>
                        <w:instrText xml:space="preserve"> ADDIN EN.CITE &lt;EndNote&gt;&lt;Cite&gt;&lt;Author&gt;Kadmon&lt;/Author&gt;&lt;Year&gt;2008&lt;/Year&gt;&lt;RecNum&gt;26&lt;/RecNum&gt;&lt;DisplayText&gt;[16]&lt;/DisplayText&gt;&lt;record&gt;&lt;rec-number&gt;26&lt;/rec-number&gt;&lt;foreign-keys&gt;&lt;key app="EN" db-id="9rv9xfsp82tw9oepd9dvz55use2sdxvf09se" timestamp="1708610053"&gt;26&lt;/key&gt;&lt;/foreign-keys&gt;&lt;ref-type name="Journal Article"&gt;17&lt;/ref-type&gt;&lt;contributors&gt;&lt;authors&gt;&lt;author&gt;Kadmon, M.&lt;/author&gt;&lt;author&gt;Strittmatter-Haubold, V.&lt;/author&gt;&lt;author&gt;Greifeneder, R.&lt;/author&gt;&lt;author&gt;Ehlail, F.&lt;/author&gt;&lt;author&gt;Lammerding-Koppel, M.&lt;/author&gt;&lt;/authors&gt;&lt;/contributors&gt;&lt;auth-address&gt;Chirurgische Klinik der Universitat Heidelberg. Martina.Kadmon@med.uni-heidelberg.de&lt;/auth-address&gt;&lt;titles&gt;&lt;title&gt;[The sandwich principle--introduction to learner-centred teaching/learning methods in medicine]&lt;/title&gt;&lt;secondary-title&gt;Z Evid Fortbild Qual Gesundhwes&lt;/secondary-title&gt;&lt;/titles&gt;&lt;periodical&gt;&lt;full-title&gt;Z Evid Fortbild Qual Gesundhwes&lt;/full-title&gt;&lt;/periodical&gt;&lt;pages&gt;628-33&lt;/pages&gt;&lt;volume&gt;102&lt;/volume&gt;&lt;number&gt;10&lt;/number&gt;&lt;keywords&gt;&lt;keyword&gt;Education, Medical/*standards&lt;/keyword&gt;&lt;keyword&gt;Germany&lt;/keyword&gt;&lt;keyword&gt;Humans&lt;/keyword&gt;&lt;keyword&gt;*Learning&lt;/keyword&gt;&lt;keyword&gt;Social Support&lt;/keyword&gt;&lt;keyword&gt;Students, Medical/*psychology&lt;/keyword&gt;&lt;keyword&gt;Teaching/methods/*standards&lt;/keyword&gt;&lt;/keywords&gt;&lt;dates&gt;&lt;year&gt;2008&lt;/year&gt;&lt;/dates&gt;&lt;orig-pub&gt;Das Sandwich-Prinzip--Einfuhrung in Lerner zentrierte Lehr-Lernmethoden in der Medizin.&lt;/orig-pub&gt;&lt;isbn&gt;1865-9217 (Print)&amp;#xD;1865-9217 (Linking)&lt;/isbn&gt;&lt;accession-num&gt;19402349&lt;/accession-num&gt;&lt;urls&gt;&lt;related-urls&gt;&lt;url&gt;https://www.ncbi.nlm.nih.gov/pubmed/19402349&lt;/url&gt;&lt;/related-urls&gt;&lt;/urls&gt;&lt;electronic-resource-num&gt;10.1016/j.zefq.2008.11.018&lt;/electronic-resource-num&gt;&lt;/record&gt;&lt;/Cite&gt;&lt;/EndNote&gt;</w:instrText>
                      </w:r>
                      <w:r w:rsidRPr="00027E24">
                        <w:rPr>
                          <w:rFonts w:ascii="Arial" w:hAnsi="Arial" w:cs="Arial"/>
                          <w:lang w:val="en-US"/>
                        </w:rPr>
                        <w:fldChar w:fldCharType="separate"/>
                      </w:r>
                      <w:r w:rsidRPr="00027E24">
                        <w:rPr>
                          <w:rFonts w:ascii="Arial" w:hAnsi="Arial" w:cs="Arial"/>
                          <w:noProof/>
                          <w:lang w:val="en-US"/>
                        </w:rPr>
                        <w:t>[16]</w:t>
                      </w:r>
                      <w:r w:rsidRPr="00027E24">
                        <w:rPr>
                          <w:rFonts w:ascii="Arial" w:hAnsi="Arial" w:cs="Arial"/>
                          <w:lang w:val="en-US"/>
                        </w:rPr>
                        <w:fldChar w:fldCharType="end"/>
                      </w:r>
                      <w:r w:rsidRPr="00027E24">
                        <w:rPr>
                          <w:rFonts w:ascii="Arial" w:hAnsi="Arial" w:cs="Arial"/>
                          <w:lang w:val="en-US"/>
                        </w:rPr>
                        <w:t xml:space="preserve">. </w:t>
                      </w:r>
                      <w:proofErr w:type="spellStart"/>
                      <w:r w:rsidRPr="00027E24">
                        <w:rPr>
                          <w:rFonts w:ascii="Arial" w:hAnsi="Arial" w:cs="Arial"/>
                          <w:lang w:val="en-US"/>
                        </w:rPr>
                        <w:t>Mentimeter</w:t>
                      </w:r>
                      <w:proofErr w:type="spellEnd"/>
                      <w:r w:rsidRPr="00027E24">
                        <w:rPr>
                          <w:rFonts w:ascii="Arial" w:hAnsi="Arial" w:cs="Arial"/>
                          <w:lang w:val="en-US"/>
                        </w:rPr>
                        <w:t>®: interactive presentation and polling tool. Case “Heparin for Muslims”</w:t>
                      </w:r>
                      <w:r w:rsidRPr="00027E24">
                        <w:rPr>
                          <w:rFonts w:ascii="Arial" w:hAnsi="Arial" w:cs="Arial"/>
                          <w:lang w:val="en-US"/>
                        </w:rPr>
                        <w:fldChar w:fldCharType="begin"/>
                      </w:r>
                      <w:r w:rsidRPr="00027E24">
                        <w:rPr>
                          <w:rFonts w:ascii="Arial" w:hAnsi="Arial" w:cs="Arial"/>
                          <w:lang w:val="en-US"/>
                        </w:rPr>
                        <w:instrText xml:space="preserve"> ADDIN EN.CITE &lt;EndNote&gt;&lt;Cite&gt;&lt;Year&gt;2019&lt;/Year&gt;&lt;RecNum&gt;24&lt;/RecNum&gt;&lt;DisplayText&gt;[24]&lt;/DisplayText&gt;&lt;record&gt;&lt;rec-number&gt;24&lt;/rec-number&gt;&lt;foreign-keys&gt;&lt;key app="EN" db-id="9rv9xfsp82tw9oepd9dvz55use2sdxvf09se" timestamp="1708516666"&gt;24&lt;/key&gt;&lt;/foreign-keys&gt;&lt;ref-type name="Journal Article"&gt;17&lt;/ref-type&gt;&lt;contributors&gt;&lt;/contributors&gt;&lt;titles&gt;&lt;title&gt;Heparin für Muslime – Wissenslücke: nicht vegan und nicht halal&lt;/title&gt;&lt;secondary-title&gt;Ethik in der Medizin&lt;/secondary-title&gt;&lt;/titles&gt;&lt;periodical&gt;&lt;full-title&gt;Ethik in der Medizin&lt;/full-title&gt;&lt;/periodical&gt;&lt;pages&gt;81-82&lt;/pages&gt;&lt;volume&gt;31&lt;/volume&gt;&lt;number&gt;1&lt;/number&gt;&lt;dates&gt;&lt;year&gt;2019&lt;/year&gt;&lt;pub-dates&gt;&lt;date&gt;2019/03/01&lt;/date&gt;&lt;/pub-dates&gt;&lt;/dates&gt;&lt;isbn&gt;1437-1618&lt;/isbn&gt;&lt;urls&gt;&lt;related-urls&gt;&lt;url&gt;https://doi.org/10.1007/s00481-018-00512-3&lt;/url&gt;&lt;/related-urls&gt;&lt;/urls&gt;&lt;electronic-resource-num&gt;10.1007/s00481-018-00512-3&lt;/electronic-resource-num&gt;&lt;/record&gt;&lt;/Cite&gt;&lt;/EndNote&gt;</w:instrText>
                      </w:r>
                      <w:r w:rsidRPr="00027E24">
                        <w:rPr>
                          <w:rFonts w:ascii="Arial" w:hAnsi="Arial" w:cs="Arial"/>
                          <w:lang w:val="en-US"/>
                        </w:rPr>
                        <w:fldChar w:fldCharType="separate"/>
                      </w:r>
                      <w:r w:rsidRPr="00027E24">
                        <w:rPr>
                          <w:rFonts w:ascii="Arial" w:hAnsi="Arial" w:cs="Arial"/>
                          <w:noProof/>
                          <w:lang w:val="en-US"/>
                        </w:rPr>
                        <w:t>[24]</w:t>
                      </w:r>
                      <w:r w:rsidRPr="00027E24">
                        <w:rPr>
                          <w:rFonts w:ascii="Arial" w:hAnsi="Arial" w:cs="Arial"/>
                          <w:lang w:val="en-US"/>
                        </w:rPr>
                        <w:fldChar w:fldCharType="end"/>
                      </w:r>
                      <w:r w:rsidRPr="00027E24">
                        <w:rPr>
                          <w:rFonts w:ascii="Arial" w:hAnsi="Arial" w:cs="Arial"/>
                          <w:lang w:val="en-US"/>
                        </w:rPr>
                        <w:t xml:space="preserve">: </w:t>
                      </w:r>
                      <w:r w:rsidRPr="00027E24">
                        <w:rPr>
                          <w:rFonts w:ascii="Arial" w:hAnsi="Arial" w:cs="Arial"/>
                          <w:bCs/>
                          <w:lang w:val="en-US"/>
                        </w:rPr>
                        <w:t>administration of porcine-derived heparin to a Muslim patient, potentially conflicting with Islamic beliefs when alternatives are available.</w:t>
                      </w:r>
                      <w:r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lang w:val="en-US"/>
                        </w:rPr>
                        <w:t>Sp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lang w:val="en-US"/>
                        </w:rPr>
                        <w:t>: simulated patient</w:t>
                      </w:r>
                      <w:r>
                        <w:rPr>
                          <w:rFonts w:ascii="Arial" w:hAnsi="Arial" w:cs="Arial"/>
                          <w:bCs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US"/>
        </w:rPr>
        <w:drawing>
          <wp:anchor distT="0" distB="0" distL="114300" distR="114300" simplePos="0" relativeHeight="251658240" behindDoc="1" locked="0" layoutInCell="1" allowOverlap="1" wp14:anchorId="085AB109" wp14:editId="5C62BFA9">
            <wp:simplePos x="0" y="0"/>
            <wp:positionH relativeFrom="column">
              <wp:posOffset>-36723</wp:posOffset>
            </wp:positionH>
            <wp:positionV relativeFrom="paragraph">
              <wp:posOffset>203354</wp:posOffset>
            </wp:positionV>
            <wp:extent cx="5760720" cy="5836920"/>
            <wp:effectExtent l="0" t="0" r="0" b="0"/>
            <wp:wrapTight wrapText="bothSides">
              <wp:wrapPolygon edited="0">
                <wp:start x="0" y="0"/>
                <wp:lineTo x="0" y="21501"/>
                <wp:lineTo x="12286" y="21501"/>
                <wp:lineTo x="12429" y="21431"/>
                <wp:lineTo x="13571" y="20303"/>
                <wp:lineTo x="15857" y="19950"/>
                <wp:lineTo x="15857" y="19598"/>
                <wp:lineTo x="13500" y="19175"/>
                <wp:lineTo x="12429" y="18047"/>
                <wp:lineTo x="13500" y="18047"/>
                <wp:lineTo x="16857" y="17201"/>
                <wp:lineTo x="16786" y="16919"/>
                <wp:lineTo x="21000" y="16708"/>
                <wp:lineTo x="20929" y="16355"/>
                <wp:lineTo x="13429" y="15791"/>
                <wp:lineTo x="12429" y="14663"/>
                <wp:lineTo x="13786" y="14663"/>
                <wp:lineTo x="20857" y="13747"/>
                <wp:lineTo x="20929" y="13394"/>
                <wp:lineTo x="18857" y="13112"/>
                <wp:lineTo x="12571" y="12407"/>
                <wp:lineTo x="13500" y="11279"/>
                <wp:lineTo x="16286" y="10856"/>
                <wp:lineTo x="16286" y="10504"/>
                <wp:lineTo x="13571" y="10151"/>
                <wp:lineTo x="13714" y="9023"/>
                <wp:lineTo x="15429" y="8883"/>
                <wp:lineTo x="15357" y="8530"/>
                <wp:lineTo x="13429" y="7896"/>
                <wp:lineTo x="14714" y="7896"/>
                <wp:lineTo x="21429" y="6979"/>
                <wp:lineTo x="21500" y="6133"/>
                <wp:lineTo x="20929" y="6063"/>
                <wp:lineTo x="12571" y="5640"/>
                <wp:lineTo x="13429" y="4512"/>
                <wp:lineTo x="21000" y="4441"/>
                <wp:lineTo x="21000" y="3525"/>
                <wp:lineTo x="13643" y="3384"/>
                <wp:lineTo x="14786" y="2256"/>
                <wp:lineTo x="21286" y="1833"/>
                <wp:lineTo x="21286" y="1339"/>
                <wp:lineTo x="13500" y="1128"/>
                <wp:lineTo x="12286" y="0"/>
                <wp:lineTo x="0" y="0"/>
              </wp:wrapPolygon>
            </wp:wrapTight>
            <wp:docPr id="27715755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57553" name="Grafik 27715755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3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25781" w:rsidRPr="006762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2B"/>
    <w:rsid w:val="000605E2"/>
    <w:rsid w:val="000663C0"/>
    <w:rsid w:val="00325781"/>
    <w:rsid w:val="0038306C"/>
    <w:rsid w:val="00587E8F"/>
    <w:rsid w:val="0067622B"/>
    <w:rsid w:val="008469A5"/>
    <w:rsid w:val="00912F78"/>
    <w:rsid w:val="009D18FC"/>
    <w:rsid w:val="00AD0504"/>
    <w:rsid w:val="00E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9A03"/>
  <w15:chartTrackingRefBased/>
  <w15:docId w15:val="{E175CCD6-C6B1-4524-A830-AAED0EF4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622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587E8F"/>
    <w:pPr>
      <w:spacing w:after="200"/>
    </w:pPr>
    <w:rPr>
      <w:i/>
      <w:iCs/>
      <w:color w:val="44546A" w:themeColor="text2"/>
      <w:sz w:val="18"/>
      <w:szCs w:val="18"/>
    </w:rPr>
  </w:style>
  <w:style w:type="table" w:styleId="Gitternetztabelle2Akzent1">
    <w:name w:val="Grid Table 2 Accent 1"/>
    <w:basedOn w:val="NormaleTabelle"/>
    <w:uiPriority w:val="47"/>
    <w:rsid w:val="00587E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 Tekbaş</dc:creator>
  <cp:keywords/>
  <dc:description/>
  <cp:lastModifiedBy>Aysun Tekbaş</cp:lastModifiedBy>
  <cp:revision>5</cp:revision>
  <dcterms:created xsi:type="dcterms:W3CDTF">2024-02-21T14:12:00Z</dcterms:created>
  <dcterms:modified xsi:type="dcterms:W3CDTF">2024-03-25T13:56:00Z</dcterms:modified>
</cp:coreProperties>
</file>