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80" w:rightFromText="180" w:horzAnchor="margin" w:tblpY="82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84"/>
        <w:gridCol w:w="2610"/>
        <w:gridCol w:w="2611"/>
        <w:gridCol w:w="2611"/>
      </w:tblGrid>
      <w:tr w:rsidR="006C6395" w:rsidRPr="00F440EB" w14:paraId="59EAB734" w14:textId="77777777" w:rsidTr="00CD21AE">
        <w:tc>
          <w:tcPr>
            <w:tcW w:w="9016" w:type="dxa"/>
            <w:gridSpan w:val="4"/>
            <w:tcBorders>
              <w:bottom w:val="single" w:sz="4" w:space="0" w:color="auto"/>
            </w:tcBorders>
          </w:tcPr>
          <w:p w14:paraId="52D53F50" w14:textId="6F03B9BE" w:rsidR="006C6395" w:rsidRPr="00F440EB" w:rsidRDefault="00721172" w:rsidP="00CD21A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3481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Supplementary Table S</w:t>
            </w:r>
            <w:r w:rsidR="00B2388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  <w:r w:rsidRPr="0043481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. Detailed thematic analysis of the LLMs’ responses for Case Scenario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</w:tr>
      <w:tr w:rsidR="006C6395" w:rsidRPr="00F440EB" w14:paraId="4FD04B3A" w14:textId="77777777" w:rsidTr="00CD21AE">
        <w:tc>
          <w:tcPr>
            <w:tcW w:w="1184" w:type="dxa"/>
            <w:tcBorders>
              <w:top w:val="single" w:sz="4" w:space="0" w:color="auto"/>
              <w:bottom w:val="single" w:sz="4" w:space="0" w:color="auto"/>
            </w:tcBorders>
          </w:tcPr>
          <w:p w14:paraId="1C83293F" w14:textId="77777777" w:rsidR="006C6395" w:rsidRPr="00F440EB" w:rsidRDefault="006C6395" w:rsidP="00CD21A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14:paraId="6ED22A2E" w14:textId="77777777" w:rsidR="006C6395" w:rsidRPr="00F440EB" w:rsidRDefault="006C6395" w:rsidP="00CD21A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GROK 3</w:t>
            </w:r>
          </w:p>
        </w:tc>
        <w:tc>
          <w:tcPr>
            <w:tcW w:w="2611" w:type="dxa"/>
            <w:tcBorders>
              <w:top w:val="single" w:sz="4" w:space="0" w:color="auto"/>
              <w:bottom w:val="single" w:sz="4" w:space="0" w:color="auto"/>
            </w:tcBorders>
          </w:tcPr>
          <w:p w14:paraId="0FA90DD1" w14:textId="77777777" w:rsidR="006C6395" w:rsidRPr="00F440EB" w:rsidRDefault="006C6395" w:rsidP="00CD21A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Gemini 2.5 Flash</w:t>
            </w:r>
          </w:p>
        </w:tc>
        <w:tc>
          <w:tcPr>
            <w:tcW w:w="2611" w:type="dxa"/>
            <w:tcBorders>
              <w:top w:val="single" w:sz="4" w:space="0" w:color="auto"/>
              <w:bottom w:val="single" w:sz="4" w:space="0" w:color="auto"/>
            </w:tcBorders>
          </w:tcPr>
          <w:p w14:paraId="6383BC01" w14:textId="77777777" w:rsidR="006C6395" w:rsidRPr="00F440EB" w:rsidRDefault="006C6395" w:rsidP="00CD21A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ChatGPT 4.0</w:t>
            </w:r>
          </w:p>
        </w:tc>
      </w:tr>
      <w:tr w:rsidR="006C6395" w:rsidRPr="00F440EB" w14:paraId="75CD94E6" w14:textId="77777777" w:rsidTr="00CD21AE">
        <w:tc>
          <w:tcPr>
            <w:tcW w:w="1184" w:type="dxa"/>
            <w:tcBorders>
              <w:top w:val="single" w:sz="4" w:space="0" w:color="auto"/>
            </w:tcBorders>
          </w:tcPr>
          <w:p w14:paraId="04E2DA3F" w14:textId="77777777" w:rsidR="006C6395" w:rsidRPr="00F440EB" w:rsidRDefault="006C6395" w:rsidP="00CD21A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Ethical Dimension</w:t>
            </w:r>
          </w:p>
        </w:tc>
        <w:tc>
          <w:tcPr>
            <w:tcW w:w="2610" w:type="dxa"/>
            <w:tcBorders>
              <w:top w:val="single" w:sz="4" w:space="0" w:color="auto"/>
            </w:tcBorders>
          </w:tcPr>
          <w:p w14:paraId="0DDB6520" w14:textId="77777777" w:rsidR="006C6395" w:rsidRPr="00F440EB" w:rsidRDefault="006C6395" w:rsidP="00CD21A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Privacy and confidentiality</w:t>
            </w:r>
          </w:p>
          <w:p w14:paraId="34C345FB" w14:textId="77777777" w:rsidR="006C6395" w:rsidRPr="00F440EB" w:rsidRDefault="006C6395" w:rsidP="00CD21A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Autonomy</w:t>
            </w:r>
          </w:p>
          <w:p w14:paraId="4260815B" w14:textId="77777777" w:rsidR="006C6395" w:rsidRPr="00F440EB" w:rsidRDefault="006C6395" w:rsidP="00CD21A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Non-maleficence and beneficence</w:t>
            </w:r>
          </w:p>
          <w:p w14:paraId="0B4F4B5D" w14:textId="77777777" w:rsidR="006C6395" w:rsidRPr="00F440EB" w:rsidRDefault="006C6395" w:rsidP="00CD21A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Justice</w:t>
            </w:r>
          </w:p>
        </w:tc>
        <w:tc>
          <w:tcPr>
            <w:tcW w:w="2611" w:type="dxa"/>
            <w:tcBorders>
              <w:top w:val="single" w:sz="4" w:space="0" w:color="auto"/>
            </w:tcBorders>
          </w:tcPr>
          <w:p w14:paraId="7C0AF750" w14:textId="77777777" w:rsidR="006C6395" w:rsidRPr="00F440EB" w:rsidRDefault="006C6395" w:rsidP="00CD21A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Patient confidentiality and physician’s professional secrecy obligation</w:t>
            </w:r>
          </w:p>
          <w:p w14:paraId="4BBEB1AC" w14:textId="77777777" w:rsidR="006C6395" w:rsidRPr="00F440EB" w:rsidRDefault="006C6395" w:rsidP="00CD21A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Best interest of the child</w:t>
            </w:r>
          </w:p>
          <w:p w14:paraId="6DB2E5D4" w14:textId="77777777" w:rsidR="006C6395" w:rsidRPr="00F440EB" w:rsidRDefault="006C6395" w:rsidP="00CD21A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Autonomy and informed consent</w:t>
            </w:r>
          </w:p>
          <w:p w14:paraId="0327E7C3" w14:textId="77777777" w:rsidR="006C6395" w:rsidRPr="00F440EB" w:rsidRDefault="006C6395" w:rsidP="00CD21A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Parents’ right to be informed</w:t>
            </w:r>
          </w:p>
        </w:tc>
        <w:tc>
          <w:tcPr>
            <w:tcW w:w="2611" w:type="dxa"/>
            <w:tcBorders>
              <w:top w:val="single" w:sz="4" w:space="0" w:color="auto"/>
            </w:tcBorders>
          </w:tcPr>
          <w:p w14:paraId="2CF2CD20" w14:textId="77777777" w:rsidR="006C6395" w:rsidRPr="00F440EB" w:rsidRDefault="006C6395" w:rsidP="00CD21A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Confidentiality and secrecy</w:t>
            </w:r>
          </w:p>
          <w:p w14:paraId="79B421AF" w14:textId="77777777" w:rsidR="006C6395" w:rsidRPr="00F440EB" w:rsidRDefault="006C6395" w:rsidP="00CD21A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Non-maleficence and beneficence</w:t>
            </w:r>
          </w:p>
          <w:p w14:paraId="0E7D3E59" w14:textId="77777777" w:rsidR="006C6395" w:rsidRPr="00F440EB" w:rsidRDefault="006C6395" w:rsidP="00CD21A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Cultural sensitivity and respect </w:t>
            </w:r>
            <w:proofErr w:type="gramStart"/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to</w:t>
            </w:r>
            <w:proofErr w:type="gramEnd"/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sexual identity</w:t>
            </w:r>
          </w:p>
        </w:tc>
      </w:tr>
      <w:tr w:rsidR="006C6395" w:rsidRPr="00F440EB" w14:paraId="47374A9A" w14:textId="77777777" w:rsidTr="00CD21AE">
        <w:tc>
          <w:tcPr>
            <w:tcW w:w="1184" w:type="dxa"/>
          </w:tcPr>
          <w:p w14:paraId="6AD64113" w14:textId="77777777" w:rsidR="006C6395" w:rsidRPr="00F440EB" w:rsidRDefault="006C6395" w:rsidP="00CD21A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Legal Dimension</w:t>
            </w:r>
          </w:p>
        </w:tc>
        <w:tc>
          <w:tcPr>
            <w:tcW w:w="2610" w:type="dxa"/>
          </w:tcPr>
          <w:p w14:paraId="388B6A1E" w14:textId="77777777" w:rsidR="006C6395" w:rsidRPr="00F440EB" w:rsidRDefault="006C6395" w:rsidP="00CD21A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Legal framework concerning minors</w:t>
            </w:r>
          </w:p>
          <w:p w14:paraId="5772D03F" w14:textId="77777777" w:rsidR="006C6395" w:rsidRPr="00F440EB" w:rsidRDefault="006C6395" w:rsidP="00CD21AE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Civil Code Article 124 (Requires parental consent for healthcare decisions involving minors.)</w:t>
            </w:r>
          </w:p>
          <w:p w14:paraId="6AABE86F" w14:textId="77777777" w:rsidR="006C6395" w:rsidRPr="00F440EB" w:rsidRDefault="006C6395" w:rsidP="00CD21AE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Patient Rights Regulation Article 24 (States that an adolescent’s consent in healthcare may be considered, </w:t>
            </w:r>
            <w:proofErr w:type="gramStart"/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taking into account</w:t>
            </w:r>
            <w:proofErr w:type="gramEnd"/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their age and level of maturity.)</w:t>
            </w:r>
          </w:p>
          <w:p w14:paraId="6000EB93" w14:textId="77777777" w:rsidR="006C6395" w:rsidRPr="00F440EB" w:rsidRDefault="006C6395" w:rsidP="00CD21AE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Turkish Penal Code Article 104 (Regulates consensual sexual relations between individuals aged 15–18; criminal liability may arise if there is a significant age difference or an element of abuse.)</w:t>
            </w:r>
          </w:p>
          <w:p w14:paraId="1E5A4CE8" w14:textId="77777777" w:rsidR="006C6395" w:rsidRPr="00F440EB" w:rsidRDefault="006C6395" w:rsidP="00CD21A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Mandatory reporting obligation</w:t>
            </w:r>
          </w:p>
          <w:p w14:paraId="09452658" w14:textId="77777777" w:rsidR="006C6395" w:rsidRPr="00F440EB" w:rsidRDefault="006C6395" w:rsidP="00CD21AE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Turkish Penal Code Articles 278–279 – Establishes the legal duty to report certain crimes to the authorities; failure to do so may result in criminal liability.</w:t>
            </w:r>
          </w:p>
          <w:p w14:paraId="3CDCAB13" w14:textId="77777777" w:rsidR="006C6395" w:rsidRPr="00F440EB" w:rsidRDefault="006C6395" w:rsidP="00CD21A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Healthcare services and psychiatric follow-up</w:t>
            </w:r>
          </w:p>
        </w:tc>
        <w:tc>
          <w:tcPr>
            <w:tcW w:w="2611" w:type="dxa"/>
          </w:tcPr>
          <w:p w14:paraId="789BDF13" w14:textId="77777777" w:rsidR="006C6395" w:rsidRPr="00F440EB" w:rsidRDefault="006C6395" w:rsidP="00CD21A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Patient Rights Regulation (confidentiality and secrecy)</w:t>
            </w:r>
          </w:p>
          <w:p w14:paraId="0EC9E0AE" w14:textId="77777777" w:rsidR="006C6395" w:rsidRPr="00F440EB" w:rsidRDefault="006C6395" w:rsidP="00CD21A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Turkish Penal Code (TPC)</w:t>
            </w:r>
          </w:p>
          <w:p w14:paraId="71BD2197" w14:textId="77777777" w:rsidR="006C6395" w:rsidRPr="00F440EB" w:rsidRDefault="006C6395" w:rsidP="00CD21AE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Sexual abuse (TPC 103)</w:t>
            </w:r>
          </w:p>
          <w:p w14:paraId="7FBE8866" w14:textId="77777777" w:rsidR="006C6395" w:rsidRPr="00F440EB" w:rsidRDefault="006C6395" w:rsidP="00CD21AE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Obligation to report (TPC 279)</w:t>
            </w:r>
          </w:p>
          <w:p w14:paraId="4B83BCA5" w14:textId="77777777" w:rsidR="006C6395" w:rsidRPr="00F440EB" w:rsidRDefault="006C6395" w:rsidP="00CD21AE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Social Services Law</w:t>
            </w:r>
          </w:p>
        </w:tc>
        <w:tc>
          <w:tcPr>
            <w:tcW w:w="2611" w:type="dxa"/>
          </w:tcPr>
          <w:p w14:paraId="17E8EF12" w14:textId="77777777" w:rsidR="006C6395" w:rsidRPr="00F440EB" w:rsidRDefault="006C6395" w:rsidP="00CD21A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Sexual abuse and Child Protection Law (TPC article 103)</w:t>
            </w:r>
          </w:p>
          <w:p w14:paraId="5E2832F2" w14:textId="77777777" w:rsidR="006C6395" w:rsidRPr="00F440EB" w:rsidRDefault="006C6395" w:rsidP="00CD21A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Obligation to inform the family (Civil Code – parental notification)</w:t>
            </w:r>
          </w:p>
        </w:tc>
      </w:tr>
      <w:tr w:rsidR="006C6395" w:rsidRPr="00F440EB" w14:paraId="5EA6E2C3" w14:textId="77777777" w:rsidTr="00CD21AE">
        <w:tc>
          <w:tcPr>
            <w:tcW w:w="1184" w:type="dxa"/>
            <w:tcBorders>
              <w:bottom w:val="single" w:sz="4" w:space="0" w:color="auto"/>
            </w:tcBorders>
          </w:tcPr>
          <w:p w14:paraId="2F35C3DF" w14:textId="77777777" w:rsidR="006C6395" w:rsidRPr="00F440EB" w:rsidRDefault="006C6395" w:rsidP="00CD21A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Suggestions to the Physician</w:t>
            </w: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14:paraId="3CA81841" w14:textId="77777777" w:rsidR="006C6395" w:rsidRPr="00F440EB" w:rsidRDefault="006C6395" w:rsidP="00CD21A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Protecting confidentiality and strengthening the trust relationship</w:t>
            </w:r>
          </w:p>
          <w:p w14:paraId="17B75214" w14:textId="77777777" w:rsidR="006C6395" w:rsidRPr="00F440EB" w:rsidRDefault="006C6395" w:rsidP="00CD21A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Risk assessment and safety planning</w:t>
            </w:r>
          </w:p>
          <w:p w14:paraId="6ED48249" w14:textId="77777777" w:rsidR="006C6395" w:rsidRPr="00F440EB" w:rsidRDefault="006C6395" w:rsidP="00CD21A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Psychotherapeutic intervention</w:t>
            </w:r>
          </w:p>
          <w:p w14:paraId="69970D1F" w14:textId="77777777" w:rsidR="006C6395" w:rsidRPr="00F440EB" w:rsidRDefault="006C6395" w:rsidP="00CD21A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Managing the relationship with the family</w:t>
            </w:r>
          </w:p>
          <w:p w14:paraId="62DF5FF6" w14:textId="77777777" w:rsidR="006C6395" w:rsidRPr="00F440EB" w:rsidRDefault="006C6395" w:rsidP="00CD21A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Managing legal obligations</w:t>
            </w:r>
          </w:p>
          <w:p w14:paraId="2E714A51" w14:textId="77777777" w:rsidR="006C6395" w:rsidRPr="00F440EB" w:rsidRDefault="006C6395" w:rsidP="00CD21A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Education and social support</w:t>
            </w:r>
          </w:p>
          <w:p w14:paraId="4B3CD91F" w14:textId="77777777" w:rsidR="006C6395" w:rsidRPr="00F440EB" w:rsidRDefault="006C6395" w:rsidP="00CD21A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Re-evaluating the medical treatment</w:t>
            </w:r>
          </w:p>
          <w:p w14:paraId="78624FFA" w14:textId="77777777" w:rsidR="006C6395" w:rsidRPr="00F440EB" w:rsidRDefault="006C6395" w:rsidP="00CD21A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Multidisciplinary approach</w:t>
            </w:r>
          </w:p>
        </w:tc>
        <w:tc>
          <w:tcPr>
            <w:tcW w:w="2611" w:type="dxa"/>
            <w:tcBorders>
              <w:bottom w:val="single" w:sz="4" w:space="0" w:color="auto"/>
            </w:tcBorders>
          </w:tcPr>
          <w:p w14:paraId="6EA3223A" w14:textId="77777777" w:rsidR="006C6395" w:rsidRPr="00F440EB" w:rsidRDefault="006C6395" w:rsidP="00CD21A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Evaluation of the risks and building trust</w:t>
            </w:r>
          </w:p>
          <w:p w14:paraId="03650761" w14:textId="77777777" w:rsidR="006C6395" w:rsidRPr="00F440EB" w:rsidRDefault="006C6395" w:rsidP="00CD21A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Transparent communication with the adolescent and participation in decision-making</w:t>
            </w:r>
          </w:p>
          <w:p w14:paraId="55D8D4E7" w14:textId="77777777" w:rsidR="006C6395" w:rsidRPr="00F440EB" w:rsidRDefault="006C6395" w:rsidP="00CD21A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Communication strategies with family</w:t>
            </w:r>
          </w:p>
          <w:p w14:paraId="7A6C7263" w14:textId="77777777" w:rsidR="006C6395" w:rsidRPr="00F440EB" w:rsidRDefault="006C6395" w:rsidP="00CD21AE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Avoiding </w:t>
            </w:r>
            <w:proofErr w:type="gramStart"/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sexual orientation talk</w:t>
            </w:r>
            <w:proofErr w:type="gramEnd"/>
          </w:p>
          <w:p w14:paraId="2D6D4351" w14:textId="77777777" w:rsidR="006C6395" w:rsidRPr="00F440EB" w:rsidRDefault="006C6395" w:rsidP="00CD21AE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Risk-focused informing</w:t>
            </w:r>
          </w:p>
          <w:p w14:paraId="53BC3DEF" w14:textId="77777777" w:rsidR="006C6395" w:rsidRPr="00F440EB" w:rsidRDefault="006C6395" w:rsidP="00CD21AE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Collaborative, solution-focused approach</w:t>
            </w:r>
          </w:p>
          <w:p w14:paraId="77A0ECE9" w14:textId="77777777" w:rsidR="006C6395" w:rsidRPr="00F440EB" w:rsidRDefault="006C6395" w:rsidP="00CD21A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Compliance with mandatory reporting requirements</w:t>
            </w:r>
          </w:p>
          <w:p w14:paraId="73ADA6D8" w14:textId="77777777" w:rsidR="006C6395" w:rsidRPr="00F440EB" w:rsidRDefault="006C6395" w:rsidP="00CD21A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Multidisciplinary approach and consultation</w:t>
            </w:r>
          </w:p>
          <w:p w14:paraId="67E6A494" w14:textId="77777777" w:rsidR="006C6395" w:rsidRPr="00F440EB" w:rsidRDefault="006C6395" w:rsidP="00CD21A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Documenting</w:t>
            </w:r>
          </w:p>
        </w:tc>
        <w:tc>
          <w:tcPr>
            <w:tcW w:w="2611" w:type="dxa"/>
            <w:tcBorders>
              <w:bottom w:val="single" w:sz="4" w:space="0" w:color="auto"/>
            </w:tcBorders>
          </w:tcPr>
          <w:p w14:paraId="1644A234" w14:textId="77777777" w:rsidR="006C6395" w:rsidRPr="00F440EB" w:rsidRDefault="006C6395" w:rsidP="00CD21A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Respect confidentiality but remain alert to potential risks</w:t>
            </w:r>
          </w:p>
          <w:p w14:paraId="620F4F99" w14:textId="77777777" w:rsidR="006C6395" w:rsidRPr="00F440EB" w:rsidRDefault="006C6395" w:rsidP="00CD21A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Notification to judicial authorities must be made </w:t>
            </w:r>
          </w:p>
          <w:p w14:paraId="006D8EF5" w14:textId="77777777" w:rsidR="006C6395" w:rsidRPr="00F440EB" w:rsidRDefault="006C6395" w:rsidP="00CD21A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Psychosocial support and guidance should be provided</w:t>
            </w:r>
          </w:p>
          <w:p w14:paraId="0611EF7A" w14:textId="77777777" w:rsidR="006C6395" w:rsidRPr="00F440EB" w:rsidRDefault="006C6395" w:rsidP="00CD21A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 gradual process of collaboration with the family may be established</w:t>
            </w:r>
          </w:p>
          <w:p w14:paraId="791CBDB6" w14:textId="77777777" w:rsidR="006C6395" w:rsidRPr="00F440EB" w:rsidRDefault="006C6395" w:rsidP="00CD21A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The entire clinical process should be documented in writing</w:t>
            </w:r>
          </w:p>
        </w:tc>
      </w:tr>
    </w:tbl>
    <w:p w14:paraId="686DEF8F" w14:textId="3C204BC4" w:rsidR="00CD21AE" w:rsidRPr="00CD21AE" w:rsidRDefault="00CD21AE" w:rsidP="00CD21AE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CD21AE">
        <w:rPr>
          <w:rFonts w:ascii="Times New Roman" w:hAnsi="Times New Roman" w:cs="Times New Roman"/>
          <w:b/>
          <w:sz w:val="24"/>
          <w:szCs w:val="24"/>
          <w:lang w:val="en-GB"/>
        </w:rPr>
        <w:t>Supplementary Table S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5</w:t>
      </w:r>
      <w:r w:rsidRPr="00CD21AE">
        <w:rPr>
          <w:rFonts w:ascii="Times New Roman" w:hAnsi="Times New Roman" w:cs="Times New Roman"/>
          <w:b/>
          <w:sz w:val="24"/>
          <w:szCs w:val="24"/>
          <w:lang w:val="en-GB"/>
        </w:rPr>
        <w:t xml:space="preserve">. Detailed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thematic</w:t>
      </w:r>
      <w:r w:rsidRPr="00CD21A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analysis of the LLM’s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GB"/>
        </w:rPr>
        <w:t>responsess</w:t>
      </w:r>
      <w:proofErr w:type="spellEnd"/>
      <w:r w:rsidRPr="00CD21A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for Case Scenario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3</w:t>
      </w:r>
    </w:p>
    <w:p w14:paraId="1E054266" w14:textId="77777777" w:rsidR="00044355" w:rsidRDefault="00044355"/>
    <w:sectPr w:rsidR="000443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300B9A"/>
    <w:multiLevelType w:val="hybridMultilevel"/>
    <w:tmpl w:val="4A9EFE5E"/>
    <w:lvl w:ilvl="0" w:tplc="9F12EA8A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17073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D5A"/>
    <w:rsid w:val="00044355"/>
    <w:rsid w:val="001D39CD"/>
    <w:rsid w:val="006843EC"/>
    <w:rsid w:val="006C6395"/>
    <w:rsid w:val="00721172"/>
    <w:rsid w:val="00893D93"/>
    <w:rsid w:val="00A24289"/>
    <w:rsid w:val="00B2388D"/>
    <w:rsid w:val="00CD21AE"/>
    <w:rsid w:val="00D01DA0"/>
    <w:rsid w:val="00D04D5A"/>
    <w:rsid w:val="00D65C95"/>
    <w:rsid w:val="00FD7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D6E80D6"/>
  <w15:chartTrackingRefBased/>
  <w15:docId w15:val="{944D22B4-388D-44CD-89A0-062AF0061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6395"/>
    <w:rPr>
      <w:lang w:val="tr-TR"/>
    </w:rPr>
  </w:style>
  <w:style w:type="paragraph" w:styleId="Balk1">
    <w:name w:val="heading 1"/>
    <w:basedOn w:val="Normal"/>
    <w:next w:val="Normal"/>
    <w:link w:val="Balk1Char"/>
    <w:uiPriority w:val="9"/>
    <w:qFormat/>
    <w:rsid w:val="00D04D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D04D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D04D5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D04D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D04D5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D04D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D04D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D04D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D04D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D04D5A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tr-TR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D04D5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tr-TR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D04D5A"/>
    <w:rPr>
      <w:rFonts w:eastAsiaTheme="majorEastAsia" w:cstheme="majorBidi"/>
      <w:color w:val="2F5496" w:themeColor="accent1" w:themeShade="BF"/>
      <w:sz w:val="28"/>
      <w:szCs w:val="28"/>
      <w:lang w:val="tr-TR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D04D5A"/>
    <w:rPr>
      <w:rFonts w:eastAsiaTheme="majorEastAsia" w:cstheme="majorBidi"/>
      <w:i/>
      <w:iCs/>
      <w:color w:val="2F5496" w:themeColor="accent1" w:themeShade="BF"/>
      <w:lang w:val="tr-TR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D04D5A"/>
    <w:rPr>
      <w:rFonts w:eastAsiaTheme="majorEastAsia" w:cstheme="majorBidi"/>
      <w:color w:val="2F5496" w:themeColor="accent1" w:themeShade="BF"/>
      <w:lang w:val="tr-TR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D04D5A"/>
    <w:rPr>
      <w:rFonts w:eastAsiaTheme="majorEastAsia" w:cstheme="majorBidi"/>
      <w:i/>
      <w:iCs/>
      <w:color w:val="595959" w:themeColor="text1" w:themeTint="A6"/>
      <w:lang w:val="tr-TR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D04D5A"/>
    <w:rPr>
      <w:rFonts w:eastAsiaTheme="majorEastAsia" w:cstheme="majorBidi"/>
      <w:color w:val="595959" w:themeColor="text1" w:themeTint="A6"/>
      <w:lang w:val="tr-TR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D04D5A"/>
    <w:rPr>
      <w:rFonts w:eastAsiaTheme="majorEastAsia" w:cstheme="majorBidi"/>
      <w:i/>
      <w:iCs/>
      <w:color w:val="272727" w:themeColor="text1" w:themeTint="D8"/>
      <w:lang w:val="tr-TR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D04D5A"/>
    <w:rPr>
      <w:rFonts w:eastAsiaTheme="majorEastAsia" w:cstheme="majorBidi"/>
      <w:color w:val="272727" w:themeColor="text1" w:themeTint="D8"/>
      <w:lang w:val="tr-TR"/>
    </w:rPr>
  </w:style>
  <w:style w:type="paragraph" w:styleId="KonuBal">
    <w:name w:val="Title"/>
    <w:basedOn w:val="Normal"/>
    <w:next w:val="Normal"/>
    <w:link w:val="KonuBalChar"/>
    <w:uiPriority w:val="10"/>
    <w:qFormat/>
    <w:rsid w:val="00D04D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04D5A"/>
    <w:rPr>
      <w:rFonts w:asciiTheme="majorHAnsi" w:eastAsiaTheme="majorEastAsia" w:hAnsiTheme="majorHAnsi" w:cstheme="majorBidi"/>
      <w:spacing w:val="-10"/>
      <w:kern w:val="28"/>
      <w:sz w:val="56"/>
      <w:szCs w:val="56"/>
      <w:lang w:val="tr-TR"/>
    </w:rPr>
  </w:style>
  <w:style w:type="paragraph" w:styleId="Altyaz">
    <w:name w:val="Subtitle"/>
    <w:basedOn w:val="Normal"/>
    <w:next w:val="Normal"/>
    <w:link w:val="AltyazChar"/>
    <w:uiPriority w:val="11"/>
    <w:qFormat/>
    <w:rsid w:val="00D04D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D04D5A"/>
    <w:rPr>
      <w:rFonts w:eastAsiaTheme="majorEastAsia" w:cstheme="majorBidi"/>
      <w:color w:val="595959" w:themeColor="text1" w:themeTint="A6"/>
      <w:spacing w:val="15"/>
      <w:sz w:val="28"/>
      <w:szCs w:val="28"/>
      <w:lang w:val="tr-TR"/>
    </w:rPr>
  </w:style>
  <w:style w:type="paragraph" w:styleId="Alnt">
    <w:name w:val="Quote"/>
    <w:basedOn w:val="Normal"/>
    <w:next w:val="Normal"/>
    <w:link w:val="AlntChar"/>
    <w:uiPriority w:val="29"/>
    <w:qFormat/>
    <w:rsid w:val="00D04D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D04D5A"/>
    <w:rPr>
      <w:i/>
      <w:iCs/>
      <w:color w:val="404040" w:themeColor="text1" w:themeTint="BF"/>
      <w:lang w:val="tr-TR"/>
    </w:rPr>
  </w:style>
  <w:style w:type="paragraph" w:styleId="ListeParagraf">
    <w:name w:val="List Paragraph"/>
    <w:basedOn w:val="Normal"/>
    <w:uiPriority w:val="34"/>
    <w:qFormat/>
    <w:rsid w:val="00D04D5A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D04D5A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D04D5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D04D5A"/>
    <w:rPr>
      <w:i/>
      <w:iCs/>
      <w:color w:val="2F5496" w:themeColor="accent1" w:themeShade="BF"/>
      <w:lang w:val="tr-TR"/>
    </w:rPr>
  </w:style>
  <w:style w:type="character" w:styleId="GlBavuru">
    <w:name w:val="Intense Reference"/>
    <w:basedOn w:val="VarsaylanParagrafYazTipi"/>
    <w:uiPriority w:val="32"/>
    <w:qFormat/>
    <w:rsid w:val="00D04D5A"/>
    <w:rPr>
      <w:b/>
      <w:bCs/>
      <w:smallCaps/>
      <w:color w:val="2F5496" w:themeColor="accent1" w:themeShade="BF"/>
      <w:spacing w:val="5"/>
    </w:rPr>
  </w:style>
  <w:style w:type="table" w:styleId="TabloKlavuzu">
    <w:name w:val="Table Grid"/>
    <w:basedOn w:val="NormalTablo"/>
    <w:uiPriority w:val="39"/>
    <w:rsid w:val="006C63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350</Words>
  <Characters>2252</Characters>
  <Application>Microsoft Office Word</Application>
  <DocSecurity>0</DocSecurity>
  <Lines>102</Lines>
  <Paragraphs>63</Paragraphs>
  <ScaleCrop>false</ScaleCrop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Sarper Icen</dc:creator>
  <cp:keywords/>
  <dc:description/>
  <cp:lastModifiedBy>Sarper Icen</cp:lastModifiedBy>
  <cp:revision>5</cp:revision>
  <dcterms:created xsi:type="dcterms:W3CDTF">2025-09-16T07:51:00Z</dcterms:created>
  <dcterms:modified xsi:type="dcterms:W3CDTF">2025-09-19T16:42:00Z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a1909dfa-4010-4c76-8bba-0d8a3a75640a</vt:lpwstr>
  </property>
</Properties>
</file>