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22F09" w14:textId="72FC5CAF" w:rsidR="00D70A50" w:rsidRDefault="00D70A50" w:rsidP="00D70A50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Supplementary Table 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. Detailed</w:t>
      </w:r>
      <w:r w:rsidRPr="00FB0B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d</w:t>
      </w:r>
      <w:r w:rsidRPr="00FB0B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iscourse analysis of the LLM’s suggestions for Case Scenario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2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2610"/>
        <w:gridCol w:w="2611"/>
        <w:gridCol w:w="2611"/>
      </w:tblGrid>
      <w:tr w:rsidR="00D70A50" w:rsidRPr="00FB0B17" w14:paraId="20C38F49" w14:textId="77777777" w:rsidTr="00077B97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0F85F2E2" w14:textId="1BBD7830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Supplementary </w:t>
            </w: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Table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. </w:t>
            </w:r>
            <w:bookmarkStart w:id="0" w:name="_Hlk205220672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Detailed</w:t>
            </w: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discourse analysis of the LLMs’ suggestions for Case Scenario 2</w:t>
            </w:r>
            <w:bookmarkEnd w:id="0"/>
          </w:p>
        </w:tc>
      </w:tr>
      <w:tr w:rsidR="00D70A50" w:rsidRPr="00FB0B17" w14:paraId="34BCC96A" w14:textId="77777777" w:rsidTr="00077B97"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095CAC6E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34FA152" w14:textId="77777777" w:rsidR="00D70A50" w:rsidRPr="00FB0B17" w:rsidRDefault="00D70A50" w:rsidP="00077B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ChatGPT 4.0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60ECAAD1" w14:textId="77777777" w:rsidR="00D70A50" w:rsidRPr="00FB0B17" w:rsidRDefault="00D70A50" w:rsidP="00077B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Gemini 2.5 Flash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72620092" w14:textId="77777777" w:rsidR="00D70A50" w:rsidRPr="00FB0B17" w:rsidRDefault="00D70A50" w:rsidP="00077B9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GROK 3.0</w:t>
            </w:r>
          </w:p>
        </w:tc>
      </w:tr>
      <w:tr w:rsidR="00D70A50" w:rsidRPr="00FB0B17" w14:paraId="53FA4979" w14:textId="77777777" w:rsidTr="00077B97">
        <w:tc>
          <w:tcPr>
            <w:tcW w:w="1184" w:type="dxa"/>
            <w:tcBorders>
              <w:top w:val="single" w:sz="4" w:space="0" w:color="auto"/>
            </w:tcBorders>
          </w:tcPr>
          <w:p w14:paraId="4987C265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Form of Address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78398331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Direct and Clear, Addressing a Colleague:</w:t>
            </w:r>
          </w:p>
          <w:p w14:paraId="516ADB39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Uses a “physician”-focused expression that speaks directly and explicitly to the professional.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0B68ED41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Formal and Duty-Oriented:</w:t>
            </w:r>
          </w:p>
          <w:p w14:paraId="53629E65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Reminds the physician of their responsibilities in a structured and authoritative manner.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096362FC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Consultative, Friendly, and Inclusive:</w:t>
            </w:r>
          </w:p>
          <w:p w14:paraId="44D90C4D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Addresses the physician in a supportive, advisory tone that fosters collaboration.</w:t>
            </w:r>
          </w:p>
          <w:p w14:paraId="55B9CD00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70A50" w:rsidRPr="00FB0B17" w14:paraId="64C110E9" w14:textId="77777777" w:rsidTr="00077B97">
        <w:tc>
          <w:tcPr>
            <w:tcW w:w="1184" w:type="dxa"/>
          </w:tcPr>
          <w:p w14:paraId="43E183F1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Tone and Style</w:t>
            </w:r>
          </w:p>
        </w:tc>
        <w:tc>
          <w:tcPr>
            <w:tcW w:w="2610" w:type="dxa"/>
          </w:tcPr>
          <w:p w14:paraId="3D8F9E5A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Simple, Supportive, and Encouraging Tone:</w:t>
            </w:r>
          </w:p>
          <w:p w14:paraId="49BAA874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Communicates clearly and positively to reassure and guide the physician.</w:t>
            </w:r>
          </w:p>
        </w:tc>
        <w:tc>
          <w:tcPr>
            <w:tcW w:w="2611" w:type="dxa"/>
          </w:tcPr>
          <w:p w14:paraId="18DD481A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Serious, Structured, and Responsibility-Focused:</w:t>
            </w:r>
          </w:p>
          <w:p w14:paraId="7C23DEBD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Emphasizes accountability and follows a well-organized, formal structure.</w:t>
            </w:r>
          </w:p>
        </w:tc>
        <w:tc>
          <w:tcPr>
            <w:tcW w:w="2611" w:type="dxa"/>
          </w:tcPr>
          <w:p w14:paraId="0724FBF0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Empathetic, Explanatory, and Example-Rich:</w:t>
            </w:r>
          </w:p>
          <w:p w14:paraId="30E1E2A8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Combines emotional understanding with clarifying explanations and illustrative examples.</w:t>
            </w:r>
          </w:p>
        </w:tc>
      </w:tr>
      <w:tr w:rsidR="00D70A50" w:rsidRPr="00FB0B17" w14:paraId="6F110623" w14:textId="77777777" w:rsidTr="00077B97">
        <w:tc>
          <w:tcPr>
            <w:tcW w:w="1184" w:type="dxa"/>
          </w:tcPr>
          <w:p w14:paraId="5DB2983A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Use of Auxiliary Verbs</w:t>
            </w:r>
          </w:p>
        </w:tc>
        <w:tc>
          <w:tcPr>
            <w:tcW w:w="2610" w:type="dxa"/>
          </w:tcPr>
          <w:p w14:paraId="2786E441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Necessity-Focused Constructions:</w:t>
            </w:r>
          </w:p>
          <w:p w14:paraId="7CEF5CC3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Prefers structures such as “is necessary,” “should be done,” “must be ensured” to convey obligation.</w:t>
            </w:r>
          </w:p>
        </w:tc>
        <w:tc>
          <w:tcPr>
            <w:tcW w:w="2611" w:type="dxa"/>
          </w:tcPr>
          <w:p w14:paraId="05C6AC2A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Legally Emphatic Constructions:</w:t>
            </w:r>
          </w:p>
          <w:p w14:paraId="31C77C88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Frequently uses expressions such as “is mandatory,” “is required,” “must be carried out” to underline legal requirements.</w:t>
            </w:r>
          </w:p>
        </w:tc>
        <w:tc>
          <w:tcPr>
            <w:tcW w:w="2611" w:type="dxa"/>
          </w:tcPr>
          <w:p w14:paraId="4D014CDD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Flexible, Option-Giving Constructions:</w:t>
            </w:r>
          </w:p>
          <w:p w14:paraId="45EEA3DC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Prefers auxiliary verbs such as “may,” “is recommended,” “could be considered” to offer discretion and alternative options.</w:t>
            </w:r>
          </w:p>
        </w:tc>
      </w:tr>
      <w:tr w:rsidR="00D70A50" w:rsidRPr="00FB0B17" w14:paraId="35B1D9E7" w14:textId="77777777" w:rsidTr="00077B97">
        <w:tc>
          <w:tcPr>
            <w:tcW w:w="1184" w:type="dxa"/>
          </w:tcPr>
          <w:p w14:paraId="7B255709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Strength of Predicates</w:t>
            </w:r>
          </w:p>
        </w:tc>
        <w:tc>
          <w:tcPr>
            <w:tcW w:w="2610" w:type="dxa"/>
          </w:tcPr>
          <w:p w14:paraId="6288EAE1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High: Directs through imperative forms or strong necessity expressions.</w:t>
            </w:r>
          </w:p>
        </w:tc>
        <w:tc>
          <w:tcPr>
            <w:tcW w:w="2611" w:type="dxa"/>
          </w:tcPr>
          <w:p w14:paraId="39A7A842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Very High: Uses clear, decisive predicates that emphasize the physician’s responsibility.</w:t>
            </w:r>
          </w:p>
        </w:tc>
        <w:tc>
          <w:tcPr>
            <w:tcW w:w="2611" w:type="dxa"/>
          </w:tcPr>
          <w:p w14:paraId="6FEEC2BE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Moderate: Offers alternatives and encourages reflective decision-making.</w:t>
            </w:r>
          </w:p>
        </w:tc>
      </w:tr>
      <w:tr w:rsidR="00D70A50" w:rsidRPr="00FB0B17" w14:paraId="4033B2FD" w14:textId="77777777" w:rsidTr="00077B97">
        <w:tc>
          <w:tcPr>
            <w:tcW w:w="1184" w:type="dxa"/>
          </w:tcPr>
          <w:p w14:paraId="03013589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Level of Guidance</w:t>
            </w:r>
          </w:p>
        </w:tc>
        <w:tc>
          <w:tcPr>
            <w:tcW w:w="2610" w:type="dxa"/>
          </w:tcPr>
          <w:p w14:paraId="606F683D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High: Provides step-by-step, actionable recommendations.</w:t>
            </w:r>
          </w:p>
        </w:tc>
        <w:tc>
          <w:tcPr>
            <w:tcW w:w="2611" w:type="dxa"/>
          </w:tcPr>
          <w:p w14:paraId="2CFED118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High: Outlines legal and institutional procedures in detail.</w:t>
            </w:r>
          </w:p>
        </w:tc>
        <w:tc>
          <w:tcPr>
            <w:tcW w:w="2611" w:type="dxa"/>
          </w:tcPr>
          <w:p w14:paraId="46A84389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Moderate-to-High: Offers guidance while allowing room for professional discretion.</w:t>
            </w:r>
          </w:p>
        </w:tc>
      </w:tr>
      <w:tr w:rsidR="00D70A50" w:rsidRPr="00FB0B17" w14:paraId="496F74F8" w14:textId="77777777" w:rsidTr="00077B97">
        <w:tc>
          <w:tcPr>
            <w:tcW w:w="1184" w:type="dxa"/>
          </w:tcPr>
          <w:p w14:paraId="1A66740C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Managing Complex Situations</w:t>
            </w:r>
          </w:p>
        </w:tc>
        <w:tc>
          <w:tcPr>
            <w:tcW w:w="2610" w:type="dxa"/>
          </w:tcPr>
          <w:p w14:paraId="677EA58E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Solution-Oriented with System-Based Support:</w:t>
            </w:r>
          </w:p>
          <w:p w14:paraId="00A23772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Refers patients to in-system resources such as social services or ethics committees, focusing on resolution.</w:t>
            </w:r>
          </w:p>
        </w:tc>
        <w:tc>
          <w:tcPr>
            <w:tcW w:w="2611" w:type="dxa"/>
          </w:tcPr>
          <w:p w14:paraId="6A35B161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Structured, Interdisciplinary Collaboration:</w:t>
            </w:r>
          </w:p>
          <w:p w14:paraId="28E2D372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Prioritizes teamwork across disciplines with an emphasis on structuring the process.</w:t>
            </w:r>
          </w:p>
        </w:tc>
        <w:tc>
          <w:tcPr>
            <w:tcW w:w="2611" w:type="dxa"/>
          </w:tcPr>
          <w:p w14:paraId="20D68F5D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Multidimensional Approach:</w:t>
            </w:r>
          </w:p>
          <w:p w14:paraId="6246992E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Considers security, ethical, clinical, and legal dimensions together in decision-making.</w:t>
            </w:r>
          </w:p>
        </w:tc>
      </w:tr>
      <w:tr w:rsidR="00D70A50" w:rsidRPr="00FB0B17" w14:paraId="1FB6F236" w14:textId="77777777" w:rsidTr="00077B97">
        <w:tc>
          <w:tcPr>
            <w:tcW w:w="1184" w:type="dxa"/>
          </w:tcPr>
          <w:p w14:paraId="53E72037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Approach to Physician–Adolescent–Parent Balance</w:t>
            </w:r>
          </w:p>
        </w:tc>
        <w:tc>
          <w:tcPr>
            <w:tcW w:w="2610" w:type="dxa"/>
          </w:tcPr>
          <w:p w14:paraId="64CBBAD1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Patient’s Best Interest and Physician’s Responsibility Prioritized:</w:t>
            </w:r>
          </w:p>
          <w:p w14:paraId="76CABFC9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Family communication is delegated to social services.</w:t>
            </w:r>
          </w:p>
        </w:tc>
        <w:tc>
          <w:tcPr>
            <w:tcW w:w="2611" w:type="dxa"/>
          </w:tcPr>
          <w:p w14:paraId="5B2C7662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Direct Contact with Family Not Recommended:</w:t>
            </w:r>
          </w:p>
          <w:p w14:paraId="53C66AE3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Emphasizes collaboration with social services instead.</w:t>
            </w:r>
          </w:p>
        </w:tc>
        <w:tc>
          <w:tcPr>
            <w:tcW w:w="2611" w:type="dxa"/>
          </w:tcPr>
          <w:p w14:paraId="7DFF65C5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Detailed Analysis of Role Balance:</w:t>
            </w:r>
          </w:p>
          <w:p w14:paraId="49F03891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Examines the roles of family, adolescent, and physician in detail; assesses the reliability of the parents.</w:t>
            </w:r>
          </w:p>
        </w:tc>
      </w:tr>
      <w:tr w:rsidR="00D70A50" w:rsidRPr="00FB0B17" w14:paraId="2C696C5B" w14:textId="77777777" w:rsidTr="00077B97">
        <w:tc>
          <w:tcPr>
            <w:tcW w:w="1184" w:type="dxa"/>
          </w:tcPr>
          <w:p w14:paraId="4876CBCC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Local Context Sensitivity</w:t>
            </w:r>
          </w:p>
        </w:tc>
        <w:tc>
          <w:tcPr>
            <w:tcW w:w="2610" w:type="dxa"/>
          </w:tcPr>
          <w:p w14:paraId="10752435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References Turkiye’s Child Protection System:</w:t>
            </w:r>
          </w:p>
          <w:p w14:paraId="78FAC996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Specifies which authorities should receive mandatory reports.</w:t>
            </w:r>
          </w:p>
        </w:tc>
        <w:tc>
          <w:tcPr>
            <w:tcW w:w="2611" w:type="dxa"/>
          </w:tcPr>
          <w:p w14:paraId="48147282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Direct Reference to the Turkish Penal Code and Child Protection Law:</w:t>
            </w:r>
          </w:p>
          <w:p w14:paraId="5379B82C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Explicitly cites relevant legislation.</w:t>
            </w:r>
          </w:p>
        </w:tc>
        <w:tc>
          <w:tcPr>
            <w:tcW w:w="2611" w:type="dxa"/>
          </w:tcPr>
          <w:p w14:paraId="7F9B4CBE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Strong and Comprehensive Emphasis on Turkish Legal Provisions:</w:t>
            </w:r>
          </w:p>
          <w:p w14:paraId="03DC1049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Thoroughly addresses applicable regulations, including Turkish Penal Code Article 279 and Law No. 5395 on Child Protection.</w:t>
            </w:r>
          </w:p>
        </w:tc>
      </w:tr>
      <w:tr w:rsidR="00D70A50" w:rsidRPr="00FB0B17" w14:paraId="55DF506A" w14:textId="77777777" w:rsidTr="00077B97">
        <w:tc>
          <w:tcPr>
            <w:tcW w:w="1184" w:type="dxa"/>
            <w:tcBorders>
              <w:bottom w:val="single" w:sz="4" w:space="0" w:color="auto"/>
            </w:tcBorders>
          </w:tcPr>
          <w:p w14:paraId="636E9C7F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Cultural Sensitivity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576B23E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Indirect Reference to Cultural Values:</w:t>
            </w:r>
          </w:p>
          <w:p w14:paraId="55A0C2E6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Refers implicitly to local practices such as marriage outside of official civil registration or arranged marriages.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1361CB3F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Explicit Attention to Local Practices in Rural Areas:</w:t>
            </w:r>
          </w:p>
          <w:p w14:paraId="29BEF3A0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Highlights cultural context by noting practices such as arranging marriages in rural regions.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1D94FC65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Explains the Impact of Cultural Norms on the Adolescent:</w:t>
            </w:r>
          </w:p>
          <w:p w14:paraId="77A37C2A" w14:textId="77777777" w:rsidR="00D70A50" w:rsidRPr="00FB0B17" w:rsidRDefault="00D70A50" w:rsidP="00077B9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0B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Links family history to cultural context, using examples such as a sibling being placed under protective custody.</w:t>
            </w:r>
          </w:p>
        </w:tc>
      </w:tr>
    </w:tbl>
    <w:p w14:paraId="03F9B730" w14:textId="77777777" w:rsidR="00D70A50" w:rsidRPr="00FB0B17" w:rsidRDefault="00D70A50" w:rsidP="00D70A50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</w:p>
    <w:p w14:paraId="01F08263" w14:textId="77777777" w:rsidR="00044355" w:rsidRDefault="00044355"/>
    <w:sectPr w:rsidR="00044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8C"/>
    <w:rsid w:val="00044355"/>
    <w:rsid w:val="004A1BC2"/>
    <w:rsid w:val="006843EC"/>
    <w:rsid w:val="00C61F8C"/>
    <w:rsid w:val="00D01DA0"/>
    <w:rsid w:val="00D70A50"/>
    <w:rsid w:val="00F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8329F0"/>
  <w15:chartTrackingRefBased/>
  <w15:docId w15:val="{9706D453-3A12-40BC-9C87-D24447F9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A50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61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1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1F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1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1F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1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1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1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1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1F8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1F8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1F8C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1F8C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1F8C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1F8C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1F8C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1F8C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1F8C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C61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1F8C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C61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1F8C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C61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1F8C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C61F8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1F8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1F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1F8C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C61F8C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D70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3197</Characters>
  <Application>Microsoft Office Word</Application>
  <DocSecurity>0</DocSecurity>
  <Lines>118</Lines>
  <Paragraphs>44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Sarper Icen</dc:creator>
  <cp:keywords/>
  <dc:description/>
  <cp:lastModifiedBy>Sarper Icen</cp:lastModifiedBy>
  <cp:revision>2</cp:revision>
  <dcterms:created xsi:type="dcterms:W3CDTF">2025-09-18T17:20:00Z</dcterms:created>
  <dcterms:modified xsi:type="dcterms:W3CDTF">2025-09-18T17:21:00Z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508f659b-1a7b-488a-afe9-6e36c89ad717</vt:lpwstr>
  </property>
</Properties>
</file>