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E5761" w14:textId="43A0C842" w:rsidR="00052EB1" w:rsidRDefault="00052EB1" w:rsidP="00052EB1">
      <w:pPr>
        <w:spacing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Supplementary Table 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. Detailed</w:t>
      </w:r>
      <w:r w:rsidRPr="00FB0B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d</w:t>
      </w:r>
      <w:r w:rsidRPr="00FB0B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iscourse analysis of the LLM’s suggestions for Case Scenario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3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4"/>
        <w:gridCol w:w="2610"/>
        <w:gridCol w:w="2611"/>
        <w:gridCol w:w="2611"/>
      </w:tblGrid>
      <w:tr w:rsidR="00052EB1" w:rsidRPr="00FB0B17" w14:paraId="75A4350C" w14:textId="77777777" w:rsidTr="00077B97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4C947047" w14:textId="30DBB0BC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Supplementary </w:t>
            </w: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Table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S8</w:t>
            </w: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. </w:t>
            </w:r>
            <w:bookmarkStart w:id="0" w:name="_Hlk205220741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Detailed</w:t>
            </w: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discourse analysis of the LLMs’ suggestions for Case Scenario 3</w:t>
            </w:r>
            <w:bookmarkEnd w:id="0"/>
          </w:p>
        </w:tc>
      </w:tr>
      <w:tr w:rsidR="00052EB1" w:rsidRPr="00FB0B17" w14:paraId="00D15BED" w14:textId="77777777" w:rsidTr="00077B97"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379404B9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4485EE52" w14:textId="77777777" w:rsidR="00052EB1" w:rsidRPr="00FB0B17" w:rsidRDefault="00052EB1" w:rsidP="00077B9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ChatGPT 4.0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14:paraId="611493B5" w14:textId="77777777" w:rsidR="00052EB1" w:rsidRPr="00FB0B17" w:rsidRDefault="00052EB1" w:rsidP="00077B9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Gemini 2.5 Flash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14:paraId="6D737160" w14:textId="77777777" w:rsidR="00052EB1" w:rsidRPr="00FB0B17" w:rsidRDefault="00052EB1" w:rsidP="00077B9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GROK 3.0</w:t>
            </w:r>
          </w:p>
        </w:tc>
      </w:tr>
      <w:tr w:rsidR="00052EB1" w:rsidRPr="00FB0B17" w14:paraId="154D42D4" w14:textId="77777777" w:rsidTr="00077B97">
        <w:tc>
          <w:tcPr>
            <w:tcW w:w="1184" w:type="dxa"/>
            <w:tcBorders>
              <w:top w:val="single" w:sz="4" w:space="0" w:color="auto"/>
            </w:tcBorders>
          </w:tcPr>
          <w:p w14:paraId="7AC043DF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Form of Address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3CF8CBBB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Direct, Colleague-Oriented Address:</w:t>
            </w:r>
          </w:p>
          <w:p w14:paraId="2FACA4C5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Speaks directly to the physician as a peer.</w:t>
            </w:r>
          </w:p>
        </w:tc>
        <w:tc>
          <w:tcPr>
            <w:tcW w:w="2611" w:type="dxa"/>
            <w:tcBorders>
              <w:top w:val="single" w:sz="4" w:space="0" w:color="auto"/>
            </w:tcBorders>
          </w:tcPr>
          <w:p w14:paraId="0D39D942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Duty-Focused:</w:t>
            </w:r>
          </w:p>
          <w:p w14:paraId="7F507B96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Reminds the physician of their responsibilities in a structured and authoritative tone.</w:t>
            </w:r>
          </w:p>
        </w:tc>
        <w:tc>
          <w:tcPr>
            <w:tcW w:w="2611" w:type="dxa"/>
            <w:tcBorders>
              <w:top w:val="single" w:sz="4" w:space="0" w:color="auto"/>
            </w:tcBorders>
          </w:tcPr>
          <w:p w14:paraId="4DA215B0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Inclusive, Advisory Style:</w:t>
            </w:r>
          </w:p>
          <w:p w14:paraId="5E26E5DD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Offers guidance in a warm, supportive, and consultative manner.</w:t>
            </w:r>
          </w:p>
        </w:tc>
      </w:tr>
      <w:tr w:rsidR="00052EB1" w:rsidRPr="00FB0B17" w14:paraId="3EDC8634" w14:textId="77777777" w:rsidTr="00077B97">
        <w:tc>
          <w:tcPr>
            <w:tcW w:w="1184" w:type="dxa"/>
          </w:tcPr>
          <w:p w14:paraId="500975F0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Tone and Style</w:t>
            </w:r>
          </w:p>
        </w:tc>
        <w:tc>
          <w:tcPr>
            <w:tcW w:w="2610" w:type="dxa"/>
          </w:tcPr>
          <w:p w14:paraId="15FE5780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Supportive, Attentive, and Sensitive Tone:</w:t>
            </w:r>
          </w:p>
          <w:p w14:paraId="596F7EC6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Conveys understanding and care while maintaining professionalism.</w:t>
            </w:r>
          </w:p>
        </w:tc>
        <w:tc>
          <w:tcPr>
            <w:tcW w:w="2611" w:type="dxa"/>
          </w:tcPr>
          <w:p w14:paraId="255F5164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Serious, Systematic, and Structured:</w:t>
            </w:r>
          </w:p>
          <w:p w14:paraId="54C22C8A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Follows a clear framework and emphasizes order and consistency.</w:t>
            </w:r>
          </w:p>
        </w:tc>
        <w:tc>
          <w:tcPr>
            <w:tcW w:w="2611" w:type="dxa"/>
          </w:tcPr>
          <w:p w14:paraId="3833815A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Empathetic, Explanatory, and Detailed:</w:t>
            </w:r>
          </w:p>
          <w:p w14:paraId="2AF61DA8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Balances emotional understanding with thorough explanations and in-depth guidance.</w:t>
            </w:r>
          </w:p>
        </w:tc>
      </w:tr>
      <w:tr w:rsidR="00052EB1" w:rsidRPr="00FB0B17" w14:paraId="4EDC9BD3" w14:textId="77777777" w:rsidTr="00077B97">
        <w:tc>
          <w:tcPr>
            <w:tcW w:w="1184" w:type="dxa"/>
          </w:tcPr>
          <w:p w14:paraId="2D15605E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Use of Auxiliary Verbs</w:t>
            </w:r>
          </w:p>
        </w:tc>
        <w:tc>
          <w:tcPr>
            <w:tcW w:w="2610" w:type="dxa"/>
          </w:tcPr>
          <w:p w14:paraId="281ECA12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Strong Necessity Constructions:</w:t>
            </w:r>
          </w:p>
          <w:p w14:paraId="403AD8CD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Prefers structures such as “is necessary,” “should be done” to express obligation.</w:t>
            </w:r>
          </w:p>
        </w:tc>
        <w:tc>
          <w:tcPr>
            <w:tcW w:w="2611" w:type="dxa"/>
          </w:tcPr>
          <w:p w14:paraId="2C9BF628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Explicit Mandatory Constructions:</w:t>
            </w:r>
          </w:p>
          <w:p w14:paraId="763F3385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Includes clear, decisive expressions such as “is required,” “is mandatory,” “is necessary” to emphasize strict legal or procedural necessity.</w:t>
            </w:r>
          </w:p>
        </w:tc>
        <w:tc>
          <w:tcPr>
            <w:tcW w:w="2611" w:type="dxa"/>
          </w:tcPr>
          <w:p w14:paraId="71A87118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Flexible, Option-Giving Constructions:</w:t>
            </w:r>
          </w:p>
          <w:p w14:paraId="6607A89E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Prefers forms such as “is recommended,” “may be considered,” “could be evaluated” to offer discretion and alternative options.</w:t>
            </w:r>
          </w:p>
        </w:tc>
      </w:tr>
      <w:tr w:rsidR="00052EB1" w:rsidRPr="00FB0B17" w14:paraId="3676A1FD" w14:textId="77777777" w:rsidTr="00077B97">
        <w:tc>
          <w:tcPr>
            <w:tcW w:w="1184" w:type="dxa"/>
          </w:tcPr>
          <w:p w14:paraId="0052D31C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Strength of Predicates</w:t>
            </w:r>
          </w:p>
        </w:tc>
        <w:tc>
          <w:tcPr>
            <w:tcW w:w="2610" w:type="dxa"/>
          </w:tcPr>
          <w:p w14:paraId="04798A67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High.</w:t>
            </w:r>
          </w:p>
        </w:tc>
        <w:tc>
          <w:tcPr>
            <w:tcW w:w="2611" w:type="dxa"/>
          </w:tcPr>
          <w:p w14:paraId="45BF51DC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Very High.</w:t>
            </w:r>
          </w:p>
        </w:tc>
        <w:tc>
          <w:tcPr>
            <w:tcW w:w="2611" w:type="dxa"/>
          </w:tcPr>
          <w:p w14:paraId="57B42EDC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Moderate-to-high.</w:t>
            </w:r>
          </w:p>
        </w:tc>
      </w:tr>
      <w:tr w:rsidR="00052EB1" w:rsidRPr="00FB0B17" w14:paraId="1C4C38F5" w14:textId="77777777" w:rsidTr="00077B97">
        <w:tc>
          <w:tcPr>
            <w:tcW w:w="1184" w:type="dxa"/>
          </w:tcPr>
          <w:p w14:paraId="00312840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Level of Guidance</w:t>
            </w:r>
          </w:p>
        </w:tc>
        <w:tc>
          <w:tcPr>
            <w:tcW w:w="2610" w:type="dxa"/>
          </w:tcPr>
          <w:p w14:paraId="78E1E1B5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High: Provides clear, understandable, and actionable recommendations.</w:t>
            </w:r>
          </w:p>
        </w:tc>
        <w:tc>
          <w:tcPr>
            <w:tcW w:w="2611" w:type="dxa"/>
          </w:tcPr>
          <w:p w14:paraId="0C9CE162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High: Offers itemized guidance with detailed legal and ethical direction.</w:t>
            </w:r>
          </w:p>
        </w:tc>
        <w:tc>
          <w:tcPr>
            <w:tcW w:w="2611" w:type="dxa"/>
          </w:tcPr>
          <w:p w14:paraId="797F1B6E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High: Delivers step-by-step guidance, including both therapeutic and systemic recommendations.</w:t>
            </w:r>
          </w:p>
        </w:tc>
      </w:tr>
      <w:tr w:rsidR="00052EB1" w:rsidRPr="00FB0B17" w14:paraId="30DD58F8" w14:textId="77777777" w:rsidTr="00077B97">
        <w:tc>
          <w:tcPr>
            <w:tcW w:w="1184" w:type="dxa"/>
          </w:tcPr>
          <w:p w14:paraId="3331DB5B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Managing Complex Situations</w:t>
            </w:r>
          </w:p>
        </w:tc>
        <w:tc>
          <w:tcPr>
            <w:tcW w:w="2610" w:type="dxa"/>
          </w:tcPr>
          <w:p w14:paraId="1AB90F6C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Balances Risk, Confidentiality, and Reporting:</w:t>
            </w:r>
          </w:p>
          <w:p w14:paraId="48916226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Emphasizes the role of social services in supporting case management.</w:t>
            </w:r>
          </w:p>
        </w:tc>
        <w:tc>
          <w:tcPr>
            <w:tcW w:w="2611" w:type="dxa"/>
          </w:tcPr>
          <w:p w14:paraId="0C6F2353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Structured Approach to Multiple Dimensions:</w:t>
            </w:r>
          </w:p>
          <w:p w14:paraId="1EAAE0A0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Addresses transparency in communication, legal obligations, and family dynamics in an organized way.</w:t>
            </w:r>
          </w:p>
        </w:tc>
        <w:tc>
          <w:tcPr>
            <w:tcW w:w="2611" w:type="dxa"/>
          </w:tcPr>
          <w:p w14:paraId="1C7819D1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Sensitive to Case Complexity:</w:t>
            </w:r>
          </w:p>
          <w:p w14:paraId="46832989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Considers overlapping issues such as sexual orientation, self-harm, and family conflict simultaneously.</w:t>
            </w:r>
          </w:p>
        </w:tc>
      </w:tr>
      <w:tr w:rsidR="00052EB1" w:rsidRPr="00FB0B17" w14:paraId="1DF178BF" w14:textId="77777777" w:rsidTr="00077B97">
        <w:tc>
          <w:tcPr>
            <w:tcW w:w="1184" w:type="dxa"/>
          </w:tcPr>
          <w:p w14:paraId="36AAE0A9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Approach to Physician–Adolescent–Parent Balance</w:t>
            </w:r>
          </w:p>
        </w:tc>
        <w:tc>
          <w:tcPr>
            <w:tcW w:w="2610" w:type="dxa"/>
          </w:tcPr>
          <w:p w14:paraId="54798092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Prioritizes Adolescent Privacy:</w:t>
            </w:r>
          </w:p>
          <w:p w14:paraId="54463E53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Emphasizes caution in sharing information with the family.</w:t>
            </w:r>
          </w:p>
        </w:tc>
        <w:tc>
          <w:tcPr>
            <w:tcW w:w="2611" w:type="dxa"/>
          </w:tcPr>
          <w:p w14:paraId="25D1D577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Risk-Focused Communication:</w:t>
            </w:r>
          </w:p>
          <w:p w14:paraId="7DF6EB80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Advises against disclosing sexual orientation directly to the family; prioritizes safety.</w:t>
            </w:r>
          </w:p>
        </w:tc>
        <w:tc>
          <w:tcPr>
            <w:tcW w:w="2611" w:type="dxa"/>
          </w:tcPr>
          <w:p w14:paraId="04B59353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Evaluates Family’s Support Capacity:</w:t>
            </w:r>
          </w:p>
          <w:p w14:paraId="44E19A83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Suggests progressing based on this assessment and offers strategies for timing disclosure to the family.</w:t>
            </w:r>
          </w:p>
        </w:tc>
      </w:tr>
      <w:tr w:rsidR="00052EB1" w:rsidRPr="00FB0B17" w14:paraId="39DFC972" w14:textId="77777777" w:rsidTr="00077B97">
        <w:tc>
          <w:tcPr>
            <w:tcW w:w="1184" w:type="dxa"/>
          </w:tcPr>
          <w:p w14:paraId="53B1F31B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Local Context Sensitivity</w:t>
            </w:r>
          </w:p>
        </w:tc>
        <w:tc>
          <w:tcPr>
            <w:tcW w:w="2610" w:type="dxa"/>
          </w:tcPr>
          <w:p w14:paraId="6CC823BB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Aligned with Turkiye’s Child Protection System and Legislation:</w:t>
            </w:r>
          </w:p>
          <w:p w14:paraId="550F9D5E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Recommendations are consistent with national frameworks.</w:t>
            </w:r>
          </w:p>
        </w:tc>
        <w:tc>
          <w:tcPr>
            <w:tcW w:w="2611" w:type="dxa"/>
          </w:tcPr>
          <w:p w14:paraId="5314F04C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References to TPC Article 103 and Mandatory Reporting:</w:t>
            </w:r>
          </w:p>
          <w:p w14:paraId="65536295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Directly cites legal requirements.</w:t>
            </w:r>
          </w:p>
        </w:tc>
        <w:tc>
          <w:tcPr>
            <w:tcW w:w="2611" w:type="dxa"/>
          </w:tcPr>
          <w:p w14:paraId="4AF9D933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Comprehensive Local Legal and Community Context:</w:t>
            </w:r>
          </w:p>
          <w:p w14:paraId="6E0E6905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References TPC Article 279, child protection systems, and suggests engaging local NGOs.</w:t>
            </w:r>
          </w:p>
        </w:tc>
      </w:tr>
      <w:tr w:rsidR="00052EB1" w:rsidRPr="00FB0B17" w14:paraId="3C585BE4" w14:textId="77777777" w:rsidTr="00077B97">
        <w:tc>
          <w:tcPr>
            <w:tcW w:w="1184" w:type="dxa"/>
            <w:tcBorders>
              <w:bottom w:val="single" w:sz="4" w:space="0" w:color="auto"/>
            </w:tcBorders>
          </w:tcPr>
          <w:p w14:paraId="593FF227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Cultural Sensitivity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0539B6E9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Implicit Cultural Context:</w:t>
            </w:r>
          </w:p>
          <w:p w14:paraId="122ABBF9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Highlights societal pressures and the risk of exploitation without overt cultural references.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14:paraId="0C7A0332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Cultural Framing of Conflict and Disclosure Risks:</w:t>
            </w:r>
          </w:p>
          <w:p w14:paraId="3FD9506F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Considers family conflict and risks of revealing sexual orientation in a cultural context.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14:paraId="0EEF7FCE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Detailed Cultural Analysis:</w:t>
            </w:r>
          </w:p>
          <w:p w14:paraId="1506AE45" w14:textId="77777777" w:rsidR="00052EB1" w:rsidRPr="00FB0B17" w:rsidRDefault="00052EB1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Addresses stigma, family reactions, and social isolation related to sexual orientation within the Turkish context.</w:t>
            </w:r>
          </w:p>
        </w:tc>
      </w:tr>
    </w:tbl>
    <w:p w14:paraId="579B5203" w14:textId="77777777" w:rsidR="00052EB1" w:rsidRDefault="00052EB1" w:rsidP="00052EB1">
      <w:pPr>
        <w:spacing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</w:p>
    <w:p w14:paraId="141D4E16" w14:textId="77777777" w:rsidR="00044355" w:rsidRDefault="00044355"/>
    <w:sectPr w:rsidR="000443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95"/>
    <w:rsid w:val="00044355"/>
    <w:rsid w:val="00052EB1"/>
    <w:rsid w:val="00487295"/>
    <w:rsid w:val="004A1BC2"/>
    <w:rsid w:val="006843EC"/>
    <w:rsid w:val="00B4328A"/>
    <w:rsid w:val="00D01DA0"/>
    <w:rsid w:val="00FD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9DE012"/>
  <w15:chartTrackingRefBased/>
  <w15:docId w15:val="{DF1DD645-F9F6-4A7A-B9A1-5D86EAA9B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EB1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487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87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872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87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872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872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872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872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872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8729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8729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87295"/>
    <w:rPr>
      <w:rFonts w:eastAsiaTheme="majorEastAsia" w:cstheme="majorBidi"/>
      <w:color w:val="2F5496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87295"/>
    <w:rPr>
      <w:rFonts w:eastAsiaTheme="majorEastAsia" w:cstheme="majorBidi"/>
      <w:i/>
      <w:iCs/>
      <w:color w:val="2F5496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87295"/>
    <w:rPr>
      <w:rFonts w:eastAsiaTheme="majorEastAsia" w:cstheme="majorBidi"/>
      <w:color w:val="2F5496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87295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87295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87295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87295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487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87295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4872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87295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487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87295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48729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8729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872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87295"/>
    <w:rPr>
      <w:i/>
      <w:iCs/>
      <w:color w:val="2F5496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487295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B43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477</Words>
  <Characters>2824</Characters>
  <Application>Microsoft Office Word</Application>
  <DocSecurity>0</DocSecurity>
  <Lines>104</Lines>
  <Paragraphs>39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Sarper Icen</dc:creator>
  <cp:keywords/>
  <dc:description/>
  <cp:lastModifiedBy>Sarper Icen</cp:lastModifiedBy>
  <cp:revision>3</cp:revision>
  <dcterms:created xsi:type="dcterms:W3CDTF">2025-09-18T17:21:00Z</dcterms:created>
  <dcterms:modified xsi:type="dcterms:W3CDTF">2025-09-18T17:22:00Z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4afbd6ef-df5c-43cf-9b8d-5ba2244ae126</vt:lpwstr>
  </property>
</Properties>
</file>