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45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center"/>
        <w:textAlignment w:val="auto"/>
        <w:outlineLvl w:val="1"/>
        <w:rPr>
          <w:rFonts w:hint="default" w:ascii="Times New Roman" w:hAnsi="Times New Roman" w:cs="Times New Roman"/>
          <w:sz w:val="28"/>
          <w:szCs w:val="28"/>
          <w:highlight w:val="none"/>
        </w:rPr>
      </w:pPr>
      <w:bookmarkStart w:id="0" w:name="heading_0"/>
      <w:r>
        <w:rPr>
          <w:rFonts w:hint="default" w:ascii="Times New Roman" w:hAnsi="Times New Roman" w:eastAsia="等线" w:cs="Times New Roman"/>
          <w:b/>
          <w:sz w:val="28"/>
          <w:szCs w:val="28"/>
          <w:highlight w:val="none"/>
        </w:rPr>
        <w:t xml:space="preserve">Case 1: Application of </w:t>
      </w:r>
      <w:r>
        <w:rPr>
          <w:rFonts w:hint="default" w:ascii="Times New Roman" w:hAnsi="Times New Roman" w:eastAsia="等线" w:cs="Times New Roman"/>
          <w:b/>
          <w:sz w:val="28"/>
          <w:szCs w:val="28"/>
          <w:highlight w:val="none"/>
        </w:rPr>
        <w:t xml:space="preserve">Family </w:t>
      </w:r>
      <w:r>
        <w:rPr>
          <w:rFonts w:hint="eastAsia" w:ascii="Times New Roman" w:hAnsi="Times New Roman" w:eastAsia="等线" w:cs="Times New Roman"/>
          <w:b/>
          <w:sz w:val="28"/>
          <w:szCs w:val="28"/>
          <w:highlight w:val="none"/>
          <w:lang w:val="en-US" w:eastAsia="zh-CN"/>
        </w:rPr>
        <w:t>M</w:t>
      </w:r>
      <w:r>
        <w:rPr>
          <w:rFonts w:hint="default" w:ascii="Times New Roman" w:hAnsi="Times New Roman" w:eastAsia="等线" w:cs="Times New Roman"/>
          <w:b/>
          <w:sz w:val="28"/>
          <w:szCs w:val="28"/>
          <w:highlight w:val="none"/>
        </w:rPr>
        <w:t xml:space="preserve">eeting </w:t>
      </w:r>
      <w:r>
        <w:rPr>
          <w:rFonts w:hint="eastAsia" w:ascii="Times New Roman" w:hAnsi="Times New Roman" w:eastAsia="等线" w:cs="Times New Roman"/>
          <w:b/>
          <w:sz w:val="28"/>
          <w:szCs w:val="28"/>
          <w:highlight w:val="none"/>
          <w:lang w:val="en-US" w:eastAsia="zh-CN"/>
        </w:rPr>
        <w:t>D</w:t>
      </w:r>
      <w:r>
        <w:rPr>
          <w:rFonts w:hint="default" w:ascii="Times New Roman" w:hAnsi="Times New Roman" w:eastAsia="等线" w:cs="Times New Roman"/>
          <w:b/>
          <w:sz w:val="28"/>
          <w:szCs w:val="28"/>
          <w:highlight w:val="none"/>
        </w:rPr>
        <w:t>ocumentation</w:t>
      </w:r>
      <w:r>
        <w:rPr>
          <w:rFonts w:hint="default" w:ascii="Times New Roman" w:hAnsi="Times New Roman" w:eastAsia="等线" w:cs="Times New Roman"/>
          <w:b/>
          <w:sz w:val="28"/>
          <w:szCs w:val="28"/>
          <w:highlight w:val="none"/>
        </w:rPr>
        <w:t xml:space="preserve"> in Routine Treatment of Elderly Patients with Cognitive Impairment</w:t>
      </w:r>
      <w:bookmarkEnd w:id="0"/>
    </w:p>
    <w:p w14:paraId="630B2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auto"/>
        <w:outlineLvl w:val="2"/>
        <w:rPr>
          <w:rFonts w:hint="default" w:ascii="Times New Roman" w:hAnsi="Times New Roman" w:cs="Times New Roman"/>
          <w:sz w:val="24"/>
          <w:szCs w:val="24"/>
          <w:highlight w:val="none"/>
        </w:rPr>
      </w:pPr>
      <w:bookmarkStart w:id="1" w:name="heading_1"/>
      <w:r>
        <w:rPr>
          <w:rFonts w:hint="default" w:ascii="Times New Roman" w:hAnsi="Times New Roman" w:eastAsia="等线" w:cs="Times New Roman"/>
          <w:b/>
          <w:sz w:val="24"/>
          <w:szCs w:val="24"/>
          <w:highlight w:val="none"/>
        </w:rPr>
        <w:t>1. Baseline Information</w:t>
      </w:r>
      <w:bookmarkEnd w:id="1"/>
    </w:p>
    <w:p w14:paraId="43A0A1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等线" w:cs="Times New Roman"/>
          <w:b/>
          <w:sz w:val="24"/>
          <w:szCs w:val="24"/>
          <w:highlight w:val="none"/>
        </w:rPr>
        <w:t>Patient</w:t>
      </w:r>
      <w:r>
        <w:rPr>
          <w:rFonts w:hint="default" w:ascii="Times New Roman" w:hAnsi="Times New Roman" w:eastAsia="等线" w:cs="Times New Roman"/>
          <w:sz w:val="24"/>
          <w:szCs w:val="24"/>
          <w:highlight w:val="none"/>
        </w:rPr>
        <w:t>: Zhang, a 78-year-old female diagnosed with mild Alzheimer's disease (Mini-Mental State Examination [MMSE] score: 22; Montreal Cognitive Assessment [MoCA] score: 18), complicated with Grade 3 hypertension and Type 2 diabetes mellitus. She was admitted due to "recurrent dizziness and blood glucose fluctuation for 1 month," and was planned to receive routine treatment for adjusting antihypertensive and antidiabetic regimens.</w:t>
      </w:r>
    </w:p>
    <w:p w14:paraId="56C547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等线" w:cs="Times New Roman"/>
          <w:b/>
          <w:sz w:val="24"/>
          <w:szCs w:val="24"/>
          <w:highlight w:val="none"/>
        </w:rPr>
        <w:t>Family Participants</w:t>
      </w:r>
      <w:r>
        <w:rPr>
          <w:rFonts w:hint="default" w:ascii="Times New Roman" w:hAnsi="Times New Roman" w:eastAsia="等线" w:cs="Times New Roman"/>
          <w:sz w:val="24"/>
          <w:szCs w:val="24"/>
          <w:highlight w:val="none"/>
        </w:rPr>
        <w:t>: The patient's only daughter (52 years old, primary caregiver) and son-in-law (55 years old, auxiliary caregiver). The patient had basic expressive ability but insufficient cognition of the long-term benefits of medical regimens.</w:t>
      </w:r>
    </w:p>
    <w:p w14:paraId="1FE4C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auto"/>
        <w:outlineLvl w:val="2"/>
        <w:rPr>
          <w:rFonts w:hint="default" w:ascii="Times New Roman" w:hAnsi="Times New Roman" w:cs="Times New Roman"/>
          <w:sz w:val="24"/>
          <w:szCs w:val="24"/>
          <w:highlight w:val="none"/>
        </w:rPr>
      </w:pPr>
      <w:bookmarkStart w:id="2" w:name="heading_2"/>
      <w:r>
        <w:rPr>
          <w:rFonts w:hint="default" w:ascii="Times New Roman" w:hAnsi="Times New Roman" w:eastAsia="等线" w:cs="Times New Roman"/>
          <w:b/>
          <w:sz w:val="24"/>
          <w:szCs w:val="24"/>
          <w:highlight w:val="none"/>
        </w:rPr>
        <w:t>2. Practical Procedures of the Model (</w:t>
      </w:r>
      <w:r>
        <w:rPr>
          <w:rFonts w:hint="default" w:ascii="Times New Roman" w:hAnsi="Times New Roman" w:eastAsia="等线" w:cs="Times New Roman"/>
          <w:b/>
          <w:sz w:val="24"/>
          <w:szCs w:val="24"/>
          <w:highlight w:val="none"/>
        </w:rPr>
        <w:t xml:space="preserve">Family Meeting Documentation </w:t>
      </w:r>
      <w:r>
        <w:rPr>
          <w:rFonts w:hint="default" w:ascii="Times New Roman" w:hAnsi="Times New Roman" w:eastAsia="等线" w:cs="Times New Roman"/>
          <w:b/>
          <w:sz w:val="24"/>
          <w:szCs w:val="24"/>
          <w:highlight w:val="none"/>
        </w:rPr>
        <w:t>Application)</w:t>
      </w:r>
      <w:bookmarkEnd w:id="2"/>
    </w:p>
    <w:p w14:paraId="2CE194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等线" w:cs="Times New Roman"/>
          <w:b/>
          <w:sz w:val="24"/>
          <w:szCs w:val="24"/>
          <w:highlight w:val="none"/>
        </w:rPr>
        <w:t>Decision-Making Preparation</w:t>
      </w:r>
    </w:p>
    <w:p w14:paraId="45FE53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等线" w:cs="Times New Roman"/>
          <w:sz w:val="24"/>
          <w:szCs w:val="24"/>
          <w:highlight w:val="none"/>
        </w:rPr>
        <w:t xml:space="preserve">The attending physician first evaluated the patient's decision-making capacity using the MMSE and MoCA scales, and classified her as having "limited autonomous decision-making capacity." In accordance with the model, the </w:t>
      </w:r>
      <w:r>
        <w:rPr>
          <w:rFonts w:hint="default" w:ascii="Times New Roman" w:hAnsi="Times New Roman" w:eastAsia="等线" w:cs="Times New Roman"/>
          <w:b/>
          <w:sz w:val="24"/>
          <w:szCs w:val="24"/>
          <w:highlight w:val="none"/>
        </w:rPr>
        <w:t>family meeting documentation</w:t>
      </w:r>
      <w:r>
        <w:rPr>
          <w:rFonts w:hint="default" w:ascii="Times New Roman" w:hAnsi="Times New Roman" w:eastAsia="等线" w:cs="Times New Roman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eastAsia="等线" w:cs="Times New Roman"/>
          <w:sz w:val="24"/>
          <w:szCs w:val="24"/>
          <w:highlight w:val="none"/>
        </w:rPr>
        <w:t>mechanism was initiated. The physician provided synchronized information to both the patient and her family regarding the disease condition, two treatment options, and their respective advantages and disadvantages: Option A (replacing with long-acting antihypertensive drugs + intensive insulin therapy) and Option B (maintaining the original regimen + increasing blood glucose monitoring frequency).</w:t>
      </w:r>
      <w:bookmarkStart w:id="4" w:name="_GoBack"/>
      <w:bookmarkEnd w:id="4"/>
    </w:p>
    <w:p w14:paraId="19A148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等线" w:cs="Times New Roman"/>
          <w:sz w:val="24"/>
          <w:szCs w:val="24"/>
          <w:highlight w:val="none"/>
        </w:rPr>
        <w:t xml:space="preserve">The family received a standardized </w:t>
      </w:r>
      <w:r>
        <w:rPr>
          <w:rFonts w:hint="default" w:ascii="Times New Roman" w:hAnsi="Times New Roman" w:eastAsia="等线" w:cs="Times New Roman"/>
          <w:b/>
          <w:sz w:val="24"/>
          <w:szCs w:val="24"/>
          <w:highlight w:val="none"/>
        </w:rPr>
        <w:t>family meeting documentation</w:t>
      </w:r>
      <w:r>
        <w:rPr>
          <w:rFonts w:hint="default" w:ascii="Times New Roman" w:hAnsi="Times New Roman" w:eastAsia="等线" w:cs="Times New Roman"/>
          <w:sz w:val="24"/>
          <w:szCs w:val="24"/>
          <w:highlight w:val="none"/>
        </w:rPr>
        <w:t>, which required daily documentation of three categories of information: the patient's verbal feedback on treatment options (e.g., "Medication is too troublesome; I don't want to change it"), the family's concerns (e.g., "Worried about incorrect insulin injection operation"), and key points of doctor-patient communication (e.g., the physician informed that Option A could reduce the risk of stroke by 30%).</w:t>
      </w:r>
    </w:p>
    <w:p w14:paraId="07FEFF0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等线" w:cs="Times New Roman"/>
          <w:sz w:val="24"/>
          <w:szCs w:val="24"/>
          <w:highlight w:val="none"/>
        </w:rPr>
        <w:t>The medical team conducted 15-minute daily communication sessions to address questions recorded in the log (e.g., guiding insulin injection techniques and explaining side effects of new drugs), with continuous logging for 3 days.</w:t>
      </w:r>
    </w:p>
    <w:p w14:paraId="265F4D9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等线" w:cs="Times New Roman"/>
          <w:b/>
          <w:sz w:val="24"/>
          <w:szCs w:val="24"/>
          <w:highlight w:val="none"/>
        </w:rPr>
        <w:t>Log Recording and Communication</w:t>
      </w:r>
    </w:p>
    <w:p w14:paraId="6B50D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等线" w:cs="Times New Roman"/>
          <w:sz w:val="24"/>
          <w:szCs w:val="24"/>
          <w:highlight w:val="none"/>
        </w:rPr>
        <w:t>On the 4th day, a decision-making meeting was held. Based on the log records, the patient expressed her willingness to try new drugs but refused insulin therapy. The family acknowledged the benefits of Option A but remained concerned about operational difficulties. The physician ultimately adjusted the regimen to "long-acting antihypertensive drugs + oral antidiabetic drugs," and a consensus was reached among the three parties, who then signed the decision confirmation form.</w:t>
      </w:r>
    </w:p>
    <w:p w14:paraId="58E6B59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2"/>
        <w:rPr>
          <w:rFonts w:hint="default" w:ascii="Times New Roman" w:hAnsi="Times New Roman" w:cs="Times New Roman"/>
          <w:sz w:val="24"/>
          <w:szCs w:val="24"/>
          <w:highlight w:val="none"/>
        </w:rPr>
      </w:pPr>
      <w:bookmarkStart w:id="3" w:name="heading_4"/>
      <w:r>
        <w:rPr>
          <w:rFonts w:hint="default" w:ascii="Times New Roman" w:hAnsi="Times New Roman" w:eastAsia="等线" w:cs="Times New Roman"/>
          <w:b/>
          <w:sz w:val="24"/>
          <w:szCs w:val="24"/>
          <w:highlight w:val="none"/>
        </w:rPr>
        <w:t>Quantitative Results of Core Indicators</w:t>
      </w:r>
      <w:bookmarkEnd w:id="3"/>
    </w:p>
    <w:p w14:paraId="473804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等线" w:cs="Times New Roman"/>
          <w:sz w:val="24"/>
          <w:szCs w:val="24"/>
          <w:highlight w:val="none"/>
        </w:rPr>
        <w:t>A 1-month post-discharge follow-up showed that the patient's medication compliance rate was 98%, and the completion rate of blood glucose and blood pressure monitoring was 100%, representing a 51% increase compared with the pre-admission level (65% medication compliance rate). No medication omission or error was reported.</w:t>
      </w:r>
    </w:p>
    <w:p w14:paraId="4B6632B2">
      <w:pPr>
        <w:spacing w:before="120" w:after="120" w:line="288" w:lineRule="auto"/>
        <w:ind w:left="0"/>
        <w:jc w:val="left"/>
        <w:rPr>
          <w:highlight w:val="none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4D94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BECA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1E6FFB"/>
    <w:multiLevelType w:val="singleLevel"/>
    <w:tmpl w:val="E31E6FFB"/>
    <w:lvl w:ilvl="0" w:tentative="0">
      <w:start w:val="3"/>
      <w:numFmt w:val="decimal"/>
      <w:suff w:val="space"/>
      <w:lvlText w:val="%1."/>
      <w:lvlJc w:val="left"/>
    </w:lvl>
  </w:abstractNum>
  <w:abstractNum w:abstractNumId="1">
    <w:nsid w:val="22D97D16"/>
    <w:multiLevelType w:val="singleLevel"/>
    <w:tmpl w:val="22D97D16"/>
    <w:lvl w:ilvl="0" w:tentative="0">
      <w:start w:val="1"/>
      <w:numFmt w:val="decimal"/>
      <w:suff w:val="space"/>
      <w:lvlText w:val="(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1E0F149B"/>
    <w:rsid w:val="1E7E7D5D"/>
    <w:rsid w:val="2F8B61E7"/>
    <w:rsid w:val="7AC660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434</Words>
  <Characters>2731</Characters>
  <TotalTime>23</TotalTime>
  <ScaleCrop>false</ScaleCrop>
  <LinksUpToDate>false</LinksUpToDate>
  <CharactersWithSpaces>3152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2025-12-16T07:07:00Z</dcterms:created>
  <dc:creator>Apache POI</dc:creator>
  <cp:lastModifiedBy>媛</cp:lastModifiedBy>
  <dcterms:modified xsi:type="dcterms:W3CDTF">2026-05-21T02:50:35Z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eyJoZGlkIjoiZTBlNGQ2OGRjYjdlNzNhZmY1NzgwNjZlYTkxN2IyNTgiLCJ1c2VySWQiOiIzMzUyMDE3MzAifQ==</vt:lpwstr>
  </property>
  <property fmtid="{D5CDD505-2E9C-101B-9397-08002B2CF9AE}" pid="3" name="KSOProductBuildVer">
    <vt:lpwstr>2052-12.1.0.26375</vt:lpwstr>
  </property>
  <property fmtid="{D5CDD505-2E9C-101B-9397-08002B2CF9AE}" pid="4" name="ICV">
    <vt:lpwstr>211AA38F92A8457EBB7EBAD5B5F6B8A1_12</vt:lpwstr>
  </property>
</Properties>
</file>