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81A20E" w14:textId="3F69A2FD" w:rsidR="007E41AA" w:rsidRPr="00436F49" w:rsidRDefault="00000000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436F49"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="00436F49">
        <w:rPr>
          <w:rFonts w:ascii="Times New Roman" w:hAnsi="Times New Roman" w:cs="Times New Roman"/>
          <w:b/>
          <w:bCs/>
          <w:lang w:val="en-US"/>
        </w:rPr>
        <w:t>S</w:t>
      </w:r>
      <w:r w:rsidRPr="00436F49">
        <w:rPr>
          <w:rFonts w:ascii="Times New Roman" w:hAnsi="Times New Roman" w:cs="Times New Roman"/>
          <w:b/>
          <w:bCs/>
          <w:lang w:val="en-US"/>
        </w:rPr>
        <w:t>1 Characteristics of the original articles included in the review</w:t>
      </w:r>
    </w:p>
    <w:p w14:paraId="7032A296" w14:textId="77777777" w:rsidR="007E41AA" w:rsidRPr="00436F49" w:rsidRDefault="007E41AA">
      <w:pPr>
        <w:rPr>
          <w:rFonts w:ascii="Times New Roman" w:hAnsi="Times New Roman" w:cs="Times New Roman"/>
          <w:sz w:val="18"/>
          <w:szCs w:val="18"/>
          <w:lang w:val="en-US"/>
        </w:rPr>
      </w:pPr>
    </w:p>
    <w:tbl>
      <w:tblPr>
        <w:tblStyle w:val="Tabelraster"/>
        <w:tblW w:w="5083" w:type="pct"/>
        <w:tblLayout w:type="fixed"/>
        <w:tblLook w:val="04A0" w:firstRow="1" w:lastRow="0" w:firstColumn="1" w:lastColumn="0" w:noHBand="0" w:noVBand="1"/>
      </w:tblPr>
      <w:tblGrid>
        <w:gridCol w:w="567"/>
        <w:gridCol w:w="988"/>
        <w:gridCol w:w="992"/>
        <w:gridCol w:w="992"/>
        <w:gridCol w:w="851"/>
        <w:gridCol w:w="1010"/>
        <w:gridCol w:w="1191"/>
        <w:gridCol w:w="1343"/>
        <w:gridCol w:w="1343"/>
        <w:gridCol w:w="1957"/>
        <w:gridCol w:w="1641"/>
        <w:gridCol w:w="1641"/>
      </w:tblGrid>
      <w:tr w:rsidR="007E41AA" w:rsidRPr="00436F49" w14:paraId="160EEBBB" w14:textId="77777777" w:rsidTr="00436F49">
        <w:trPr>
          <w:trHeight w:val="310"/>
        </w:trPr>
        <w:tc>
          <w:tcPr>
            <w:tcW w:w="567" w:type="dxa"/>
          </w:tcPr>
          <w:p w14:paraId="61945AD6" w14:textId="77777777" w:rsidR="007E41AA" w:rsidRPr="00436F49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No</w:t>
            </w:r>
          </w:p>
        </w:tc>
        <w:tc>
          <w:tcPr>
            <w:tcW w:w="988" w:type="dxa"/>
          </w:tcPr>
          <w:p w14:paraId="136DB7CF" w14:textId="77777777" w:rsidR="007E41AA" w:rsidRPr="00436F49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Authors (year)</w:t>
            </w:r>
          </w:p>
        </w:tc>
        <w:tc>
          <w:tcPr>
            <w:tcW w:w="992" w:type="dxa"/>
          </w:tcPr>
          <w:p w14:paraId="73314189" w14:textId="0329AA89" w:rsidR="007E41AA" w:rsidRPr="00436F49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Continent</w:t>
            </w:r>
          </w:p>
        </w:tc>
        <w:tc>
          <w:tcPr>
            <w:tcW w:w="992" w:type="dxa"/>
          </w:tcPr>
          <w:p w14:paraId="43AC0D98" w14:textId="77777777" w:rsidR="007E41AA" w:rsidRPr="00436F49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Country/State</w:t>
            </w:r>
          </w:p>
        </w:tc>
        <w:tc>
          <w:tcPr>
            <w:tcW w:w="851" w:type="dxa"/>
          </w:tcPr>
          <w:p w14:paraId="3A925E8E" w14:textId="77777777" w:rsidR="007E41AA" w:rsidRPr="00436F49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Design</w:t>
            </w:r>
          </w:p>
        </w:tc>
        <w:tc>
          <w:tcPr>
            <w:tcW w:w="1010" w:type="dxa"/>
          </w:tcPr>
          <w:p w14:paraId="1C423B5D" w14:textId="77777777" w:rsidR="007E41AA" w:rsidRPr="00436F49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NICU setting</w:t>
            </w:r>
          </w:p>
        </w:tc>
        <w:tc>
          <w:tcPr>
            <w:tcW w:w="1191" w:type="dxa"/>
          </w:tcPr>
          <w:p w14:paraId="33EC2718" w14:textId="77777777" w:rsidR="007E41AA" w:rsidRPr="00436F49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Participants</w:t>
            </w:r>
          </w:p>
        </w:tc>
        <w:tc>
          <w:tcPr>
            <w:tcW w:w="1343" w:type="dxa"/>
          </w:tcPr>
          <w:p w14:paraId="05A48210" w14:textId="77777777" w:rsidR="007E41AA" w:rsidRPr="00436F49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Type of decision(s) for (unborn) child</w:t>
            </w:r>
          </w:p>
        </w:tc>
        <w:tc>
          <w:tcPr>
            <w:tcW w:w="1343" w:type="dxa"/>
          </w:tcPr>
          <w:p w14:paraId="131E5816" w14:textId="77777777" w:rsidR="007E41AA" w:rsidRPr="00436F49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Health issues</w:t>
            </w:r>
          </w:p>
        </w:tc>
        <w:tc>
          <w:tcPr>
            <w:tcW w:w="1957" w:type="dxa"/>
          </w:tcPr>
          <w:p w14:paraId="0E260748" w14:textId="77777777" w:rsidR="007E41AA" w:rsidRPr="00436F49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Data </w:t>
            </w:r>
          </w:p>
        </w:tc>
        <w:tc>
          <w:tcPr>
            <w:tcW w:w="1641" w:type="dxa"/>
          </w:tcPr>
          <w:p w14:paraId="63F20CFA" w14:textId="77777777" w:rsidR="007E41AA" w:rsidRPr="00436F49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Time points of interviews with parents</w:t>
            </w:r>
          </w:p>
        </w:tc>
        <w:tc>
          <w:tcPr>
            <w:tcW w:w="1641" w:type="dxa"/>
          </w:tcPr>
          <w:p w14:paraId="57E8B905" w14:textId="77777777" w:rsidR="007E41AA" w:rsidRPr="00436F49" w:rsidRDefault="000000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Data analysis</w:t>
            </w:r>
          </w:p>
        </w:tc>
      </w:tr>
      <w:tr w:rsidR="007E41AA" w:rsidRPr="00436F49" w14:paraId="27CBD967" w14:textId="77777777" w:rsidTr="00436F49">
        <w:trPr>
          <w:trHeight w:val="310"/>
        </w:trPr>
        <w:tc>
          <w:tcPr>
            <w:tcW w:w="567" w:type="dxa"/>
          </w:tcPr>
          <w:p w14:paraId="55762286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#1</w:t>
            </w:r>
          </w:p>
        </w:tc>
        <w:tc>
          <w:tcPr>
            <w:tcW w:w="988" w:type="dxa"/>
          </w:tcPr>
          <w:p w14:paraId="3017545C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Wocial</w:t>
            </w:r>
            <w:proofErr w:type="spellEnd"/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(2000) </w:t>
            </w:r>
          </w:p>
        </w:tc>
        <w:tc>
          <w:tcPr>
            <w:tcW w:w="992" w:type="dxa"/>
          </w:tcPr>
          <w:p w14:paraId="0A0C138F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North America</w:t>
            </w:r>
          </w:p>
        </w:tc>
        <w:tc>
          <w:tcPr>
            <w:tcW w:w="992" w:type="dxa"/>
          </w:tcPr>
          <w:p w14:paraId="0C570907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USA/Minnesota</w:t>
            </w:r>
          </w:p>
          <w:p w14:paraId="02020E3D" w14:textId="77777777" w:rsidR="007E41AA" w:rsidRPr="00436F49" w:rsidRDefault="007E41A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23E8F295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 w:bidi="en-US"/>
              </w:rPr>
              <w:t>retrospective</w:t>
            </w:r>
          </w:p>
        </w:tc>
        <w:tc>
          <w:tcPr>
            <w:tcW w:w="1010" w:type="dxa"/>
          </w:tcPr>
          <w:p w14:paraId="3AAF0F5B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 hospital/ NICU in large metropolitan area</w:t>
            </w:r>
          </w:p>
        </w:tc>
        <w:tc>
          <w:tcPr>
            <w:tcW w:w="1191" w:type="dxa"/>
          </w:tcPr>
          <w:p w14:paraId="68ECDCA4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 cases, 20 parents, 13 infants, all infants died</w:t>
            </w:r>
          </w:p>
          <w:p w14:paraId="61D95D76" w14:textId="77777777" w:rsidR="007E41AA" w:rsidRPr="00436F49" w:rsidRDefault="007E41A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343" w:type="dxa"/>
          </w:tcPr>
          <w:p w14:paraId="6AE3688F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postnatal MDM:</w:t>
            </w:r>
          </w:p>
          <w:p w14:paraId="312F16FC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forgoing LST </w:t>
            </w:r>
          </w:p>
        </w:tc>
        <w:tc>
          <w:tcPr>
            <w:tcW w:w="1343" w:type="dxa"/>
          </w:tcPr>
          <w:p w14:paraId="76917DB6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premature delivery, congenital malformation, acquired disease or damage</w:t>
            </w:r>
          </w:p>
        </w:tc>
        <w:tc>
          <w:tcPr>
            <w:tcW w:w="1957" w:type="dxa"/>
          </w:tcPr>
          <w:p w14:paraId="4690A9DA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open-ended face-to-face or telephone interviews with parents; demographic data; medical charts</w:t>
            </w:r>
          </w:p>
        </w:tc>
        <w:tc>
          <w:tcPr>
            <w:tcW w:w="1641" w:type="dxa"/>
          </w:tcPr>
          <w:p w14:paraId="36D0D7E7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 w:bidi="en-US"/>
              </w:rPr>
              <w:t>one time point between 4 to 12 months after the death of the child</w:t>
            </w:r>
          </w:p>
        </w:tc>
        <w:tc>
          <w:tcPr>
            <w:tcW w:w="1641" w:type="dxa"/>
          </w:tcPr>
          <w:p w14:paraId="04F78C3E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qualitative content analysis </w:t>
            </w:r>
          </w:p>
        </w:tc>
      </w:tr>
      <w:tr w:rsidR="007E41AA" w:rsidRPr="00436F49" w14:paraId="5BCB635A" w14:textId="77777777" w:rsidTr="00436F49">
        <w:trPr>
          <w:trHeight w:val="293"/>
        </w:trPr>
        <w:tc>
          <w:tcPr>
            <w:tcW w:w="567" w:type="dxa"/>
          </w:tcPr>
          <w:p w14:paraId="526004B5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#2</w:t>
            </w:r>
          </w:p>
        </w:tc>
        <w:tc>
          <w:tcPr>
            <w:tcW w:w="988" w:type="dxa"/>
          </w:tcPr>
          <w:p w14:paraId="48A167C0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Kavanaugh et al. (2005) </w:t>
            </w:r>
          </w:p>
        </w:tc>
        <w:tc>
          <w:tcPr>
            <w:tcW w:w="992" w:type="dxa"/>
          </w:tcPr>
          <w:p w14:paraId="7315FBFA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North America</w:t>
            </w:r>
          </w:p>
        </w:tc>
        <w:tc>
          <w:tcPr>
            <w:tcW w:w="992" w:type="dxa"/>
          </w:tcPr>
          <w:p w14:paraId="2D708DBF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USA/Illinois</w:t>
            </w:r>
          </w:p>
        </w:tc>
        <w:tc>
          <w:tcPr>
            <w:tcW w:w="851" w:type="dxa"/>
          </w:tcPr>
          <w:p w14:paraId="51FAAFD4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 w:bidi="en-US"/>
              </w:rPr>
              <w:t>prospective</w:t>
            </w:r>
          </w:p>
        </w:tc>
        <w:tc>
          <w:tcPr>
            <w:tcW w:w="1010" w:type="dxa"/>
          </w:tcPr>
          <w:p w14:paraId="193830E2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2 hospitals that provided high-risk perinatal care </w:t>
            </w:r>
          </w:p>
        </w:tc>
        <w:tc>
          <w:tcPr>
            <w:tcW w:w="1191" w:type="dxa"/>
          </w:tcPr>
          <w:p w14:paraId="1BB811EA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 cases, 8 parents (6 mothers, 2 fathers), 6 infants, 1 infant died;6 physicians, 2 nurses</w:t>
            </w:r>
          </w:p>
        </w:tc>
        <w:tc>
          <w:tcPr>
            <w:tcW w:w="1343" w:type="dxa"/>
          </w:tcPr>
          <w:p w14:paraId="7F94003E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pre- and postnatal MDM:</w:t>
            </w:r>
          </w:p>
          <w:p w14:paraId="6BDA3A3D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termination of pregnancy, pregnancy management, mode of delivery, resuscitation, forgoing LST </w:t>
            </w:r>
          </w:p>
        </w:tc>
        <w:tc>
          <w:tcPr>
            <w:tcW w:w="1343" w:type="dxa"/>
          </w:tcPr>
          <w:p w14:paraId="2DF92FC5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risk of premature delivery </w:t>
            </w:r>
          </w:p>
        </w:tc>
        <w:tc>
          <w:tcPr>
            <w:tcW w:w="1957" w:type="dxa"/>
          </w:tcPr>
          <w:p w14:paraId="4BAA6AEA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face-to-face interviews with parents (separately or together); separate telephone interviews with physicians and nurses; periodic assessments; demographic data; medical charts</w:t>
            </w:r>
          </w:p>
        </w:tc>
        <w:tc>
          <w:tcPr>
            <w:tcW w:w="1641" w:type="dxa"/>
          </w:tcPr>
          <w:p w14:paraId="63D45E62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several time points between identification of risk for premature birth and up to 28 days after delivery, interview before birth, after birth and in one </w:t>
            </w:r>
            <w:proofErr w:type="gramStart"/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case  1</w:t>
            </w:r>
            <w:proofErr w:type="gramEnd"/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-3 weeks after the infant’s death </w:t>
            </w:r>
          </w:p>
        </w:tc>
        <w:tc>
          <w:tcPr>
            <w:tcW w:w="1641" w:type="dxa"/>
          </w:tcPr>
          <w:p w14:paraId="6535CB76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qualitative collective case study; usage of the Ottawa Decision Support framework for coding and analysis</w:t>
            </w:r>
          </w:p>
        </w:tc>
      </w:tr>
      <w:tr w:rsidR="007E41AA" w:rsidRPr="00436F49" w14:paraId="78496DDC" w14:textId="77777777" w:rsidTr="00436F49">
        <w:trPr>
          <w:trHeight w:val="310"/>
        </w:trPr>
        <w:tc>
          <w:tcPr>
            <w:tcW w:w="567" w:type="dxa"/>
          </w:tcPr>
          <w:p w14:paraId="24AF6CB5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#3</w:t>
            </w:r>
          </w:p>
        </w:tc>
        <w:tc>
          <w:tcPr>
            <w:tcW w:w="988" w:type="dxa"/>
          </w:tcPr>
          <w:p w14:paraId="78EA1CA3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Payot</w:t>
            </w:r>
            <w:proofErr w:type="spellEnd"/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et al. (2007) </w:t>
            </w:r>
          </w:p>
        </w:tc>
        <w:tc>
          <w:tcPr>
            <w:tcW w:w="992" w:type="dxa"/>
          </w:tcPr>
          <w:p w14:paraId="4859A4F5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North America</w:t>
            </w:r>
          </w:p>
        </w:tc>
        <w:tc>
          <w:tcPr>
            <w:tcW w:w="992" w:type="dxa"/>
          </w:tcPr>
          <w:p w14:paraId="321A1BB4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Canada/Quebec</w:t>
            </w:r>
          </w:p>
        </w:tc>
        <w:tc>
          <w:tcPr>
            <w:tcW w:w="851" w:type="dxa"/>
          </w:tcPr>
          <w:p w14:paraId="2EA593EB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 w:bidi="en-GB"/>
              </w:rPr>
              <w:t>prospective</w:t>
            </w:r>
          </w:p>
        </w:tc>
        <w:tc>
          <w:tcPr>
            <w:tcW w:w="1010" w:type="dxa"/>
          </w:tcPr>
          <w:p w14:paraId="21287BCF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1 </w:t>
            </w:r>
            <w:proofErr w:type="gramStart"/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hospital,  reference</w:t>
            </w:r>
            <w:proofErr w:type="gramEnd"/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centre for at-risk pregnancies and neonatal care that </w:t>
            </w:r>
            <w:proofErr w:type="gramStart"/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is located in</w:t>
            </w:r>
            <w:proofErr w:type="gramEnd"/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a perinatal tertiary care centre in Montréal </w:t>
            </w:r>
          </w:p>
        </w:tc>
        <w:tc>
          <w:tcPr>
            <w:tcW w:w="1191" w:type="dxa"/>
          </w:tcPr>
          <w:p w14:paraId="29227B15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 cases, 16 parents (8 mothers, 8 fathers), 8 infants, 6 infants died;</w:t>
            </w:r>
          </w:p>
          <w:p w14:paraId="2AD8A807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 physicians</w:t>
            </w:r>
          </w:p>
        </w:tc>
        <w:tc>
          <w:tcPr>
            <w:tcW w:w="1343" w:type="dxa"/>
          </w:tcPr>
          <w:p w14:paraId="54B2CE63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prenatal MDM: resuscitation </w:t>
            </w:r>
          </w:p>
        </w:tc>
        <w:tc>
          <w:tcPr>
            <w:tcW w:w="1343" w:type="dxa"/>
          </w:tcPr>
          <w:p w14:paraId="6AA48E7E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risk of premature delivery </w:t>
            </w:r>
          </w:p>
          <w:p w14:paraId="45FB7282" w14:textId="77777777" w:rsidR="007E41AA" w:rsidRPr="00436F49" w:rsidRDefault="007E41A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57" w:type="dxa"/>
          </w:tcPr>
          <w:p w14:paraId="5A64ACEF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separate face-to-face semi-directed in-depth interviews with parents and physicians </w:t>
            </w:r>
          </w:p>
        </w:tc>
        <w:tc>
          <w:tcPr>
            <w:tcW w:w="1641" w:type="dxa"/>
          </w:tcPr>
          <w:p w14:paraId="634B2025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 w:bidi="en-GB"/>
              </w:rPr>
              <w:t xml:space="preserve">two time points, one immediately (up to one day) after the antenatal consultation following the identification of risk for premature birth and 4-6 months after </w:t>
            </w:r>
            <w:proofErr w:type="gramStart"/>
            <w:r w:rsidRPr="00436F49">
              <w:rPr>
                <w:rFonts w:ascii="Times New Roman" w:hAnsi="Times New Roman" w:cs="Times New Roman"/>
                <w:sz w:val="18"/>
                <w:szCs w:val="18"/>
                <w:lang w:val="en-GB" w:bidi="en-GB"/>
              </w:rPr>
              <w:t>the  consultation</w:t>
            </w:r>
            <w:proofErr w:type="gramEnd"/>
            <w:r w:rsidRPr="00436F49">
              <w:rPr>
                <w:rFonts w:ascii="Times New Roman" w:hAnsi="Times New Roman" w:cs="Times New Roman"/>
                <w:sz w:val="18"/>
                <w:szCs w:val="18"/>
                <w:lang w:val="en-GB" w:bidi="en-GB"/>
              </w:rPr>
              <w:t xml:space="preserve"> </w:t>
            </w:r>
          </w:p>
        </w:tc>
        <w:tc>
          <w:tcPr>
            <w:tcW w:w="1641" w:type="dxa"/>
          </w:tcPr>
          <w:p w14:paraId="541D04AE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hermeneutic and dialectical approach; qualitative data analysis according to the constant comparative method (constructivist Grounded Theory Methodology)</w:t>
            </w:r>
          </w:p>
        </w:tc>
      </w:tr>
      <w:tr w:rsidR="007E41AA" w:rsidRPr="00436F49" w14:paraId="46AF6839" w14:textId="77777777" w:rsidTr="00436F49">
        <w:trPr>
          <w:trHeight w:val="310"/>
        </w:trPr>
        <w:tc>
          <w:tcPr>
            <w:tcW w:w="567" w:type="dxa"/>
          </w:tcPr>
          <w:p w14:paraId="34088B48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#4</w:t>
            </w:r>
          </w:p>
        </w:tc>
        <w:tc>
          <w:tcPr>
            <w:tcW w:w="988" w:type="dxa"/>
          </w:tcPr>
          <w:p w14:paraId="46D41476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Boss et al. (2008) </w:t>
            </w:r>
          </w:p>
        </w:tc>
        <w:tc>
          <w:tcPr>
            <w:tcW w:w="992" w:type="dxa"/>
          </w:tcPr>
          <w:p w14:paraId="5121BB66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North America</w:t>
            </w:r>
          </w:p>
        </w:tc>
        <w:tc>
          <w:tcPr>
            <w:tcW w:w="992" w:type="dxa"/>
          </w:tcPr>
          <w:p w14:paraId="161F0B4E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USA/ Maryland</w:t>
            </w:r>
          </w:p>
        </w:tc>
        <w:tc>
          <w:tcPr>
            <w:tcW w:w="851" w:type="dxa"/>
          </w:tcPr>
          <w:p w14:paraId="40015B3F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 w:bidi="en-GB"/>
              </w:rPr>
              <w:t>retrospective</w:t>
            </w:r>
          </w:p>
        </w:tc>
        <w:tc>
          <w:tcPr>
            <w:tcW w:w="1010" w:type="dxa"/>
          </w:tcPr>
          <w:p w14:paraId="0F16444D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3 hospitals, 2 urban regional referral centres, 1 </w:t>
            </w: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lastRenderedPageBreak/>
              <w:t>suburban community hospital</w:t>
            </w:r>
          </w:p>
        </w:tc>
        <w:tc>
          <w:tcPr>
            <w:tcW w:w="1191" w:type="dxa"/>
          </w:tcPr>
          <w:p w14:paraId="6446EB3A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lastRenderedPageBreak/>
              <w:t>26 cases, 26</w:t>
            </w:r>
          </w:p>
          <w:p w14:paraId="0FBB0530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gramStart"/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parents  (</w:t>
            </w:r>
            <w:proofErr w:type="gramEnd"/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mothers), 26 infants, all infants died</w:t>
            </w:r>
          </w:p>
        </w:tc>
        <w:tc>
          <w:tcPr>
            <w:tcW w:w="1343" w:type="dxa"/>
          </w:tcPr>
          <w:p w14:paraId="14C2B23F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prenatal MDM: resuscitation </w:t>
            </w:r>
          </w:p>
        </w:tc>
        <w:tc>
          <w:tcPr>
            <w:tcW w:w="1343" w:type="dxa"/>
          </w:tcPr>
          <w:p w14:paraId="0C3CCA05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premature delivery, congenital malformation</w:t>
            </w:r>
          </w:p>
        </w:tc>
        <w:tc>
          <w:tcPr>
            <w:tcW w:w="1957" w:type="dxa"/>
          </w:tcPr>
          <w:p w14:paraId="131EDEF6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telephone interviews and one and e-mail interview with a semi-structured instrument with mothers; </w:t>
            </w: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lastRenderedPageBreak/>
              <w:t xml:space="preserve">demographic data; medical charts; </w:t>
            </w:r>
          </w:p>
        </w:tc>
        <w:tc>
          <w:tcPr>
            <w:tcW w:w="1641" w:type="dxa"/>
          </w:tcPr>
          <w:p w14:paraId="225C3F3D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 w:bidi="en-GB"/>
              </w:rPr>
              <w:lastRenderedPageBreak/>
              <w:t>one time point between 10 months and 5 years after the infant’s death</w:t>
            </w:r>
          </w:p>
        </w:tc>
        <w:tc>
          <w:tcPr>
            <w:tcW w:w="1641" w:type="dxa"/>
          </w:tcPr>
          <w:p w14:paraId="47F2BFA8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coding of content, identification of key themes based on frequency</w:t>
            </w:r>
          </w:p>
        </w:tc>
      </w:tr>
      <w:tr w:rsidR="007E41AA" w:rsidRPr="00436F49" w14:paraId="590705C6" w14:textId="77777777" w:rsidTr="00436F49">
        <w:trPr>
          <w:trHeight w:val="310"/>
        </w:trPr>
        <w:tc>
          <w:tcPr>
            <w:tcW w:w="567" w:type="dxa"/>
          </w:tcPr>
          <w:p w14:paraId="523E2487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#5</w:t>
            </w:r>
          </w:p>
        </w:tc>
        <w:tc>
          <w:tcPr>
            <w:tcW w:w="988" w:type="dxa"/>
          </w:tcPr>
          <w:p w14:paraId="350C365F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Kavanaugh et al. (2009) </w:t>
            </w:r>
          </w:p>
        </w:tc>
        <w:tc>
          <w:tcPr>
            <w:tcW w:w="992" w:type="dxa"/>
          </w:tcPr>
          <w:p w14:paraId="308EA07F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North America</w:t>
            </w:r>
          </w:p>
        </w:tc>
        <w:tc>
          <w:tcPr>
            <w:tcW w:w="992" w:type="dxa"/>
          </w:tcPr>
          <w:p w14:paraId="6AAFF4A3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USA/Illinois</w:t>
            </w:r>
          </w:p>
        </w:tc>
        <w:tc>
          <w:tcPr>
            <w:tcW w:w="851" w:type="dxa"/>
          </w:tcPr>
          <w:p w14:paraId="7B48FC82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 w:bidi="en-GB"/>
              </w:rPr>
              <w:t>prospective</w:t>
            </w:r>
          </w:p>
        </w:tc>
        <w:tc>
          <w:tcPr>
            <w:tcW w:w="1010" w:type="dxa"/>
          </w:tcPr>
          <w:p w14:paraId="3A0C0BA0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 hospital</w:t>
            </w:r>
          </w:p>
        </w:tc>
        <w:tc>
          <w:tcPr>
            <w:tcW w:w="1191" w:type="dxa"/>
          </w:tcPr>
          <w:p w14:paraId="7B26D176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1 case, 2 parents (1 mother, 1 father) of 1 infant, the infant died, 1 physician, 2 nurses </w:t>
            </w:r>
          </w:p>
        </w:tc>
        <w:tc>
          <w:tcPr>
            <w:tcW w:w="1343" w:type="dxa"/>
          </w:tcPr>
          <w:p w14:paraId="1B3EA1FE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prenatal MDM: LST maintaining or interrupting the pregnancy, removal of cerclage, bed rest with hospitalisation or at home</w:t>
            </w:r>
          </w:p>
        </w:tc>
        <w:tc>
          <w:tcPr>
            <w:tcW w:w="1343" w:type="dxa"/>
          </w:tcPr>
          <w:p w14:paraId="4CD945FE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risk of premature delivery </w:t>
            </w:r>
          </w:p>
          <w:p w14:paraId="465F0E5E" w14:textId="77777777" w:rsidR="007E41AA" w:rsidRPr="00436F49" w:rsidRDefault="007E41A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B717F8" w14:textId="77777777" w:rsidR="007E41AA" w:rsidRPr="00436F49" w:rsidRDefault="007E41A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957" w:type="dxa"/>
          </w:tcPr>
          <w:p w14:paraId="561F6D8B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separate face-to-face interviews with interview guides with mother/father; and telephone-interviews with a physician and nurses, demographic data; medical charts</w:t>
            </w:r>
          </w:p>
        </w:tc>
        <w:tc>
          <w:tcPr>
            <w:tcW w:w="1641" w:type="dxa"/>
          </w:tcPr>
          <w:p w14:paraId="0EBA4F48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 w:bidi="en-GB"/>
              </w:rPr>
              <w:t>one time point immediately after the antenatal consultation (the same day) following the identification of risk for premature birth</w:t>
            </w:r>
          </w:p>
        </w:tc>
        <w:tc>
          <w:tcPr>
            <w:tcW w:w="1641" w:type="dxa"/>
          </w:tcPr>
          <w:p w14:paraId="1C803235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qualitative collective case study; usage of the Ottawa Decision Support framework for coding and analysis</w:t>
            </w:r>
          </w:p>
          <w:p w14:paraId="7D12E5CE" w14:textId="77777777" w:rsidR="007E41AA" w:rsidRPr="00436F49" w:rsidRDefault="007E41AA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E41AA" w:rsidRPr="00436F49" w14:paraId="3A34FA86" w14:textId="77777777" w:rsidTr="00436F49">
        <w:trPr>
          <w:trHeight w:val="2651"/>
        </w:trPr>
        <w:tc>
          <w:tcPr>
            <w:tcW w:w="567" w:type="dxa"/>
          </w:tcPr>
          <w:p w14:paraId="7D755305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#6</w:t>
            </w:r>
          </w:p>
        </w:tc>
        <w:tc>
          <w:tcPr>
            <w:tcW w:w="988" w:type="dxa"/>
          </w:tcPr>
          <w:p w14:paraId="18FEDBB5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Moro et al. (2011) </w:t>
            </w:r>
          </w:p>
        </w:tc>
        <w:tc>
          <w:tcPr>
            <w:tcW w:w="992" w:type="dxa"/>
          </w:tcPr>
          <w:p w14:paraId="043F7005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North America</w:t>
            </w:r>
          </w:p>
        </w:tc>
        <w:tc>
          <w:tcPr>
            <w:tcW w:w="992" w:type="dxa"/>
          </w:tcPr>
          <w:p w14:paraId="10B92B50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USA/Illinois</w:t>
            </w:r>
          </w:p>
        </w:tc>
        <w:tc>
          <w:tcPr>
            <w:tcW w:w="851" w:type="dxa"/>
          </w:tcPr>
          <w:p w14:paraId="2ABF5815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 w:bidi="en-GB"/>
              </w:rPr>
              <w:t>prospective</w:t>
            </w:r>
          </w:p>
          <w:p w14:paraId="09A2E411" w14:textId="77777777" w:rsidR="007E41AA" w:rsidRPr="00436F49" w:rsidRDefault="007E41A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</w:tcPr>
          <w:p w14:paraId="491409C3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 hospitals</w:t>
            </w:r>
          </w:p>
        </w:tc>
        <w:tc>
          <w:tcPr>
            <w:tcW w:w="1191" w:type="dxa"/>
          </w:tcPr>
          <w:p w14:paraId="20C7506A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5 cases, 5 parents (mothers), 7 infants, all infants died; 4 physicians, 4 nurses </w:t>
            </w:r>
          </w:p>
        </w:tc>
        <w:tc>
          <w:tcPr>
            <w:tcW w:w="1343" w:type="dxa"/>
          </w:tcPr>
          <w:p w14:paraId="1964AC6E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pre- and postnatal MDM:</w:t>
            </w:r>
          </w:p>
          <w:p w14:paraId="4637BB19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forgoing LST</w:t>
            </w:r>
          </w:p>
        </w:tc>
        <w:tc>
          <w:tcPr>
            <w:tcW w:w="1343" w:type="dxa"/>
          </w:tcPr>
          <w:p w14:paraId="63117E54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risk of premature delivery </w:t>
            </w:r>
          </w:p>
          <w:p w14:paraId="31284AF6" w14:textId="77777777" w:rsidR="007E41AA" w:rsidRPr="00436F49" w:rsidRDefault="007E41A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957" w:type="dxa"/>
          </w:tcPr>
          <w:p w14:paraId="71D08F2A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face-to-face interviews with mothers; separate face-to-face or telephone interviews with physicians and nurses; periodic assessments; demographic data; medical charts</w:t>
            </w:r>
          </w:p>
          <w:p w14:paraId="69112941" w14:textId="77777777" w:rsidR="007E41AA" w:rsidRPr="00436F49" w:rsidRDefault="007E41A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641" w:type="dxa"/>
          </w:tcPr>
          <w:p w14:paraId="52688B23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several time points between identification of risk for premature birth and following the death of the infants; interviews before birth, after birth and several weeks to months after the infant’s death</w:t>
            </w:r>
          </w:p>
        </w:tc>
        <w:tc>
          <w:tcPr>
            <w:tcW w:w="1641" w:type="dxa"/>
          </w:tcPr>
          <w:p w14:paraId="0FAEA678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collective case study; analysis of interviews according to the Ottawa Decision Support framework, within and across case analysis</w:t>
            </w:r>
          </w:p>
        </w:tc>
      </w:tr>
      <w:tr w:rsidR="007E41AA" w:rsidRPr="00436F49" w14:paraId="3C1A196E" w14:textId="77777777" w:rsidTr="00436F49">
        <w:trPr>
          <w:trHeight w:val="310"/>
        </w:trPr>
        <w:tc>
          <w:tcPr>
            <w:tcW w:w="567" w:type="dxa"/>
          </w:tcPr>
          <w:p w14:paraId="1D7BB19C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#7</w:t>
            </w:r>
          </w:p>
        </w:tc>
        <w:tc>
          <w:tcPr>
            <w:tcW w:w="988" w:type="dxa"/>
          </w:tcPr>
          <w:p w14:paraId="2D5979BA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Kavanaugh et al. (2015) </w:t>
            </w:r>
          </w:p>
        </w:tc>
        <w:tc>
          <w:tcPr>
            <w:tcW w:w="992" w:type="dxa"/>
          </w:tcPr>
          <w:p w14:paraId="5C9F960E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North America</w:t>
            </w:r>
          </w:p>
        </w:tc>
        <w:tc>
          <w:tcPr>
            <w:tcW w:w="992" w:type="dxa"/>
          </w:tcPr>
          <w:p w14:paraId="714C8DD8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USA/a midwestern state</w:t>
            </w:r>
          </w:p>
        </w:tc>
        <w:tc>
          <w:tcPr>
            <w:tcW w:w="851" w:type="dxa"/>
          </w:tcPr>
          <w:p w14:paraId="20EA93DA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 w:bidi="en-GB"/>
              </w:rPr>
              <w:t>prospective</w:t>
            </w:r>
          </w:p>
          <w:p w14:paraId="6236D9C0" w14:textId="77777777" w:rsidR="007E41AA" w:rsidRPr="00436F49" w:rsidRDefault="007E41A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</w:tcPr>
          <w:p w14:paraId="6D4C867F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 hospitals</w:t>
            </w:r>
          </w:p>
        </w:tc>
        <w:tc>
          <w:tcPr>
            <w:tcW w:w="1191" w:type="dxa"/>
          </w:tcPr>
          <w:p w14:paraId="2BD0979F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40 cases, 54 parents (40 mothers, 14 fathers)</w:t>
            </w:r>
          </w:p>
        </w:tc>
        <w:tc>
          <w:tcPr>
            <w:tcW w:w="1343" w:type="dxa"/>
          </w:tcPr>
          <w:p w14:paraId="7C556E5F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prenatal MDM: LST</w:t>
            </w:r>
          </w:p>
        </w:tc>
        <w:tc>
          <w:tcPr>
            <w:tcW w:w="1343" w:type="dxa"/>
          </w:tcPr>
          <w:p w14:paraId="74783AE1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risk of premature delivery </w:t>
            </w:r>
          </w:p>
          <w:p w14:paraId="4377BA0E" w14:textId="77777777" w:rsidR="007E41AA" w:rsidRPr="00436F49" w:rsidRDefault="007E41A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57" w:type="dxa"/>
          </w:tcPr>
          <w:p w14:paraId="63298FB6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open-ended face-to-face interviews with parents; field notes </w:t>
            </w:r>
          </w:p>
        </w:tc>
        <w:tc>
          <w:tcPr>
            <w:tcW w:w="1641" w:type="dxa"/>
          </w:tcPr>
          <w:p w14:paraId="4C7B3725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 w:bidi="en-GB"/>
              </w:rPr>
              <w:t xml:space="preserve">several time points; data gathered during the prenatal period </w:t>
            </w:r>
          </w:p>
        </w:tc>
        <w:tc>
          <w:tcPr>
            <w:tcW w:w="1641" w:type="dxa"/>
          </w:tcPr>
          <w:p w14:paraId="2DFF7436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secondary analysis; directed content analysis using Swanson's middle-range theory of caring</w:t>
            </w:r>
          </w:p>
        </w:tc>
      </w:tr>
      <w:tr w:rsidR="007E41AA" w:rsidRPr="00436F49" w14:paraId="43E14D39" w14:textId="77777777" w:rsidTr="00436F49">
        <w:trPr>
          <w:trHeight w:val="293"/>
        </w:trPr>
        <w:tc>
          <w:tcPr>
            <w:tcW w:w="567" w:type="dxa"/>
          </w:tcPr>
          <w:p w14:paraId="504E5452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#8</w:t>
            </w:r>
          </w:p>
        </w:tc>
        <w:tc>
          <w:tcPr>
            <w:tcW w:w="988" w:type="dxa"/>
          </w:tcPr>
          <w:p w14:paraId="6805B2F1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Daboval</w:t>
            </w:r>
            <w:proofErr w:type="spellEnd"/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et al. (2016) </w:t>
            </w:r>
          </w:p>
        </w:tc>
        <w:tc>
          <w:tcPr>
            <w:tcW w:w="992" w:type="dxa"/>
          </w:tcPr>
          <w:p w14:paraId="3DAEA9A2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North America</w:t>
            </w:r>
          </w:p>
        </w:tc>
        <w:tc>
          <w:tcPr>
            <w:tcW w:w="992" w:type="dxa"/>
          </w:tcPr>
          <w:p w14:paraId="70AE7CC5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Canada/Ottawa</w:t>
            </w:r>
          </w:p>
        </w:tc>
        <w:tc>
          <w:tcPr>
            <w:tcW w:w="851" w:type="dxa"/>
          </w:tcPr>
          <w:p w14:paraId="70F5985C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 w:bidi="en-GB"/>
              </w:rPr>
              <w:t>prospective</w:t>
            </w:r>
          </w:p>
        </w:tc>
        <w:tc>
          <w:tcPr>
            <w:tcW w:w="1010" w:type="dxa"/>
          </w:tcPr>
          <w:p w14:paraId="18E2F8EF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 tertiary care hospital/department of Obstetrics and Gynaecology in Ottawa</w:t>
            </w:r>
          </w:p>
        </w:tc>
        <w:tc>
          <w:tcPr>
            <w:tcW w:w="1191" w:type="dxa"/>
          </w:tcPr>
          <w:p w14:paraId="5674B7DF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5 cases, 10 parents (5 mothers, 5 fathers);6 infants, </w:t>
            </w:r>
          </w:p>
          <w:p w14:paraId="56BED80D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5 physicians, 1 fellow in neonatal perinatal medicine</w:t>
            </w:r>
          </w:p>
        </w:tc>
        <w:tc>
          <w:tcPr>
            <w:tcW w:w="1343" w:type="dxa"/>
          </w:tcPr>
          <w:p w14:paraId="72735618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prenatal MDM</w:t>
            </w:r>
          </w:p>
        </w:tc>
        <w:tc>
          <w:tcPr>
            <w:tcW w:w="1343" w:type="dxa"/>
          </w:tcPr>
          <w:p w14:paraId="4DBABBB9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risk of premature delivery </w:t>
            </w:r>
          </w:p>
          <w:p w14:paraId="0FC07C5B" w14:textId="77777777" w:rsidR="007E41AA" w:rsidRPr="00436F49" w:rsidRDefault="007E41A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957" w:type="dxa"/>
          </w:tcPr>
          <w:p w14:paraId="666F61DC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face-to-face semi-directive in-depth interviews with both parents; separate interviews with physicians; satisfaction score;</w:t>
            </w:r>
          </w:p>
          <w:p w14:paraId="5A0A149B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demographic characteristics</w:t>
            </w:r>
          </w:p>
        </w:tc>
        <w:tc>
          <w:tcPr>
            <w:tcW w:w="1641" w:type="dxa"/>
          </w:tcPr>
          <w:p w14:paraId="4FC5566C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one time point within four hours after the antenatal consultation</w:t>
            </w:r>
          </w:p>
        </w:tc>
        <w:tc>
          <w:tcPr>
            <w:tcW w:w="1641" w:type="dxa"/>
          </w:tcPr>
          <w:p w14:paraId="60915E73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multiple case ethnomethodological qualitative research study; content and iterative analysis from a constructivist orientation </w:t>
            </w:r>
          </w:p>
        </w:tc>
      </w:tr>
      <w:tr w:rsidR="007E41AA" w:rsidRPr="00436F49" w14:paraId="5EB277A3" w14:textId="77777777" w:rsidTr="00436F49">
        <w:trPr>
          <w:trHeight w:val="310"/>
        </w:trPr>
        <w:tc>
          <w:tcPr>
            <w:tcW w:w="567" w:type="dxa"/>
          </w:tcPr>
          <w:p w14:paraId="355C6FAE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lastRenderedPageBreak/>
              <w:t>#9</w:t>
            </w:r>
          </w:p>
        </w:tc>
        <w:tc>
          <w:tcPr>
            <w:tcW w:w="988" w:type="dxa"/>
          </w:tcPr>
          <w:p w14:paraId="3635363C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Baughcum et al. (2017)</w:t>
            </w:r>
          </w:p>
        </w:tc>
        <w:tc>
          <w:tcPr>
            <w:tcW w:w="992" w:type="dxa"/>
          </w:tcPr>
          <w:p w14:paraId="326E7556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North America</w:t>
            </w:r>
          </w:p>
        </w:tc>
        <w:tc>
          <w:tcPr>
            <w:tcW w:w="992" w:type="dxa"/>
          </w:tcPr>
          <w:p w14:paraId="52984067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USA/ Ohio</w:t>
            </w:r>
          </w:p>
        </w:tc>
        <w:tc>
          <w:tcPr>
            <w:tcW w:w="851" w:type="dxa"/>
          </w:tcPr>
          <w:p w14:paraId="35EB994B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 w:bidi="en-US"/>
              </w:rPr>
              <w:t>retrospective</w:t>
            </w:r>
          </w:p>
        </w:tc>
        <w:tc>
          <w:tcPr>
            <w:tcW w:w="1010" w:type="dxa"/>
          </w:tcPr>
          <w:p w14:paraId="2A649EF9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 hospital/ large midwestern level IV NICU</w:t>
            </w:r>
          </w:p>
        </w:tc>
        <w:tc>
          <w:tcPr>
            <w:tcW w:w="1191" w:type="dxa"/>
          </w:tcPr>
          <w:p w14:paraId="7133904B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31 cases, 45 parents (29 mothers, 16 fathers), 31 infants, all infants died </w:t>
            </w:r>
          </w:p>
        </w:tc>
        <w:tc>
          <w:tcPr>
            <w:tcW w:w="1343" w:type="dxa"/>
          </w:tcPr>
          <w:p w14:paraId="62338548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postnatal MDM:</w:t>
            </w:r>
          </w:p>
          <w:p w14:paraId="6D8CF48B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resuscitation, forgoing LST</w:t>
            </w:r>
          </w:p>
        </w:tc>
        <w:tc>
          <w:tcPr>
            <w:tcW w:w="1343" w:type="dxa"/>
          </w:tcPr>
          <w:p w14:paraId="538E6D15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risk of premature delivery, congenital malformation, acquired disease or damage</w:t>
            </w:r>
          </w:p>
        </w:tc>
        <w:tc>
          <w:tcPr>
            <w:tcW w:w="1957" w:type="dxa"/>
          </w:tcPr>
          <w:p w14:paraId="19FBB0BF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open-ended telephone interviews; demographic characteristics; medical charts</w:t>
            </w:r>
          </w:p>
        </w:tc>
        <w:tc>
          <w:tcPr>
            <w:tcW w:w="1641" w:type="dxa"/>
          </w:tcPr>
          <w:p w14:paraId="67B85B5D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one time point between 3 months and 5 years after the infant’s death</w:t>
            </w:r>
          </w:p>
        </w:tc>
        <w:tc>
          <w:tcPr>
            <w:tcW w:w="1641" w:type="dxa"/>
          </w:tcPr>
          <w:p w14:paraId="2695DFAB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content analysis</w:t>
            </w:r>
          </w:p>
        </w:tc>
      </w:tr>
      <w:tr w:rsidR="007E41AA" w:rsidRPr="00436F49" w14:paraId="235ED790" w14:textId="77777777" w:rsidTr="00436F49">
        <w:trPr>
          <w:trHeight w:val="310"/>
        </w:trPr>
        <w:tc>
          <w:tcPr>
            <w:tcW w:w="567" w:type="dxa"/>
          </w:tcPr>
          <w:p w14:paraId="7FA4A438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#10</w:t>
            </w:r>
          </w:p>
        </w:tc>
        <w:tc>
          <w:tcPr>
            <w:tcW w:w="988" w:type="dxa"/>
          </w:tcPr>
          <w:p w14:paraId="6A3CE9C8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Tucker Edmonds et al. (2019) </w:t>
            </w:r>
          </w:p>
        </w:tc>
        <w:tc>
          <w:tcPr>
            <w:tcW w:w="992" w:type="dxa"/>
          </w:tcPr>
          <w:p w14:paraId="3DE19E02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North America</w:t>
            </w:r>
          </w:p>
        </w:tc>
        <w:tc>
          <w:tcPr>
            <w:tcW w:w="992" w:type="dxa"/>
          </w:tcPr>
          <w:p w14:paraId="13779257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USA/ midwestern</w:t>
            </w:r>
          </w:p>
        </w:tc>
        <w:tc>
          <w:tcPr>
            <w:tcW w:w="851" w:type="dxa"/>
          </w:tcPr>
          <w:p w14:paraId="6D35BE63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prospective</w:t>
            </w:r>
          </w:p>
        </w:tc>
        <w:tc>
          <w:tcPr>
            <w:tcW w:w="1010" w:type="dxa"/>
          </w:tcPr>
          <w:p w14:paraId="41D5D14E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3 tertiary care hospitals </w:t>
            </w:r>
          </w:p>
        </w:tc>
        <w:tc>
          <w:tcPr>
            <w:tcW w:w="1191" w:type="dxa"/>
          </w:tcPr>
          <w:p w14:paraId="42CB620C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40 cases, 54 parents (40 mothers, 14 fathers)</w:t>
            </w:r>
          </w:p>
        </w:tc>
        <w:tc>
          <w:tcPr>
            <w:tcW w:w="1343" w:type="dxa"/>
          </w:tcPr>
          <w:p w14:paraId="0F7D2F7E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prenatal MDM: </w:t>
            </w:r>
          </w:p>
          <w:p w14:paraId="5093B30A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termination of pregnancy, pregnancy management, mode of delivery, resuscitation</w:t>
            </w:r>
          </w:p>
        </w:tc>
        <w:tc>
          <w:tcPr>
            <w:tcW w:w="1343" w:type="dxa"/>
          </w:tcPr>
          <w:p w14:paraId="4D485E4C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risk of premature delivery </w:t>
            </w:r>
          </w:p>
          <w:p w14:paraId="6C567760" w14:textId="77777777" w:rsidR="007E41AA" w:rsidRPr="00436F49" w:rsidRDefault="007E41A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957" w:type="dxa"/>
          </w:tcPr>
          <w:p w14:paraId="4C2EA20C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face-to-face interviews with interview guides with mother and father (separately or together)</w:t>
            </w:r>
          </w:p>
        </w:tc>
        <w:tc>
          <w:tcPr>
            <w:tcW w:w="1641" w:type="dxa"/>
          </w:tcPr>
          <w:p w14:paraId="340B9016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 w:bidi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 w:bidi="en-GB"/>
              </w:rPr>
              <w:t xml:space="preserve">one time point immediately after the antenatal consultation (the same day or the day after) </w:t>
            </w:r>
          </w:p>
          <w:p w14:paraId="3AA35AC8" w14:textId="77777777" w:rsidR="007E41AA" w:rsidRPr="00436F49" w:rsidRDefault="007E41AA">
            <w:pPr>
              <w:rPr>
                <w:rFonts w:ascii="Times New Roman" w:hAnsi="Times New Roman" w:cs="Times New Roman"/>
                <w:sz w:val="18"/>
                <w:szCs w:val="18"/>
                <w:lang w:val="en-GB" w:bidi="en-US"/>
              </w:rPr>
            </w:pPr>
          </w:p>
          <w:p w14:paraId="27DE8CBD" w14:textId="77777777" w:rsidR="007E41AA" w:rsidRPr="00436F49" w:rsidRDefault="007E41AA">
            <w:pPr>
              <w:rPr>
                <w:rFonts w:ascii="Times New Roman" w:hAnsi="Times New Roman" w:cs="Times New Roman"/>
                <w:sz w:val="18"/>
                <w:szCs w:val="18"/>
                <w:lang w:val="en-GB" w:bidi="en-US"/>
              </w:rPr>
            </w:pPr>
          </w:p>
        </w:tc>
        <w:tc>
          <w:tcPr>
            <w:tcW w:w="1641" w:type="dxa"/>
          </w:tcPr>
          <w:p w14:paraId="1FC9FF96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conventional content analysis</w:t>
            </w:r>
          </w:p>
        </w:tc>
      </w:tr>
      <w:tr w:rsidR="007E41AA" w:rsidRPr="00436F49" w14:paraId="290299F5" w14:textId="77777777" w:rsidTr="00436F49">
        <w:trPr>
          <w:trHeight w:val="310"/>
        </w:trPr>
        <w:tc>
          <w:tcPr>
            <w:tcW w:w="567" w:type="dxa"/>
          </w:tcPr>
          <w:p w14:paraId="08808063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#11</w:t>
            </w:r>
          </w:p>
        </w:tc>
        <w:tc>
          <w:tcPr>
            <w:tcW w:w="988" w:type="dxa"/>
          </w:tcPr>
          <w:p w14:paraId="44CA1DF9" w14:textId="77777777" w:rsidR="007E41AA" w:rsidRPr="00436F49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Denney-Kölsch &amp; Côté-   Arsenault (2022)</w:t>
            </w:r>
          </w:p>
        </w:tc>
        <w:tc>
          <w:tcPr>
            <w:tcW w:w="992" w:type="dxa"/>
          </w:tcPr>
          <w:p w14:paraId="18ECA24A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North America</w:t>
            </w:r>
          </w:p>
        </w:tc>
        <w:tc>
          <w:tcPr>
            <w:tcW w:w="992" w:type="dxa"/>
          </w:tcPr>
          <w:p w14:paraId="491AB9A3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USA/ Mid-</w:t>
            </w:r>
            <w:proofErr w:type="spellStart"/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Atlantinc</w:t>
            </w:r>
            <w:proofErr w:type="spellEnd"/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and Midwest states</w:t>
            </w:r>
          </w:p>
        </w:tc>
        <w:tc>
          <w:tcPr>
            <w:tcW w:w="851" w:type="dxa"/>
          </w:tcPr>
          <w:p w14:paraId="21508A5E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 w:bidi="en-GB"/>
              </w:rPr>
              <w:t>prospective</w:t>
            </w:r>
          </w:p>
        </w:tc>
        <w:tc>
          <w:tcPr>
            <w:tcW w:w="1010" w:type="dxa"/>
          </w:tcPr>
          <w:p w14:paraId="29D8FE0F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multiple centres in several Mid-Atlantic and Midwest U.S. states</w:t>
            </w:r>
          </w:p>
        </w:tc>
        <w:tc>
          <w:tcPr>
            <w:tcW w:w="1191" w:type="dxa"/>
          </w:tcPr>
          <w:p w14:paraId="04974AFD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16 cases, 30</w:t>
            </w:r>
          </w:p>
          <w:p w14:paraId="3B246E9A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parents (16,</w:t>
            </w:r>
          </w:p>
          <w:p w14:paraId="7FB3E79A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mothers, 13 fathers and 1 female partner), 16 infants, 14 died</w:t>
            </w:r>
          </w:p>
        </w:tc>
        <w:tc>
          <w:tcPr>
            <w:tcW w:w="1343" w:type="dxa"/>
          </w:tcPr>
          <w:p w14:paraId="33C90119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prenatal MDM: </w:t>
            </w:r>
          </w:p>
          <w:p w14:paraId="413BE330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termination vs continuing pregnancy, prenatal care options, approach to care for baby at birth</w:t>
            </w:r>
          </w:p>
        </w:tc>
        <w:tc>
          <w:tcPr>
            <w:tcW w:w="1343" w:type="dxa"/>
          </w:tcPr>
          <w:p w14:paraId="318790BD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congenital malformation, acquired disease or damage</w:t>
            </w:r>
          </w:p>
        </w:tc>
        <w:tc>
          <w:tcPr>
            <w:tcW w:w="1957" w:type="dxa"/>
          </w:tcPr>
          <w:p w14:paraId="38C87681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in-depth face-to-face or telephone or video conference interviews with an interview guide with parents (separately or together)</w:t>
            </w:r>
          </w:p>
        </w:tc>
        <w:tc>
          <w:tcPr>
            <w:tcW w:w="1641" w:type="dxa"/>
          </w:tcPr>
          <w:p w14:paraId="7D771684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 w:bidi="en-GB"/>
              </w:rPr>
              <w:t>several time points, up to four interviews, two prenatal interviews twice during pregnancy, twice after birth and death</w:t>
            </w:r>
          </w:p>
        </w:tc>
        <w:tc>
          <w:tcPr>
            <w:tcW w:w="1641" w:type="dxa"/>
          </w:tcPr>
          <w:p w14:paraId="5CA7B61F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inductive data analysis with two cycles of coding and theme identification, within and across case analysis</w:t>
            </w:r>
          </w:p>
        </w:tc>
      </w:tr>
      <w:tr w:rsidR="007E41AA" w:rsidRPr="00436F49" w14:paraId="05407D75" w14:textId="77777777" w:rsidTr="00436F49">
        <w:trPr>
          <w:trHeight w:val="310"/>
        </w:trPr>
        <w:tc>
          <w:tcPr>
            <w:tcW w:w="567" w:type="dxa"/>
          </w:tcPr>
          <w:p w14:paraId="63D9058C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#12</w:t>
            </w:r>
          </w:p>
        </w:tc>
        <w:tc>
          <w:tcPr>
            <w:tcW w:w="988" w:type="dxa"/>
          </w:tcPr>
          <w:p w14:paraId="17B6B8E2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Orfali</w:t>
            </w:r>
            <w:proofErr w:type="spellEnd"/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&amp; Gordon (2004) </w:t>
            </w:r>
          </w:p>
        </w:tc>
        <w:tc>
          <w:tcPr>
            <w:tcW w:w="992" w:type="dxa"/>
          </w:tcPr>
          <w:p w14:paraId="57DF7497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North America and Europe</w:t>
            </w:r>
          </w:p>
        </w:tc>
        <w:tc>
          <w:tcPr>
            <w:tcW w:w="992" w:type="dxa"/>
          </w:tcPr>
          <w:p w14:paraId="3288B16D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USA/not specified</w:t>
            </w:r>
          </w:p>
          <w:p w14:paraId="410B8401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 w:bidi="en-GB"/>
              </w:rPr>
              <w:t xml:space="preserve">and </w:t>
            </w:r>
          </w:p>
          <w:p w14:paraId="71D3F94B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France</w:t>
            </w:r>
          </w:p>
        </w:tc>
        <w:tc>
          <w:tcPr>
            <w:tcW w:w="851" w:type="dxa"/>
          </w:tcPr>
          <w:p w14:paraId="6C0FB7C4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 w:bidi="en-US"/>
              </w:rPr>
              <w:t>retrospective</w:t>
            </w:r>
          </w:p>
        </w:tc>
        <w:tc>
          <w:tcPr>
            <w:tcW w:w="1010" w:type="dxa"/>
          </w:tcPr>
          <w:p w14:paraId="3209CE45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three academic hospitals/level III NICUs, one urban hospital in USA, one urban and one suburban hospital in France</w:t>
            </w:r>
          </w:p>
        </w:tc>
        <w:tc>
          <w:tcPr>
            <w:tcW w:w="1191" w:type="dxa"/>
          </w:tcPr>
          <w:p w14:paraId="3D3AEE7B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85 cases, </w:t>
            </w:r>
          </w:p>
          <w:p w14:paraId="18DBAE1E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75 parents (mothers); 60 physicians</w:t>
            </w:r>
          </w:p>
        </w:tc>
        <w:tc>
          <w:tcPr>
            <w:tcW w:w="1343" w:type="dxa"/>
          </w:tcPr>
          <w:p w14:paraId="3EB368AD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postnatal MDM: resuscitation, forgoing LST</w:t>
            </w:r>
          </w:p>
        </w:tc>
        <w:tc>
          <w:tcPr>
            <w:tcW w:w="1343" w:type="dxa"/>
          </w:tcPr>
          <w:p w14:paraId="03C37C09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premature delivery, congenital malformation, acquired disease or damage </w:t>
            </w:r>
          </w:p>
        </w:tc>
        <w:tc>
          <w:tcPr>
            <w:tcW w:w="1957" w:type="dxa"/>
          </w:tcPr>
          <w:p w14:paraId="7D7A07CF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in-depth semi-structured face-to-face interviews with mothers, separate </w:t>
            </w:r>
          </w:p>
          <w:p w14:paraId="4D8A8649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in-depth semi-structured interviews with physicians, demographic characteristics, medical charts, </w:t>
            </w:r>
          </w:p>
          <w:p w14:paraId="564E828C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observational field work</w:t>
            </w:r>
          </w:p>
          <w:p w14:paraId="1CF32182" w14:textId="77777777" w:rsidR="007E41AA" w:rsidRPr="00436F49" w:rsidRDefault="007E41A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641" w:type="dxa"/>
          </w:tcPr>
          <w:p w14:paraId="36593A3D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in the US setting: </w:t>
            </w:r>
            <w:r w:rsidRPr="00436F49">
              <w:rPr>
                <w:rFonts w:ascii="Times New Roman" w:hAnsi="Times New Roman" w:cs="Times New Roman"/>
                <w:sz w:val="18"/>
                <w:szCs w:val="18"/>
                <w:lang w:val="en-GB" w:bidi="en-GB"/>
              </w:rPr>
              <w:t xml:space="preserve">one time point </w:t>
            </w: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between 2 and 3 months after death; in the French setting: after family-staff meetings, after discharge or several weeks after the infant's death</w:t>
            </w:r>
          </w:p>
          <w:p w14:paraId="181C10FA" w14:textId="77777777" w:rsidR="007E41AA" w:rsidRPr="00436F49" w:rsidRDefault="007E41A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641" w:type="dxa"/>
          </w:tcPr>
          <w:p w14:paraId="07C3FFFF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comparative ethnographic research</w:t>
            </w:r>
          </w:p>
        </w:tc>
      </w:tr>
      <w:tr w:rsidR="007E41AA" w:rsidRPr="00436F49" w14:paraId="4144C7E4" w14:textId="77777777" w:rsidTr="00436F49">
        <w:trPr>
          <w:trHeight w:val="310"/>
        </w:trPr>
        <w:tc>
          <w:tcPr>
            <w:tcW w:w="567" w:type="dxa"/>
          </w:tcPr>
          <w:p w14:paraId="16199E3D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#13</w:t>
            </w:r>
          </w:p>
        </w:tc>
        <w:tc>
          <w:tcPr>
            <w:tcW w:w="988" w:type="dxa"/>
          </w:tcPr>
          <w:p w14:paraId="6FD84E7E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Brinchmann</w:t>
            </w:r>
            <w:proofErr w:type="spellEnd"/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et al. (2002)  </w:t>
            </w:r>
          </w:p>
        </w:tc>
        <w:tc>
          <w:tcPr>
            <w:tcW w:w="992" w:type="dxa"/>
          </w:tcPr>
          <w:p w14:paraId="58482ACA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Europe</w:t>
            </w:r>
          </w:p>
        </w:tc>
        <w:tc>
          <w:tcPr>
            <w:tcW w:w="992" w:type="dxa"/>
          </w:tcPr>
          <w:p w14:paraId="639E5A54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Norway</w:t>
            </w:r>
          </w:p>
        </w:tc>
        <w:tc>
          <w:tcPr>
            <w:tcW w:w="851" w:type="dxa"/>
          </w:tcPr>
          <w:p w14:paraId="4CFC2547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 w:bidi="en-GB"/>
              </w:rPr>
              <w:t>retrospective</w:t>
            </w:r>
          </w:p>
        </w:tc>
        <w:tc>
          <w:tcPr>
            <w:tcW w:w="1010" w:type="dxa"/>
          </w:tcPr>
          <w:p w14:paraId="002EE9B1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multiple centres throughout Norway</w:t>
            </w:r>
          </w:p>
        </w:tc>
        <w:tc>
          <w:tcPr>
            <w:tcW w:w="1191" w:type="dxa"/>
          </w:tcPr>
          <w:p w14:paraId="22C7D710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26 cases, 35 parents (19 mothers, 16 fathers) of which 4 were </w:t>
            </w: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lastRenderedPageBreak/>
              <w:t>health professionals, 26 infants, 10 infants died; 10 nurses, 1 physician</w:t>
            </w:r>
          </w:p>
          <w:p w14:paraId="67923749" w14:textId="77777777" w:rsidR="007E41AA" w:rsidRPr="00436F49" w:rsidRDefault="007E41A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343" w:type="dxa"/>
          </w:tcPr>
          <w:p w14:paraId="6F5FD5C4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lastRenderedPageBreak/>
              <w:t>postnatal MDM: forgoing LST</w:t>
            </w:r>
          </w:p>
        </w:tc>
        <w:tc>
          <w:tcPr>
            <w:tcW w:w="1343" w:type="dxa"/>
          </w:tcPr>
          <w:p w14:paraId="4A98AFC5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premature delivery, congenital malformation, acquired </w:t>
            </w: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lastRenderedPageBreak/>
              <w:t>disease or damage</w:t>
            </w:r>
          </w:p>
        </w:tc>
        <w:tc>
          <w:tcPr>
            <w:tcW w:w="1957" w:type="dxa"/>
          </w:tcPr>
          <w:p w14:paraId="5E9C043D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lastRenderedPageBreak/>
              <w:t xml:space="preserve">in-depth unstructured face-to-face interviews with mother and father (separately or together), separate conversations </w:t>
            </w: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lastRenderedPageBreak/>
              <w:t>and interviews with one physician and nurses</w:t>
            </w:r>
          </w:p>
        </w:tc>
        <w:tc>
          <w:tcPr>
            <w:tcW w:w="1641" w:type="dxa"/>
          </w:tcPr>
          <w:p w14:paraId="225B72AD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 w:bidi="en-GB"/>
              </w:rPr>
              <w:lastRenderedPageBreak/>
              <w:t xml:space="preserve">one time point </w:t>
            </w: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between 1 and </w:t>
            </w:r>
            <w:r w:rsidRPr="00436F49">
              <w:rPr>
                <w:rFonts w:ascii="Times New Roman" w:hAnsi="Times New Roman" w:cs="Times New Roman"/>
                <w:sz w:val="18"/>
                <w:szCs w:val="18"/>
                <w:lang w:val="en-GB" w:bidi="en-GB"/>
              </w:rPr>
              <w:t>8 years after the decision-making process</w:t>
            </w:r>
          </w:p>
        </w:tc>
        <w:tc>
          <w:tcPr>
            <w:tcW w:w="1641" w:type="dxa"/>
          </w:tcPr>
          <w:p w14:paraId="294B1A82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comparative method (grounded theory)</w:t>
            </w:r>
          </w:p>
        </w:tc>
      </w:tr>
      <w:tr w:rsidR="007E41AA" w:rsidRPr="00436F49" w14:paraId="39E3A6D8" w14:textId="77777777" w:rsidTr="00436F49">
        <w:trPr>
          <w:trHeight w:val="310"/>
        </w:trPr>
        <w:tc>
          <w:tcPr>
            <w:tcW w:w="567" w:type="dxa"/>
          </w:tcPr>
          <w:p w14:paraId="06B5476E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#14</w:t>
            </w:r>
          </w:p>
        </w:tc>
        <w:tc>
          <w:tcPr>
            <w:tcW w:w="988" w:type="dxa"/>
          </w:tcPr>
          <w:p w14:paraId="7381F304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Caeymaex</w:t>
            </w:r>
            <w:proofErr w:type="spellEnd"/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et al. (2011)  </w:t>
            </w:r>
          </w:p>
        </w:tc>
        <w:tc>
          <w:tcPr>
            <w:tcW w:w="992" w:type="dxa"/>
          </w:tcPr>
          <w:p w14:paraId="5B54D929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Europe</w:t>
            </w:r>
          </w:p>
        </w:tc>
        <w:tc>
          <w:tcPr>
            <w:tcW w:w="992" w:type="dxa"/>
          </w:tcPr>
          <w:p w14:paraId="611BEBB5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France</w:t>
            </w:r>
          </w:p>
        </w:tc>
        <w:tc>
          <w:tcPr>
            <w:tcW w:w="851" w:type="dxa"/>
          </w:tcPr>
          <w:p w14:paraId="072E7B97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 w:bidi="en-GB"/>
              </w:rPr>
              <w:t>retrospective</w:t>
            </w:r>
          </w:p>
        </w:tc>
        <w:tc>
          <w:tcPr>
            <w:tcW w:w="1010" w:type="dxa"/>
          </w:tcPr>
          <w:p w14:paraId="1D47F47F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4 hospitals/ NICUs in different areas </w:t>
            </w:r>
          </w:p>
        </w:tc>
        <w:tc>
          <w:tcPr>
            <w:tcW w:w="1191" w:type="dxa"/>
          </w:tcPr>
          <w:p w14:paraId="6C7B7F28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133 cases, 164 parents (103 mothers, 61 fathers), 139 infants, all infants died</w:t>
            </w:r>
          </w:p>
        </w:tc>
        <w:tc>
          <w:tcPr>
            <w:tcW w:w="1343" w:type="dxa"/>
          </w:tcPr>
          <w:p w14:paraId="58CA0542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postnatal MDM: forgoing LST </w:t>
            </w:r>
          </w:p>
        </w:tc>
        <w:tc>
          <w:tcPr>
            <w:tcW w:w="1343" w:type="dxa"/>
          </w:tcPr>
          <w:p w14:paraId="5938AC30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premature delivery, congenital malformation, acquired disease or damage</w:t>
            </w:r>
          </w:p>
        </w:tc>
        <w:tc>
          <w:tcPr>
            <w:tcW w:w="1957" w:type="dxa"/>
          </w:tcPr>
          <w:p w14:paraId="6E3286E6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in-depth semi-structured face-to-face-interviews with a thematic guide or less structured telephone interviews with parents (separately or together), demographic characteristics, medical charts</w:t>
            </w:r>
          </w:p>
        </w:tc>
        <w:tc>
          <w:tcPr>
            <w:tcW w:w="1641" w:type="dxa"/>
          </w:tcPr>
          <w:p w14:paraId="236E211D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 w:bidi="en-GB"/>
              </w:rPr>
              <w:t>one time point 2.8 years (+/- 0.7 years) after the infant’s death</w:t>
            </w:r>
          </w:p>
        </w:tc>
        <w:tc>
          <w:tcPr>
            <w:tcW w:w="1641" w:type="dxa"/>
          </w:tcPr>
          <w:p w14:paraId="52F91D3E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discourse analysis; quantitative analysis</w:t>
            </w:r>
          </w:p>
        </w:tc>
      </w:tr>
      <w:tr w:rsidR="007E41AA" w:rsidRPr="00436F49" w14:paraId="655A2D65" w14:textId="77777777" w:rsidTr="00436F49">
        <w:trPr>
          <w:trHeight w:val="293"/>
        </w:trPr>
        <w:tc>
          <w:tcPr>
            <w:tcW w:w="567" w:type="dxa"/>
          </w:tcPr>
          <w:p w14:paraId="6D8485B5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#15</w:t>
            </w:r>
          </w:p>
        </w:tc>
        <w:tc>
          <w:tcPr>
            <w:tcW w:w="988" w:type="dxa"/>
          </w:tcPr>
          <w:p w14:paraId="100A5769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Hendriks &amp; Abraham (2017)  </w:t>
            </w:r>
          </w:p>
        </w:tc>
        <w:tc>
          <w:tcPr>
            <w:tcW w:w="992" w:type="dxa"/>
          </w:tcPr>
          <w:p w14:paraId="77C804C6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Europe</w:t>
            </w:r>
          </w:p>
        </w:tc>
        <w:tc>
          <w:tcPr>
            <w:tcW w:w="992" w:type="dxa"/>
          </w:tcPr>
          <w:p w14:paraId="4F6C1185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Switzerland</w:t>
            </w:r>
          </w:p>
        </w:tc>
        <w:tc>
          <w:tcPr>
            <w:tcW w:w="851" w:type="dxa"/>
          </w:tcPr>
          <w:p w14:paraId="7FE9033D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 w:bidi="en-GB"/>
              </w:rPr>
              <w:t>retrospective</w:t>
            </w:r>
          </w:p>
        </w:tc>
        <w:tc>
          <w:tcPr>
            <w:tcW w:w="1010" w:type="dxa"/>
          </w:tcPr>
          <w:p w14:paraId="292E38E4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 hospital/ level III NICU</w:t>
            </w:r>
          </w:p>
        </w:tc>
        <w:tc>
          <w:tcPr>
            <w:tcW w:w="1191" w:type="dxa"/>
          </w:tcPr>
          <w:p w14:paraId="6D4954B9" w14:textId="77777777" w:rsidR="007E41AA" w:rsidRPr="00436F49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13 cases, 20 parents (12 mothers, 8 fathers), 13 infants, all infants died; </w:t>
            </w:r>
            <w:r w:rsidRPr="00436F49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 xml:space="preserve">1 </w:t>
            </w:r>
            <w:r w:rsidRPr="00436F4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physician, 1 physiotherapist, 1 psychologist, 1 pastor, 1 music therapist</w:t>
            </w:r>
          </w:p>
        </w:tc>
        <w:tc>
          <w:tcPr>
            <w:tcW w:w="1343" w:type="dxa"/>
          </w:tcPr>
          <w:p w14:paraId="31442B81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pre- and postnatal MDM: pregnancy management, </w:t>
            </w:r>
            <w:proofErr w:type="gramStart"/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resuscitation,  forgoing</w:t>
            </w:r>
            <w:proofErr w:type="gramEnd"/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LST</w:t>
            </w:r>
          </w:p>
        </w:tc>
        <w:tc>
          <w:tcPr>
            <w:tcW w:w="1343" w:type="dxa"/>
          </w:tcPr>
          <w:p w14:paraId="1F45B5BA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premature delivery</w:t>
            </w:r>
          </w:p>
        </w:tc>
        <w:tc>
          <w:tcPr>
            <w:tcW w:w="1957" w:type="dxa"/>
          </w:tcPr>
          <w:p w14:paraId="50596D72" w14:textId="77777777" w:rsidR="007E41AA" w:rsidRPr="00436F49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narrative interviews and </w:t>
            </w:r>
            <w:r w:rsidRPr="00436F49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 xml:space="preserve">follow-up questions with an interview guide (face-to-face) with parents </w:t>
            </w: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(separately or together)</w:t>
            </w:r>
            <w:r w:rsidRPr="00436F49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 xml:space="preserve">, </w:t>
            </w:r>
            <w:r w:rsidRPr="00436F4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field notes from observations in the NICU, separate informal interviews with staff members, chat forums used by parents</w:t>
            </w:r>
          </w:p>
          <w:p w14:paraId="11C89631" w14:textId="77777777" w:rsidR="007E41AA" w:rsidRPr="00436F49" w:rsidRDefault="007E41A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7369F3B" w14:textId="77777777" w:rsidR="007E41AA" w:rsidRPr="00436F49" w:rsidRDefault="007E41AA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641" w:type="dxa"/>
          </w:tcPr>
          <w:p w14:paraId="65877492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 w:bidi="en-GB"/>
              </w:rPr>
              <w:t>one time point between 1 to 2 years after infant’s death</w:t>
            </w:r>
          </w:p>
        </w:tc>
        <w:tc>
          <w:tcPr>
            <w:tcW w:w="1641" w:type="dxa"/>
          </w:tcPr>
          <w:p w14:paraId="188FF296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hermeneutically oriented research design, qualitative content analysis </w:t>
            </w:r>
          </w:p>
        </w:tc>
      </w:tr>
      <w:tr w:rsidR="007E41AA" w:rsidRPr="00436F49" w14:paraId="377EA636" w14:textId="77777777" w:rsidTr="00436F49">
        <w:trPr>
          <w:trHeight w:val="310"/>
        </w:trPr>
        <w:tc>
          <w:tcPr>
            <w:tcW w:w="567" w:type="dxa"/>
          </w:tcPr>
          <w:p w14:paraId="4F8C71C7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#16</w:t>
            </w:r>
          </w:p>
        </w:tc>
        <w:tc>
          <w:tcPr>
            <w:tcW w:w="988" w:type="dxa"/>
          </w:tcPr>
          <w:p w14:paraId="59F5C352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Geurtzen</w:t>
            </w:r>
            <w:proofErr w:type="spellEnd"/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et al. (2019)  </w:t>
            </w:r>
          </w:p>
        </w:tc>
        <w:tc>
          <w:tcPr>
            <w:tcW w:w="992" w:type="dxa"/>
          </w:tcPr>
          <w:p w14:paraId="44530D6F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Europe</w:t>
            </w:r>
          </w:p>
        </w:tc>
        <w:tc>
          <w:tcPr>
            <w:tcW w:w="992" w:type="dxa"/>
          </w:tcPr>
          <w:p w14:paraId="413743B3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Netherlands</w:t>
            </w:r>
          </w:p>
        </w:tc>
        <w:tc>
          <w:tcPr>
            <w:tcW w:w="851" w:type="dxa"/>
          </w:tcPr>
          <w:p w14:paraId="002D04D8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 w:bidi="en-GB"/>
              </w:rPr>
              <w:t>retrospective</w:t>
            </w:r>
          </w:p>
        </w:tc>
        <w:tc>
          <w:tcPr>
            <w:tcW w:w="1010" w:type="dxa"/>
          </w:tcPr>
          <w:p w14:paraId="5A1F8BA3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 tertiary care hospitals throughout the Netherlands</w:t>
            </w:r>
          </w:p>
        </w:tc>
        <w:tc>
          <w:tcPr>
            <w:tcW w:w="1191" w:type="dxa"/>
          </w:tcPr>
          <w:p w14:paraId="073CDCC3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 cases, 20 parents (13 mothers, 7 fathers), 19 infants, 12 infants died</w:t>
            </w:r>
          </w:p>
        </w:tc>
        <w:tc>
          <w:tcPr>
            <w:tcW w:w="1343" w:type="dxa"/>
          </w:tcPr>
          <w:p w14:paraId="44EDDFF5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prenatal MDM: forgoing LST</w:t>
            </w:r>
          </w:p>
        </w:tc>
        <w:tc>
          <w:tcPr>
            <w:tcW w:w="1343" w:type="dxa"/>
          </w:tcPr>
          <w:p w14:paraId="74B59FE7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premature delivery</w:t>
            </w:r>
          </w:p>
        </w:tc>
        <w:tc>
          <w:tcPr>
            <w:tcW w:w="1957" w:type="dxa"/>
          </w:tcPr>
          <w:p w14:paraId="76C46251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semi-structured open-ended face-to-face interviews with an interview guide with parents (separately or together), demographic characteristics, investigator's field notes</w:t>
            </w:r>
          </w:p>
        </w:tc>
        <w:tc>
          <w:tcPr>
            <w:tcW w:w="1641" w:type="dxa"/>
          </w:tcPr>
          <w:p w14:paraId="66FCB1F0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 w:bidi="en-GB"/>
              </w:rPr>
              <w:t xml:space="preserve">one time point between 2 and 5 years after prenatal counselling </w:t>
            </w:r>
          </w:p>
        </w:tc>
        <w:tc>
          <w:tcPr>
            <w:tcW w:w="1641" w:type="dxa"/>
          </w:tcPr>
          <w:p w14:paraId="07432F6A" w14:textId="77777777" w:rsidR="007E41AA" w:rsidRPr="00436F49" w:rsidRDefault="000000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36F49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sorting interview data after themes and domains, choosing summarizing terms</w:t>
            </w:r>
          </w:p>
        </w:tc>
      </w:tr>
    </w:tbl>
    <w:p w14:paraId="10BB4202" w14:textId="77777777" w:rsidR="007E41AA" w:rsidRPr="00436F49" w:rsidRDefault="00000000">
      <w:pPr>
        <w:rPr>
          <w:rFonts w:ascii="Times New Roman" w:hAnsi="Times New Roman" w:cs="Times New Roman"/>
          <w:sz w:val="18"/>
          <w:szCs w:val="18"/>
          <w:lang w:val="en-US" w:bidi="en-US"/>
        </w:rPr>
      </w:pPr>
      <w:r w:rsidRPr="00436F49">
        <w:rPr>
          <w:rFonts w:ascii="Times New Roman" w:hAnsi="Times New Roman" w:cs="Times New Roman"/>
          <w:sz w:val="18"/>
          <w:szCs w:val="18"/>
          <w:lang w:val="en-US" w:bidi="en-US"/>
        </w:rPr>
        <w:t>LST life sustaining therapy</w:t>
      </w:r>
    </w:p>
    <w:p w14:paraId="7ADFF8C7" w14:textId="77777777" w:rsidR="007E41AA" w:rsidRPr="00436F49" w:rsidRDefault="00000000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436F49">
        <w:rPr>
          <w:rFonts w:ascii="Times New Roman" w:hAnsi="Times New Roman" w:cs="Times New Roman"/>
          <w:sz w:val="18"/>
          <w:szCs w:val="18"/>
          <w:lang w:val="en-US" w:bidi="en-US"/>
        </w:rPr>
        <w:t>MDM medical decision-making</w:t>
      </w:r>
    </w:p>
    <w:p w14:paraId="7D57D104" w14:textId="77777777" w:rsidR="007E41AA" w:rsidRDefault="00000000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436F49">
        <w:rPr>
          <w:rFonts w:ascii="Times New Roman" w:hAnsi="Times New Roman" w:cs="Times New Roman"/>
          <w:sz w:val="18"/>
          <w:szCs w:val="18"/>
          <w:lang w:val="en-US"/>
        </w:rPr>
        <w:lastRenderedPageBreak/>
        <w:t>NICU neonatal intensive care unit</w:t>
      </w:r>
    </w:p>
    <w:p w14:paraId="2CFA87DB" w14:textId="77777777" w:rsidR="007E41AA" w:rsidRDefault="007E41AA">
      <w:pPr>
        <w:rPr>
          <w:rFonts w:ascii="Times New Roman" w:hAnsi="Times New Roman" w:cs="Times New Roman"/>
          <w:sz w:val="18"/>
          <w:szCs w:val="18"/>
          <w:lang w:val="en-US"/>
        </w:rPr>
      </w:pPr>
    </w:p>
    <w:sectPr w:rsidR="007E41AA">
      <w:pgSz w:w="16840" w:h="11900" w:orient="landscape"/>
      <w:pgMar w:top="1417" w:right="1134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9E1542" w14:textId="77777777" w:rsidR="0003025C" w:rsidRDefault="0003025C">
      <w:r>
        <w:separator/>
      </w:r>
    </w:p>
  </w:endnote>
  <w:endnote w:type="continuationSeparator" w:id="0">
    <w:p w14:paraId="5B7E87BB" w14:textId="77777777" w:rsidR="0003025C" w:rsidRDefault="00030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4CE14A" w14:textId="77777777" w:rsidR="0003025C" w:rsidRDefault="0003025C">
      <w:r>
        <w:separator/>
      </w:r>
    </w:p>
  </w:footnote>
  <w:footnote w:type="continuationSeparator" w:id="0">
    <w:p w14:paraId="7870C35C" w14:textId="77777777" w:rsidR="0003025C" w:rsidRDefault="0003025C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1AA"/>
    <w:rsid w:val="0003025C"/>
    <w:rsid w:val="004050A8"/>
    <w:rsid w:val="00436F49"/>
    <w:rsid w:val="00583D5E"/>
    <w:rsid w:val="007E41AA"/>
    <w:rsid w:val="00951346"/>
    <w:rsid w:val="00F8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E60F7"/>
  <w15:docId w15:val="{22E35948-A297-6A45-ABC6-72CA2E9C5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Heading1Char">
    <w:name w:val="Heading 1 Char"/>
    <w:basedOn w:val="Standaardalinea-lettertype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Standaardalinea-lettertype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Standaardalinea-lettertype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Standaardalinea-lettertype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Standaardalinea-lettertype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Standaardalinea-lettertype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Standaardalinea-lettertype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Standaardalinea-lettertype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Standaardalinea-lettertype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Standaardalinea-lettertype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Standaardalinea-lettertype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Standaardalinea-lettertype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Standaardalinea-lettertype"/>
    <w:uiPriority w:val="30"/>
    <w:rPr>
      <w:i/>
      <w:iCs/>
      <w:color w:val="2F5496" w:themeColor="accent1" w:themeShade="BF"/>
    </w:rPr>
  </w:style>
  <w:style w:type="character" w:customStyle="1" w:styleId="FootnoteTextChar">
    <w:name w:val="Footnote Text Char"/>
    <w:basedOn w:val="Standaardalinea-lettertype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Standaardalinea-lettertype"/>
    <w:uiPriority w:val="99"/>
    <w:semiHidden/>
    <w:rPr>
      <w:sz w:val="20"/>
      <w:szCs w:val="20"/>
    </w:rPr>
  </w:style>
  <w:style w:type="table" w:customStyle="1" w:styleId="TableGridLight">
    <w:name w:val="Table Grid Light"/>
    <w:basedOn w:val="Standaardtabe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Onopgemaaktetabel1">
    <w:name w:val="Plain Table 1"/>
    <w:basedOn w:val="Standaardtabe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Onopgemaaktetabel2">
    <w:name w:val="Plain Table 2"/>
    <w:basedOn w:val="Standaardtabe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Onopgemaaktetabel3">
    <w:name w:val="Plain Table 3"/>
    <w:basedOn w:val="Standaardtabe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Onopgemaaktetabel4">
    <w:name w:val="Plain Table 4"/>
    <w:basedOn w:val="Standaardtabe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Onopgemaaktetabel5">
    <w:name w:val="Plain Table 5"/>
    <w:basedOn w:val="Standaardtabe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Rastertabel1licht">
    <w:name w:val="Grid Table 1 Light"/>
    <w:basedOn w:val="Standaardtabe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ardtabe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Standaardtabe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Standaardtabe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Standaardtabe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Standaardtabe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Standaardtabe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Rastertabel2">
    <w:name w:val="Grid Table 2"/>
    <w:basedOn w:val="Standaardtabe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ardtabe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Standaardtabe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Standaardtabe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Standaardtabe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Standaardtabe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Standaardtabe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Rastertabel3">
    <w:name w:val="Grid Table 3"/>
    <w:basedOn w:val="Standaardtabe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ardtabe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Standaardtabe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Standaardtabe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Standaardtabe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Standaardtabe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Standaardtabe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Rastertabel4">
    <w:name w:val="Grid Table 4"/>
    <w:basedOn w:val="Standaardtabe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ardtabel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Standaardtabel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Standaardtabel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Standaardtabel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Standaardtabel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Standaardtabel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Rastertabel5donker">
    <w:name w:val="Grid Table 5 Dark"/>
    <w:basedOn w:val="Standaardtabe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ardtabe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Standaardtabe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Standaardtabe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Standaardtabe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Standaardtabe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Standaardtabe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Rastertabel6kleurrijk">
    <w:name w:val="Grid Table 6 Colorful"/>
    <w:basedOn w:val="Standaardtabe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ardtabel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ardtabe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ardtabel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ardtabe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ardtabel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ardtabel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Rastertabel7kleurrijk">
    <w:name w:val="Grid Table 7 Colorful"/>
    <w:basedOn w:val="Standaardtabe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ardtabel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ardtabel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ardtabel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ardtabel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ardtabel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ardtabel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jsttabel1licht">
    <w:name w:val="List Table 1 Light"/>
    <w:basedOn w:val="Standaardtabe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ardtabe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Standaardtabe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Standaardtabe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Standaardtabe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Standaardtabe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Standaardtabe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jsttabel2">
    <w:name w:val="List Table 2"/>
    <w:basedOn w:val="Standaardtabe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ardtabel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Standaardtabel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Standaardtabel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Standaardtabel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Standaardtabel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Standaardtabel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jsttabel3">
    <w:name w:val="List Table 3"/>
    <w:basedOn w:val="Standaardtabe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ardtabel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Standaardtabe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Standaardtabel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Standaardtabe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Standaardtabel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Standaardtabel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jsttabel4">
    <w:name w:val="List Table 4"/>
    <w:basedOn w:val="Standaardtabe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ardtabel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Standaardtabel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Standaardtabel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Standaardtabel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Standaardtabel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Standaardtabel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jsttabel5donker">
    <w:name w:val="List Table 5 Dark"/>
    <w:basedOn w:val="Standaardtabe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ardtabel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Standaardtabel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Standaardtabel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Standaardtabel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Standaardtabel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Standaardtabel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jsttabel6kleurrijk">
    <w:name w:val="List Table 6 Colorful"/>
    <w:basedOn w:val="Standaardtabe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ardtabel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ardtabel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ardtabel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ardtabel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ardtabel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ardtabel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jsttabel7kleurrijk">
    <w:name w:val="List Table 7 Colorful"/>
    <w:basedOn w:val="Standaardtabe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ardtabel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ardtabel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ardtabel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ardtabel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ardtabel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ardtabel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Standaardtabel"/>
    <w:uiPriority w:val="99"/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ardtabel"/>
    <w:uiPriority w:val="99"/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Standaardtabel"/>
    <w:uiPriority w:val="99"/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Standaardtabel"/>
    <w:uiPriority w:val="99"/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Standaardtabel"/>
    <w:uiPriority w:val="99"/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Standaardtabel"/>
    <w:uiPriority w:val="99"/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Standaardtabel"/>
    <w:uiPriority w:val="99"/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Standaardtabel"/>
    <w:uiPriority w:val="99"/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ardtabel"/>
    <w:uiPriority w:val="99"/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Standaardtabel"/>
    <w:uiPriority w:val="99"/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Standaardtabel"/>
    <w:uiPriority w:val="99"/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Standaardtabel"/>
    <w:uiPriority w:val="99"/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Standaardtabel"/>
    <w:uiPriority w:val="99"/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Standaardtabel"/>
    <w:uiPriority w:val="99"/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Standaardtabe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ardtabe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Standaardtabe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Standaardtabe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Standaardtabe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Standaardtabe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Standaardtabe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Kop1Char">
    <w:name w:val="Kop 1 Char"/>
    <w:basedOn w:val="Standaardalinea-lettertype"/>
    <w:link w:val="Kop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Pr>
      <w:rFonts w:ascii="Arial" w:eastAsia="Arial" w:hAnsi="Arial" w:cs="Arial"/>
      <w:spacing w:val="-10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Pr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Geenafstand">
    <w:name w:val="No Spacing"/>
    <w:basedOn w:val="Standaard"/>
    <w:uiPriority w:val="1"/>
    <w:qFormat/>
  </w:style>
  <w:style w:type="character" w:styleId="Subtielebenadrukking">
    <w:name w:val="Subtle Emphasis"/>
    <w:basedOn w:val="Standaardalinea-lettertype"/>
    <w:uiPriority w:val="19"/>
    <w:qFormat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Pr>
      <w:i/>
      <w:iCs/>
    </w:rPr>
  </w:style>
  <w:style w:type="character" w:styleId="Zwaar">
    <w:name w:val="Strong"/>
    <w:basedOn w:val="Standaardalinea-lettertype"/>
    <w:uiPriority w:val="22"/>
    <w:qFormat/>
    <w:rPr>
      <w:b/>
      <w:bCs/>
    </w:rPr>
  </w:style>
  <w:style w:type="character" w:styleId="Subtieleverwijzing">
    <w:name w:val="Subtle Reference"/>
    <w:basedOn w:val="Standaardalinea-lettertype"/>
    <w:uiPriority w:val="31"/>
    <w:qFormat/>
    <w:rPr>
      <w:smallCaps/>
      <w:color w:val="5A5A5A" w:themeColor="text1" w:themeTint="A5"/>
    </w:rPr>
  </w:style>
  <w:style w:type="character" w:styleId="Titelvanboek">
    <w:name w:val="Book Title"/>
    <w:basedOn w:val="Standaardalinea-lettertype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Standaardalinea-lettertype"/>
    <w:uiPriority w:val="99"/>
  </w:style>
  <w:style w:type="character" w:customStyle="1" w:styleId="FooterChar">
    <w:name w:val="Footer Char"/>
    <w:basedOn w:val="Standaardalinea-lettertype"/>
    <w:uiPriority w:val="99"/>
  </w:style>
  <w:style w:type="paragraph" w:styleId="Bijschrift">
    <w:name w:val="caption"/>
    <w:basedOn w:val="Standaard"/>
    <w:next w:val="Standaard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Pr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Pr>
      <w:vertAlign w:val="superscript"/>
    </w:rPr>
  </w:style>
  <w:style w:type="character" w:styleId="Hyperlink">
    <w:name w:val="Hyperlink"/>
    <w:basedOn w:val="Standaardalinea-lettertype"/>
    <w:uiPriority w:val="99"/>
    <w:unhideWhenUsed/>
    <w:rPr>
      <w:color w:val="0563C1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Pr>
      <w:color w:val="954F72" w:themeColor="followedHyperlink"/>
      <w:u w:val="single"/>
    </w:rPr>
  </w:style>
  <w:style w:type="paragraph" w:styleId="Inhopg1">
    <w:name w:val="toc 1"/>
    <w:basedOn w:val="Standaard"/>
    <w:next w:val="Standaard"/>
    <w:uiPriority w:val="39"/>
    <w:unhideWhenUsed/>
    <w:pPr>
      <w:spacing w:after="100"/>
    </w:pPr>
  </w:style>
  <w:style w:type="paragraph" w:styleId="Inhopg2">
    <w:name w:val="toc 2"/>
    <w:basedOn w:val="Standaard"/>
    <w:next w:val="Standaard"/>
    <w:uiPriority w:val="39"/>
    <w:unhideWhenUsed/>
    <w:pPr>
      <w:spacing w:after="100"/>
      <w:ind w:left="220"/>
    </w:pPr>
  </w:style>
  <w:style w:type="paragraph" w:styleId="Inhopg3">
    <w:name w:val="toc 3"/>
    <w:basedOn w:val="Standaard"/>
    <w:next w:val="Standaard"/>
    <w:uiPriority w:val="39"/>
    <w:unhideWhenUsed/>
    <w:pPr>
      <w:spacing w:after="100"/>
      <w:ind w:left="440"/>
    </w:pPr>
  </w:style>
  <w:style w:type="paragraph" w:styleId="Inhopg4">
    <w:name w:val="toc 4"/>
    <w:basedOn w:val="Standaard"/>
    <w:next w:val="Standaard"/>
    <w:uiPriority w:val="39"/>
    <w:unhideWhenUsed/>
    <w:pPr>
      <w:spacing w:after="100"/>
      <w:ind w:left="660"/>
    </w:pPr>
  </w:style>
  <w:style w:type="paragraph" w:styleId="Inhopg5">
    <w:name w:val="toc 5"/>
    <w:basedOn w:val="Standaard"/>
    <w:next w:val="Standaard"/>
    <w:uiPriority w:val="39"/>
    <w:unhideWhenUsed/>
    <w:pPr>
      <w:spacing w:after="100"/>
      <w:ind w:left="880"/>
    </w:pPr>
  </w:style>
  <w:style w:type="paragraph" w:styleId="Inhopg6">
    <w:name w:val="toc 6"/>
    <w:basedOn w:val="Standaard"/>
    <w:next w:val="Standaard"/>
    <w:uiPriority w:val="39"/>
    <w:unhideWhenUsed/>
    <w:pPr>
      <w:spacing w:after="100"/>
      <w:ind w:left="1100"/>
    </w:pPr>
  </w:style>
  <w:style w:type="paragraph" w:styleId="Inhopg7">
    <w:name w:val="toc 7"/>
    <w:basedOn w:val="Standaard"/>
    <w:next w:val="Standaard"/>
    <w:uiPriority w:val="39"/>
    <w:unhideWhenUsed/>
    <w:pPr>
      <w:spacing w:after="100"/>
      <w:ind w:left="1320"/>
    </w:pPr>
  </w:style>
  <w:style w:type="paragraph" w:styleId="Inhopg8">
    <w:name w:val="toc 8"/>
    <w:basedOn w:val="Standaard"/>
    <w:next w:val="Standaard"/>
    <w:uiPriority w:val="39"/>
    <w:unhideWhenUsed/>
    <w:pPr>
      <w:spacing w:after="100"/>
      <w:ind w:left="1540"/>
    </w:pPr>
  </w:style>
  <w:style w:type="paragraph" w:styleId="Inhopg9">
    <w:name w:val="toc 9"/>
    <w:basedOn w:val="Standaard"/>
    <w:next w:val="Standaard"/>
    <w:uiPriority w:val="39"/>
    <w:unhideWhenUsed/>
    <w:pPr>
      <w:spacing w:after="100"/>
      <w:ind w:left="1760"/>
    </w:pPr>
  </w:style>
  <w:style w:type="character" w:styleId="Tekstvantijdelijkeaanduiding">
    <w:name w:val="Placeholder Text"/>
    <w:basedOn w:val="Standaardalinea-lettertype"/>
    <w:uiPriority w:val="99"/>
    <w:semiHidden/>
    <w:rPr>
      <w:color w:val="666666"/>
    </w:rPr>
  </w:style>
  <w:style w:type="paragraph" w:styleId="Kopvaninhoudsopgave">
    <w:name w:val="TOC Heading"/>
    <w:uiPriority w:val="39"/>
    <w:unhideWhenUsed/>
  </w:style>
  <w:style w:type="paragraph" w:styleId="Lijstmetafbeeldingen">
    <w:name w:val="table of figures"/>
    <w:basedOn w:val="Standaard"/>
    <w:next w:val="Standaard"/>
    <w:uiPriority w:val="99"/>
    <w:unhideWhenUsed/>
  </w:style>
  <w:style w:type="table" w:styleId="Tabelraster">
    <w:name w:val="Table Grid"/>
    <w:basedOn w:val="Standaardtabel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Koptekst">
    <w:name w:val="header"/>
    <w:basedOn w:val="Standaard"/>
    <w:link w:val="Kopteks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</w:style>
  <w:style w:type="paragraph" w:styleId="Voettekst">
    <w:name w:val="footer"/>
    <w:basedOn w:val="Standaard"/>
    <w:link w:val="Voetteks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Pr>
      <w:b/>
      <w:bCs/>
      <w:sz w:val="20"/>
      <w:szCs w:val="20"/>
    </w:rPr>
  </w:style>
  <w:style w:type="paragraph" w:styleId="Revisie">
    <w:name w:val="Revision"/>
    <w:hidden/>
    <w:uiPriority w:val="99"/>
    <w:semiHidden/>
  </w:style>
  <w:style w:type="paragraph" w:customStyle="1" w:styleId="Default">
    <w:name w:val="Default"/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E401AF0-5810-B14B-AEA8-69D89B379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1602</Words>
  <Characters>8816</Characters>
  <Application>Microsoft Office Word</Application>
  <DocSecurity>0</DocSecurity>
  <Lines>73</Lines>
  <Paragraphs>20</Paragraphs>
  <ScaleCrop>false</ScaleCrop>
  <Company/>
  <LinksUpToDate>false</LinksUpToDate>
  <CharactersWithSpaces>10398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esther schouten</cp:lastModifiedBy>
  <cp:revision>2</cp:revision>
  <dcterms:created xsi:type="dcterms:W3CDTF">2026-08-20T08:06:00Z</dcterms:created>
  <dcterms:modified xsi:type="dcterms:W3CDTF">2026-08-20T08:06:00Z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(deprecated)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