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0961" w14:textId="77777777" w:rsidR="006552AC" w:rsidRDefault="00000000">
      <w:r>
        <w:t>Study: Professional Duty, Public Responsibility, and Expert Judgment in Ottoman Constantinople: The Gazette Médicale d’Orient, 1857–1876</w:t>
      </w:r>
    </w:p>
    <w:p w14:paraId="09F89E91" w14:textId="77777777" w:rsidR="006552AC" w:rsidRDefault="00000000">
      <w:pPr>
        <w:pStyle w:val="KonuBal"/>
      </w:pPr>
      <w:r>
        <w:rPr>
          <w:rFonts w:ascii="Times New Roman" w:eastAsia="Times New Roman" w:hAnsi="Times New Roman" w:cs="Times New Roman"/>
        </w:rPr>
        <w:t>Supplementary Table S3. Full primary-source anchor table for the four Results domains</w:t>
      </w:r>
    </w:p>
    <w:p w14:paraId="21E7C95D" w14:textId="77777777" w:rsidR="006552AC" w:rsidRDefault="00000000">
      <w:r>
        <w:t>This supplementary table preserves the full 16-anchor evidence set documenting the breadth of the four Results domains. The revised main manuscript uses a five-case Table 2 for close historical analysis, while the full anchor set is retained here to document corpus breadth and source control.</w:t>
      </w:r>
    </w:p>
    <w:tbl>
      <w:tblPr>
        <w:tblStyle w:val="TabloKlavuzu"/>
        <w:tblW w:w="0" w:type="auto"/>
        <w:jc w:val="center"/>
        <w:tblLayout w:type="fixed"/>
        <w:tblLook w:val="04A0" w:firstRow="1" w:lastRow="0" w:firstColumn="1" w:lastColumn="0" w:noHBand="0" w:noVBand="1"/>
      </w:tblPr>
      <w:tblGrid>
        <w:gridCol w:w="1656"/>
        <w:gridCol w:w="1440"/>
        <w:gridCol w:w="2376"/>
        <w:gridCol w:w="2376"/>
        <w:gridCol w:w="5184"/>
        <w:gridCol w:w="1512"/>
      </w:tblGrid>
      <w:tr w:rsidR="006552AC" w14:paraId="3461C292" w14:textId="77777777">
        <w:trPr>
          <w:tblHeader/>
          <w:jc w:val="center"/>
        </w:trPr>
        <w:tc>
          <w:tcPr>
            <w:tcW w:w="1656" w:type="dxa"/>
          </w:tcPr>
          <w:p w14:paraId="5424C076" w14:textId="77777777" w:rsidR="006552AC" w:rsidRDefault="00000000">
            <w:r>
              <w:rPr>
                <w:b/>
              </w:rPr>
              <w:t>Results domain</w:t>
            </w:r>
          </w:p>
        </w:tc>
        <w:tc>
          <w:tcPr>
            <w:tcW w:w="1440" w:type="dxa"/>
          </w:tcPr>
          <w:p w14:paraId="20F85A3E" w14:textId="77777777" w:rsidR="006552AC" w:rsidRDefault="00000000">
            <w:r>
              <w:rPr>
                <w:b/>
              </w:rPr>
              <w:t>Ref./ID/year</w:t>
            </w:r>
          </w:p>
        </w:tc>
        <w:tc>
          <w:tcPr>
            <w:tcW w:w="2376" w:type="dxa"/>
          </w:tcPr>
          <w:p w14:paraId="72AABB29" w14:textId="77777777" w:rsidR="006552AC" w:rsidRDefault="00000000">
            <w:r>
              <w:rPr>
                <w:b/>
              </w:rPr>
              <w:t>Primary source</w:t>
            </w:r>
          </w:p>
        </w:tc>
        <w:tc>
          <w:tcPr>
            <w:tcW w:w="2376" w:type="dxa"/>
          </w:tcPr>
          <w:p w14:paraId="1ADB0E68" w14:textId="77777777" w:rsidR="006552AC" w:rsidRDefault="00000000">
            <w:r>
              <w:rPr>
                <w:b/>
              </w:rPr>
              <w:t>Ethical problem</w:t>
            </w:r>
          </w:p>
        </w:tc>
        <w:tc>
          <w:tcPr>
            <w:tcW w:w="5184" w:type="dxa"/>
          </w:tcPr>
          <w:p w14:paraId="60C45EA8" w14:textId="77777777" w:rsidR="006552AC" w:rsidRDefault="00000000">
            <w:r>
              <w:rPr>
                <w:b/>
              </w:rPr>
              <w:t>Key actor-language / evidence</w:t>
            </w:r>
          </w:p>
        </w:tc>
        <w:tc>
          <w:tcPr>
            <w:tcW w:w="1512" w:type="dxa"/>
          </w:tcPr>
          <w:p w14:paraId="687039AE" w14:textId="77777777" w:rsidR="006552AC" w:rsidRDefault="00000000">
            <w:r>
              <w:rPr>
                <w:b/>
              </w:rPr>
              <w:t>Coding</w:t>
            </w:r>
          </w:p>
        </w:tc>
      </w:tr>
      <w:tr w:rsidR="006552AC" w14:paraId="2307A41A" w14:textId="77777777">
        <w:trPr>
          <w:jc w:val="center"/>
        </w:trPr>
        <w:tc>
          <w:tcPr>
            <w:tcW w:w="1656" w:type="dxa"/>
          </w:tcPr>
          <w:p w14:paraId="25722645" w14:textId="77777777" w:rsidR="006552AC" w:rsidRDefault="00000000">
            <w:r>
              <w:t>Professional duty / deontology</w:t>
            </w:r>
          </w:p>
        </w:tc>
        <w:tc>
          <w:tcPr>
            <w:tcW w:w="1440" w:type="dxa"/>
          </w:tcPr>
          <w:p>
            <w:r>
              <w:t>[10]; ID275; 1857</w:t>
            </w:r>
          </w:p>
        </w:tc>
        <w:tc>
          <w:tcPr>
            <w:tcW w:w="2376" w:type="dxa"/>
          </w:tcPr>
          <w:p w14:paraId="66C685DA" w14:textId="77777777" w:rsidR="006552AC" w:rsidRDefault="00000000">
            <w:r>
              <w:t>Programme de la Gazette Médicale d’Orient</w:t>
            </w:r>
          </w:p>
        </w:tc>
        <w:tc>
          <w:tcPr>
            <w:tcW w:w="2376" w:type="dxa"/>
          </w:tcPr>
          <w:p w14:paraId="6909F474" w14:textId="77777777" w:rsidR="006552AC" w:rsidRDefault="00000000">
            <w:r>
              <w:t>Professional dignity and institutional mission</w:t>
            </w:r>
          </w:p>
        </w:tc>
        <w:tc>
          <w:tcPr>
            <w:tcW w:w="5184" w:type="dxa"/>
          </w:tcPr>
          <w:p w14:paraId="3DF3F46F" w14:textId="77777777" w:rsidR="006552AC" w:rsidRDefault="00000000">
            <w:r>
              <w:t>The inaugural programme makes relever la dignité professionnelle an explicit aim and links the Gazette to science, professional dignity, and public/institutional service.</w:t>
            </w:r>
          </w:p>
        </w:tc>
        <w:tc>
          <w:tcPr>
            <w:tcW w:w="1512" w:type="dxa"/>
          </w:tcPr>
          <w:p w14:paraId="52F52E8C" w14:textId="77777777" w:rsidR="006552AC" w:rsidRDefault="00000000">
            <w:r>
              <w:t>E3/M1(M7;M4)/O1</w:t>
            </w:r>
          </w:p>
        </w:tc>
      </w:tr>
      <w:tr w:rsidR="006552AC" w14:paraId="542AA757" w14:textId="77777777">
        <w:trPr>
          <w:jc w:val="center"/>
        </w:trPr>
        <w:tc>
          <w:tcPr>
            <w:tcW w:w="1656" w:type="dxa"/>
          </w:tcPr>
          <w:p w14:paraId="772F3ADB" w14:textId="77777777" w:rsidR="006552AC" w:rsidRDefault="00000000">
            <w:r>
              <w:t>Professional duty / deontology</w:t>
            </w:r>
          </w:p>
        </w:tc>
        <w:tc>
          <w:tcPr>
            <w:tcW w:w="1440" w:type="dxa"/>
          </w:tcPr>
          <w:p>
            <w:r>
              <w:t>[25]; ID277; 1857</w:t>
            </w:r>
          </w:p>
        </w:tc>
        <w:tc>
          <w:tcPr>
            <w:tcW w:w="2376" w:type="dxa"/>
          </w:tcPr>
          <w:p w14:paraId="7D45FDD5" w14:textId="77777777" w:rsidR="006552AC" w:rsidRDefault="00000000">
            <w:r>
              <w:t>Compte-rendu des travaux de la Société pendant la première année de son existence</w:t>
            </w:r>
          </w:p>
        </w:tc>
        <w:tc>
          <w:tcPr>
            <w:tcW w:w="2376" w:type="dxa"/>
          </w:tcPr>
          <w:p w14:paraId="0127C1EE" w14:textId="77777777" w:rsidR="006552AC" w:rsidRDefault="00000000">
            <w:r>
              <w:t>Fair criticism, truth, impartiality and morality in professional deliberation</w:t>
            </w:r>
          </w:p>
        </w:tc>
        <w:tc>
          <w:tcPr>
            <w:tcW w:w="5184" w:type="dxa"/>
          </w:tcPr>
          <w:p w14:paraId="6D476A26" w14:textId="77777777" w:rsidR="006552AC" w:rsidRDefault="00000000">
            <w:r>
              <w:t>Leval links legitimate debate to independent analysis, criticism within just limits, impartiality, truth, and judgment of conduct under both art and moralité.</w:t>
            </w:r>
          </w:p>
        </w:tc>
        <w:tc>
          <w:tcPr>
            <w:tcW w:w="1512" w:type="dxa"/>
          </w:tcPr>
          <w:p w14:paraId="67C037D4" w14:textId="77777777" w:rsidR="006552AC" w:rsidRDefault="00000000">
            <w:r>
              <w:t>E3/M1(M7)/O1</w:t>
            </w:r>
          </w:p>
        </w:tc>
      </w:tr>
      <w:tr w:rsidR="006552AC" w14:paraId="2E6EF788" w14:textId="77777777">
        <w:trPr>
          <w:jc w:val="center"/>
        </w:trPr>
        <w:tc>
          <w:tcPr>
            <w:tcW w:w="1656" w:type="dxa"/>
          </w:tcPr>
          <w:p w14:paraId="0362A0F5" w14:textId="77777777" w:rsidR="006552AC" w:rsidRDefault="00000000">
            <w:r>
              <w:t>Professional duty / deontology</w:t>
            </w:r>
          </w:p>
        </w:tc>
        <w:tc>
          <w:tcPr>
            <w:tcW w:w="1440" w:type="dxa"/>
          </w:tcPr>
          <w:p>
            <w:r>
              <w:t>[18]; ID4; 1862</w:t>
            </w:r>
          </w:p>
        </w:tc>
        <w:tc>
          <w:tcPr>
            <w:tcW w:w="2376" w:type="dxa"/>
          </w:tcPr>
          <w:p w14:paraId="285EB961" w14:textId="77777777" w:rsidR="006552AC" w:rsidRDefault="00000000">
            <w:r>
              <w:t>Rapport sur cette question: Quelles sont les règles de conduite à suivre par les médecins dans leurs rapports professionnels?</w:t>
            </w:r>
          </w:p>
        </w:tc>
        <w:tc>
          <w:tcPr>
            <w:tcW w:w="2376" w:type="dxa"/>
          </w:tcPr>
          <w:p w14:paraId="54FA75E9" w14:textId="77777777" w:rsidR="006552AC" w:rsidRDefault="00000000">
            <w:r>
              <w:t>Rules governing relations among physicians</w:t>
            </w:r>
          </w:p>
        </w:tc>
        <w:tc>
          <w:tcPr>
            <w:tcW w:w="5184" w:type="dxa"/>
          </w:tcPr>
          <w:p w14:paraId="278A43E9" w14:textId="77777777" w:rsidR="006552AC" w:rsidRDefault="00000000">
            <w:r>
              <w:t>Professional relations are treated as affecting the dignity and respectability of the profession and are subjected to explicit rules of conduct.</w:t>
            </w:r>
          </w:p>
        </w:tc>
        <w:tc>
          <w:tcPr>
            <w:tcW w:w="1512" w:type="dxa"/>
          </w:tcPr>
          <w:p w14:paraId="7E5C1A6E" w14:textId="77777777" w:rsidR="006552AC" w:rsidRDefault="00000000">
            <w:r>
              <w:t>E3/M1/O2</w:t>
            </w:r>
          </w:p>
        </w:tc>
      </w:tr>
      <w:tr w:rsidR="006552AC" w14:paraId="6771CAFA" w14:textId="77777777">
        <w:trPr>
          <w:jc w:val="center"/>
        </w:trPr>
        <w:tc>
          <w:tcPr>
            <w:tcW w:w="1656" w:type="dxa"/>
          </w:tcPr>
          <w:p w14:paraId="721AE2C3" w14:textId="77777777" w:rsidR="006552AC" w:rsidRDefault="00000000">
            <w:r>
              <w:t>Professional duty / deontology</w:t>
            </w:r>
          </w:p>
        </w:tc>
        <w:tc>
          <w:tcPr>
            <w:tcW w:w="1440" w:type="dxa"/>
          </w:tcPr>
          <w:p>
            <w:r>
              <w:t>[20]; ID56; 1862</w:t>
            </w:r>
          </w:p>
        </w:tc>
        <w:tc>
          <w:tcPr>
            <w:tcW w:w="2376" w:type="dxa"/>
          </w:tcPr>
          <w:p w14:paraId="4949DBEA" w14:textId="77777777" w:rsidR="006552AC" w:rsidRDefault="00000000">
            <w:r>
              <w:t>Causeries</w:t>
            </w:r>
          </w:p>
        </w:tc>
        <w:tc>
          <w:tcPr>
            <w:tcW w:w="2376" w:type="dxa"/>
          </w:tcPr>
          <w:p w14:paraId="31868DDB" w14:textId="77777777" w:rsidR="006552AC" w:rsidRDefault="00000000">
            <w:r>
              <w:t>Institutional duty to advise government on public hygiene</w:t>
            </w:r>
          </w:p>
        </w:tc>
        <w:tc>
          <w:tcPr>
            <w:tcW w:w="5184" w:type="dxa"/>
          </w:tcPr>
          <w:p w14:paraId="11FCC8FA" w14:textId="77777777" w:rsidR="006552AC" w:rsidRDefault="00000000">
            <w:r>
              <w:t>The anonymous author states that serious public-hygiene work should make the Société digne de son titre and that it has a duty to enlighten administrative authority through scientifically grounded reform.</w:t>
            </w:r>
          </w:p>
        </w:tc>
        <w:tc>
          <w:tcPr>
            <w:tcW w:w="1512" w:type="dxa"/>
          </w:tcPr>
          <w:p w14:paraId="29B6DE10" w14:textId="77777777" w:rsidR="006552AC" w:rsidRDefault="00000000">
            <w:r>
              <w:t>E3/M1(M4)/O1</w:t>
            </w:r>
          </w:p>
        </w:tc>
      </w:tr>
      <w:tr w:rsidR="006552AC" w14:paraId="2CDA147B" w14:textId="77777777">
        <w:trPr>
          <w:jc w:val="center"/>
        </w:trPr>
        <w:tc>
          <w:tcPr>
            <w:tcW w:w="1656" w:type="dxa"/>
          </w:tcPr>
          <w:p w14:paraId="1384B762" w14:textId="77777777" w:rsidR="006552AC" w:rsidRDefault="00000000">
            <w:r>
              <w:t>Clinical / expert responsibility</w:t>
            </w:r>
          </w:p>
        </w:tc>
        <w:tc>
          <w:tcPr>
            <w:tcW w:w="1440" w:type="dxa"/>
          </w:tcPr>
          <w:p>
            <w:r>
              <w:t>[31]; ID146; 1861</w:t>
            </w:r>
          </w:p>
        </w:tc>
        <w:tc>
          <w:tcPr>
            <w:tcW w:w="2376" w:type="dxa"/>
          </w:tcPr>
          <w:p w14:paraId="5D56A7AD" w14:textId="77777777" w:rsidR="006552AC" w:rsidRDefault="00000000">
            <w:r>
              <w:t>Sur l’opération Césarienne post mortem</w:t>
            </w:r>
          </w:p>
        </w:tc>
        <w:tc>
          <w:tcPr>
            <w:tcW w:w="2376" w:type="dxa"/>
          </w:tcPr>
          <w:p w14:paraId="606B7DAC" w14:textId="77777777" w:rsidR="006552AC" w:rsidRDefault="00000000">
            <w:r>
              <w:t>Conflict between conscience, law and professional conduct</w:t>
            </w:r>
          </w:p>
        </w:tc>
        <w:tc>
          <w:tcPr>
            <w:tcW w:w="5184" w:type="dxa"/>
          </w:tcPr>
          <w:p w14:paraId="16C129EC" w14:textId="77777777" w:rsidR="006552AC" w:rsidRDefault="00000000">
            <w:r>
              <w:t>The problem is explicitly called one of medical deontology; the physician is placed between conscience and law and said to require a rule of conduct.</w:t>
            </w:r>
          </w:p>
        </w:tc>
        <w:tc>
          <w:tcPr>
            <w:tcW w:w="1512" w:type="dxa"/>
          </w:tcPr>
          <w:p w14:paraId="0B71EE92" w14:textId="77777777" w:rsidR="006552AC" w:rsidRDefault="00000000">
            <w:r>
              <w:t>E3/M8(M6)/O1</w:t>
            </w:r>
          </w:p>
        </w:tc>
      </w:tr>
      <w:tr w:rsidR="006552AC" w14:paraId="36369D02" w14:textId="77777777">
        <w:trPr>
          <w:jc w:val="center"/>
        </w:trPr>
        <w:tc>
          <w:tcPr>
            <w:tcW w:w="1656" w:type="dxa"/>
          </w:tcPr>
          <w:p w14:paraId="45508A6D" w14:textId="77777777" w:rsidR="006552AC" w:rsidRDefault="00000000">
            <w:r>
              <w:t>Clinical / expert responsibility</w:t>
            </w:r>
          </w:p>
        </w:tc>
        <w:tc>
          <w:tcPr>
            <w:tcW w:w="1440" w:type="dxa"/>
          </w:tcPr>
          <w:p>
            <w:r>
              <w:t>[22]; ID210; 1870</w:t>
            </w:r>
          </w:p>
        </w:tc>
        <w:tc>
          <w:tcPr>
            <w:tcW w:w="2376" w:type="dxa"/>
          </w:tcPr>
          <w:p w14:paraId="20183B26" w14:textId="77777777" w:rsidR="006552AC" w:rsidRDefault="00000000">
            <w:r>
              <w:t>Rapport médico-légal sur l’état mental d’Izzet Emin inculpé de meurtre</w:t>
            </w:r>
          </w:p>
        </w:tc>
        <w:tc>
          <w:tcPr>
            <w:tcW w:w="2376" w:type="dxa"/>
          </w:tcPr>
          <w:p w14:paraId="5CA1E48A" w14:textId="77777777" w:rsidR="006552AC" w:rsidRDefault="00000000">
            <w:r>
              <w:t>Impartiality and evidentiary rigor in forensic psychiatric expertise</w:t>
            </w:r>
          </w:p>
        </w:tc>
        <w:tc>
          <w:tcPr>
            <w:tcW w:w="5184" w:type="dxa"/>
          </w:tcPr>
          <w:p w14:paraId="49C963C4" w14:textId="77777777" w:rsidR="006552AC" w:rsidRDefault="00000000">
            <w:r>
              <w:t>The experts stress prolonged observation, avoidance of arbitrary inference, impartiality, and conscientious fulfilment of duty.</w:t>
            </w:r>
          </w:p>
        </w:tc>
        <w:tc>
          <w:tcPr>
            <w:tcW w:w="1512" w:type="dxa"/>
          </w:tcPr>
          <w:p w14:paraId="4E0523AE" w14:textId="77777777" w:rsidR="006552AC" w:rsidRDefault="00000000">
            <w:r>
              <w:t>E3/M8(M5)/O3</w:t>
            </w:r>
          </w:p>
        </w:tc>
      </w:tr>
      <w:tr w:rsidR="006552AC" w14:paraId="34CA26B4" w14:textId="77777777">
        <w:trPr>
          <w:jc w:val="center"/>
        </w:trPr>
        <w:tc>
          <w:tcPr>
            <w:tcW w:w="1656" w:type="dxa"/>
          </w:tcPr>
          <w:p w14:paraId="6832248D" w14:textId="77777777" w:rsidR="006552AC" w:rsidRDefault="00000000">
            <w:r>
              <w:t xml:space="preserve">Clinical / expert </w:t>
            </w:r>
            <w:r>
              <w:lastRenderedPageBreak/>
              <w:t>responsibility</w:t>
            </w:r>
          </w:p>
        </w:tc>
        <w:tc>
          <w:tcPr>
            <w:tcW w:w="1440" w:type="dxa"/>
          </w:tcPr>
          <w:p>
            <w:r>
              <w:t>[21]; ID284; 1871</w:t>
            </w:r>
          </w:p>
        </w:tc>
        <w:tc>
          <w:tcPr>
            <w:tcW w:w="2376" w:type="dxa"/>
          </w:tcPr>
          <w:p w14:paraId="321A24CC" w14:textId="77777777" w:rsidR="006552AC" w:rsidRDefault="00000000">
            <w:r>
              <w:t>[Discussion sur la thoracentèse]</w:t>
            </w:r>
          </w:p>
        </w:tc>
        <w:tc>
          <w:tcPr>
            <w:tcW w:w="2376" w:type="dxa"/>
          </w:tcPr>
          <w:p w14:paraId="300263A0" w14:textId="77777777" w:rsidR="006552AC" w:rsidRDefault="00000000">
            <w:r>
              <w:t xml:space="preserve">Duty to act versus harmful or unjustified </w:t>
            </w:r>
            <w:r>
              <w:lastRenderedPageBreak/>
              <w:t>intervention</w:t>
            </w:r>
          </w:p>
        </w:tc>
        <w:tc>
          <w:tcPr>
            <w:tcW w:w="5184" w:type="dxa"/>
          </w:tcPr>
          <w:p w14:paraId="66B4CFD5" w14:textId="77777777" w:rsidR="006552AC" w:rsidRDefault="00000000">
            <w:r>
              <w:lastRenderedPageBreak/>
              <w:t xml:space="preserve">Critics call some interventions untimely, useless, dangerous or murderous, whereas defenders argue </w:t>
            </w:r>
            <w:r>
              <w:lastRenderedPageBreak/>
              <w:t>that imminent danger can make intervention an obligation rather than a mere authorization.</w:t>
            </w:r>
          </w:p>
        </w:tc>
        <w:tc>
          <w:tcPr>
            <w:tcW w:w="1512" w:type="dxa"/>
          </w:tcPr>
          <w:p w14:paraId="41960EFF" w14:textId="77777777" w:rsidR="006552AC" w:rsidRDefault="00000000">
            <w:r>
              <w:lastRenderedPageBreak/>
              <w:t>E3/M6(M8)/O2</w:t>
            </w:r>
          </w:p>
        </w:tc>
      </w:tr>
      <w:tr w:rsidR="006552AC" w14:paraId="3894022F" w14:textId="77777777">
        <w:trPr>
          <w:jc w:val="center"/>
        </w:trPr>
        <w:tc>
          <w:tcPr>
            <w:tcW w:w="1656" w:type="dxa"/>
          </w:tcPr>
          <w:p w14:paraId="4A3B879B" w14:textId="77777777" w:rsidR="006552AC" w:rsidRDefault="00000000">
            <w:r>
              <w:t>Clinical / expert responsibility</w:t>
            </w:r>
          </w:p>
        </w:tc>
        <w:tc>
          <w:tcPr>
            <w:tcW w:w="1440" w:type="dxa"/>
          </w:tcPr>
          <w:p>
            <w:r>
              <w:t>[35]; ID246; 1874</w:t>
            </w:r>
          </w:p>
        </w:tc>
        <w:tc>
          <w:tcPr>
            <w:tcW w:w="2376" w:type="dxa"/>
          </w:tcPr>
          <w:p w14:paraId="44A23C97" w14:textId="77777777" w:rsidR="006552AC" w:rsidRDefault="00000000">
            <w:r>
              <w:t>[Débat sur le rapport médico-légal relatif à la mort de l’enfant Antoine]</w:t>
            </w:r>
          </w:p>
        </w:tc>
        <w:tc>
          <w:tcPr>
            <w:tcW w:w="2376" w:type="dxa"/>
          </w:tcPr>
          <w:p w14:paraId="1EFB5469" w14:textId="77777777" w:rsidR="006552AC" w:rsidRDefault="00000000">
            <w:r>
              <w:t>Forensic competence, autopsy, referral and report integrity</w:t>
            </w:r>
          </w:p>
        </w:tc>
        <w:tc>
          <w:tcPr>
            <w:tcW w:w="5184" w:type="dxa"/>
          </w:tcPr>
          <w:p w14:paraId="2AE1F4AC" w14:textId="77777777" w:rsidR="006552AC" w:rsidRDefault="00000000">
            <w:r>
              <w:t>Members criticize failure to perform an autopsy, inadequate competence/referral, and publication of an incomplete report; the episode is said to wound medical conscience.</w:t>
            </w:r>
          </w:p>
        </w:tc>
        <w:tc>
          <w:tcPr>
            <w:tcW w:w="1512" w:type="dxa"/>
          </w:tcPr>
          <w:p w14:paraId="39742AA0" w14:textId="77777777" w:rsidR="006552AC" w:rsidRDefault="00000000">
            <w:r>
              <w:t>E3/M8(M7)/O2</w:t>
            </w:r>
          </w:p>
        </w:tc>
      </w:tr>
      <w:tr w:rsidR="006552AC" w14:paraId="53389FC9" w14:textId="77777777">
        <w:trPr>
          <w:jc w:val="center"/>
        </w:trPr>
        <w:tc>
          <w:tcPr>
            <w:tcW w:w="1656" w:type="dxa"/>
          </w:tcPr>
          <w:p w14:paraId="2124988C" w14:textId="77777777" w:rsidR="006552AC" w:rsidRDefault="00000000">
            <w:r>
              <w:t>Public / social responsibility</w:t>
            </w:r>
          </w:p>
        </w:tc>
        <w:tc>
          <w:tcPr>
            <w:tcW w:w="1440" w:type="dxa"/>
          </w:tcPr>
          <w:p>
            <w:r>
              <w:t>[37]; ID279; 1857</w:t>
            </w:r>
          </w:p>
        </w:tc>
        <w:tc>
          <w:tcPr>
            <w:tcW w:w="2376" w:type="dxa"/>
          </w:tcPr>
          <w:p w14:paraId="6A1CEBE4" w14:textId="77777777" w:rsidR="006552AC" w:rsidRDefault="00000000">
            <w:r>
              <w:t>Hygiène publique. Rapport sur une motion relative à l’hygiène publique</w:t>
            </w:r>
          </w:p>
        </w:tc>
        <w:tc>
          <w:tcPr>
            <w:tcW w:w="2376" w:type="dxa"/>
          </w:tcPr>
          <w:p w14:paraId="729284EF" w14:textId="77777777" w:rsidR="006552AC" w:rsidRDefault="00000000">
            <w:r>
              <w:t>Institutional initiative in public hygiene</w:t>
            </w:r>
          </w:p>
        </w:tc>
        <w:tc>
          <w:tcPr>
            <w:tcW w:w="5184" w:type="dxa"/>
          </w:tcPr>
          <w:p w14:paraId="7A02AF5E" w14:textId="77777777" w:rsidR="006552AC" w:rsidRDefault="00000000">
            <w:r>
              <w:t>Vervolot proposes a permanent commission charged with collecting evidence, studying regulations, preparing projects, and advising authorities for population welfare.</w:t>
            </w:r>
          </w:p>
        </w:tc>
        <w:tc>
          <w:tcPr>
            <w:tcW w:w="1512" w:type="dxa"/>
          </w:tcPr>
          <w:p w14:paraId="540EB4BD" w14:textId="77777777" w:rsidR="006552AC" w:rsidRDefault="00000000">
            <w:r>
              <w:t>E3/M4(M1)/O1</w:t>
            </w:r>
          </w:p>
        </w:tc>
      </w:tr>
      <w:tr w:rsidR="006552AC" w14:paraId="32AF13F6" w14:textId="77777777">
        <w:trPr>
          <w:jc w:val="center"/>
        </w:trPr>
        <w:tc>
          <w:tcPr>
            <w:tcW w:w="1656" w:type="dxa"/>
          </w:tcPr>
          <w:p w14:paraId="3E56B5CA" w14:textId="77777777" w:rsidR="006552AC" w:rsidRDefault="00000000">
            <w:r>
              <w:t>Public / social responsibility</w:t>
            </w:r>
          </w:p>
        </w:tc>
        <w:tc>
          <w:tcPr>
            <w:tcW w:w="1440" w:type="dxa"/>
          </w:tcPr>
          <w:p>
            <w:r>
              <w:t>[42]; ID282; 1871</w:t>
            </w:r>
          </w:p>
        </w:tc>
        <w:tc>
          <w:tcPr>
            <w:tcW w:w="2376" w:type="dxa"/>
          </w:tcPr>
          <w:p w14:paraId="617BF776" w14:textId="77777777" w:rsidR="006552AC" w:rsidRDefault="00000000">
            <w:r>
              <w:t>De l’alimentation</w:t>
            </w:r>
          </w:p>
        </w:tc>
        <w:tc>
          <w:tcPr>
            <w:tcW w:w="2376" w:type="dxa"/>
          </w:tcPr>
          <w:p w14:paraId="6BD16678" w14:textId="77777777" w:rsidR="006552AC" w:rsidRDefault="00000000">
            <w:r>
              <w:t>Social obligation, poverty and humanity</w:t>
            </w:r>
          </w:p>
        </w:tc>
        <w:tc>
          <w:tcPr>
            <w:tcW w:w="5184" w:type="dxa"/>
          </w:tcPr>
          <w:p w14:paraId="5B550C6B" w14:textId="77777777" w:rsidR="006552AC" w:rsidRDefault="00000000">
            <w:r>
              <w:t>Pardo argues that basic necessities should be accessible to poor and rich and frames deprivation and salt taxation through responsibility toward humanity.</w:t>
            </w:r>
          </w:p>
        </w:tc>
        <w:tc>
          <w:tcPr>
            <w:tcW w:w="1512" w:type="dxa"/>
          </w:tcPr>
          <w:p w14:paraId="68CA4467" w14:textId="77777777" w:rsidR="006552AC" w:rsidRDefault="00000000">
            <w:r>
              <w:t>E3/M2(M4)/O1</w:t>
            </w:r>
          </w:p>
        </w:tc>
      </w:tr>
      <w:tr w:rsidR="006552AC" w14:paraId="101EDFB4" w14:textId="77777777">
        <w:trPr>
          <w:jc w:val="center"/>
        </w:trPr>
        <w:tc>
          <w:tcPr>
            <w:tcW w:w="1656" w:type="dxa"/>
          </w:tcPr>
          <w:p w14:paraId="019D9778" w14:textId="77777777" w:rsidR="006552AC" w:rsidRDefault="00000000">
            <w:r>
              <w:t>Public / social responsibility</w:t>
            </w:r>
          </w:p>
        </w:tc>
        <w:tc>
          <w:tcPr>
            <w:tcW w:w="1440" w:type="dxa"/>
          </w:tcPr>
          <w:p>
            <w:r>
              <w:t>[23]; ID286; 1871–1872</w:t>
            </w:r>
          </w:p>
        </w:tc>
        <w:tc>
          <w:tcPr>
            <w:tcW w:w="2376" w:type="dxa"/>
          </w:tcPr>
          <w:p w14:paraId="462CAB54" w14:textId="77777777" w:rsidR="006552AC" w:rsidRDefault="00000000">
            <w:r>
              <w:t>Cinquième épidémie de choléra-morbus à Constantinople</w:t>
            </w:r>
          </w:p>
        </w:tc>
        <w:tc>
          <w:tcPr>
            <w:tcW w:w="2376" w:type="dxa"/>
          </w:tcPr>
          <w:p w14:paraId="3AB593E3" w14:textId="77777777" w:rsidR="006552AC" w:rsidRDefault="00000000">
            <w:r>
              <w:t>Epidemic responsibility, limits of coercion, public truth and relief</w:t>
            </w:r>
          </w:p>
        </w:tc>
        <w:tc>
          <w:tcPr>
            <w:tcW w:w="5184" w:type="dxa"/>
          </w:tcPr>
          <w:p w14:paraId="62F74FDE" w14:textId="77777777" w:rsidR="006552AC" w:rsidRDefault="00000000">
            <w:r>
              <w:t>Nouridjan condemns mass cordons and sequestration, invokes preservation of life, rejects concealing truth, and advocates coordinated sanitary and relief measures.</w:t>
            </w:r>
          </w:p>
        </w:tc>
        <w:tc>
          <w:tcPr>
            <w:tcW w:w="1512" w:type="dxa"/>
          </w:tcPr>
          <w:p w14:paraId="44BFE0C6" w14:textId="77777777" w:rsidR="006552AC" w:rsidRDefault="00000000">
            <w:r>
              <w:t>E3/M4(M2;M1)/O1</w:t>
            </w:r>
          </w:p>
        </w:tc>
      </w:tr>
      <w:tr w:rsidR="006552AC" w14:paraId="64EB1ACB" w14:textId="77777777">
        <w:trPr>
          <w:jc w:val="center"/>
        </w:trPr>
        <w:tc>
          <w:tcPr>
            <w:tcW w:w="1656" w:type="dxa"/>
          </w:tcPr>
          <w:p w14:paraId="0B78B2B8" w14:textId="77777777" w:rsidR="006552AC" w:rsidRDefault="00000000">
            <w:r>
              <w:t>Public / social responsibility</w:t>
            </w:r>
          </w:p>
        </w:tc>
        <w:tc>
          <w:tcPr>
            <w:tcW w:w="1440" w:type="dxa"/>
          </w:tcPr>
          <w:p>
            <w:r>
              <w:t>[44]; ID232; 1873; vol.16:184–186; vol.17:5–8</w:t>
            </w:r>
          </w:p>
        </w:tc>
        <w:tc>
          <w:tcPr>
            <w:tcW w:w="2376" w:type="dxa"/>
          </w:tcPr>
          <w:p w14:paraId="5C834006" w14:textId="77777777" w:rsidR="006552AC" w:rsidRDefault="00000000">
            <w:r>
              <w:t>Des mesures administratives à prendre dans le but d’empêcher la propagation des maladies vénériennes à Smyrne</w:t>
            </w:r>
          </w:p>
        </w:tc>
        <w:tc>
          <w:tcPr>
            <w:tcW w:w="2376" w:type="dxa"/>
          </w:tcPr>
          <w:p w14:paraId="323C02A4" w14:textId="77777777" w:rsidR="006552AC" w:rsidRDefault="00000000">
            <w:r>
              <w:t>Public-health duty combined with limits on arbitrary police coercion</w:t>
            </w:r>
          </w:p>
        </w:tc>
        <w:tc>
          <w:tcPr>
            <w:tcW w:w="5184" w:type="dxa"/>
          </w:tcPr>
          <w:p w14:paraId="433E2CF6" w14:textId="77777777" w:rsidR="006552AC" w:rsidRDefault="00000000">
            <w:r>
              <w:t>The report quotes an E. Decaisne epigraph calling physicians natural guardians of public health (16:184). Margossian’s own continuation condemns arbitrary police round-ups as incompatible with humanity, morality, and public health (17:5).</w:t>
            </w:r>
          </w:p>
        </w:tc>
        <w:tc>
          <w:tcPr>
            <w:tcW w:w="1512" w:type="dxa"/>
          </w:tcPr>
          <w:p w14:paraId="434FBBF9" w14:textId="77777777" w:rsidR="006552AC" w:rsidRDefault="00000000">
            <w:r>
              <w:t>E3/M4(M1)/O1</w:t>
            </w:r>
          </w:p>
        </w:tc>
      </w:tr>
      <w:tr w:rsidR="006552AC" w14:paraId="5D41371A" w14:textId="77777777">
        <w:trPr>
          <w:jc w:val="center"/>
        </w:trPr>
        <w:tc>
          <w:tcPr>
            <w:tcW w:w="1656" w:type="dxa"/>
          </w:tcPr>
          <w:p w14:paraId="2A6FC7B2" w14:textId="77777777" w:rsidR="006552AC" w:rsidRDefault="00000000">
            <w:r>
              <w:t>Truth / record / secrecy</w:t>
            </w:r>
          </w:p>
        </w:tc>
        <w:tc>
          <w:tcPr>
            <w:tcW w:w="1440" w:type="dxa"/>
          </w:tcPr>
          <w:p>
            <w:r>
              <w:t>[24]; ID159; 1861–1862</w:t>
            </w:r>
          </w:p>
        </w:tc>
        <w:tc>
          <w:tcPr>
            <w:tcW w:w="2376" w:type="dxa"/>
          </w:tcPr>
          <w:p w14:paraId="26225E24" w14:textId="77777777" w:rsidR="006552AC" w:rsidRDefault="00000000">
            <w:r>
              <w:t>[Controverse sur la suture du pharynx]</w:t>
            </w:r>
          </w:p>
        </w:tc>
        <w:tc>
          <w:tcPr>
            <w:tcW w:w="2376" w:type="dxa"/>
          </w:tcPr>
          <w:p w14:paraId="0F825D21" w14:textId="77777777" w:rsidR="006552AC" w:rsidRDefault="00000000">
            <w:r>
              <w:t>Accuracy, completeness and correction of the scientific/clinical record</w:t>
            </w:r>
          </w:p>
        </w:tc>
        <w:tc>
          <w:tcPr>
            <w:tcW w:w="5184" w:type="dxa"/>
          </w:tcPr>
          <w:p w14:paraId="173B6A7F" w14:textId="77777777" w:rsidR="006552AC" w:rsidRDefault="00000000">
            <w:r>
              <w:t>Publication from insufficiently careful observation is called scientific immorality because unreliable conclusions may harm patients.</w:t>
            </w:r>
          </w:p>
        </w:tc>
        <w:tc>
          <w:tcPr>
            <w:tcW w:w="1512" w:type="dxa"/>
          </w:tcPr>
          <w:p w14:paraId="5D7143C1" w14:textId="77777777" w:rsidR="006552AC" w:rsidRDefault="00000000">
            <w:r>
              <w:t>E2/M7(M6)/O2</w:t>
            </w:r>
          </w:p>
        </w:tc>
      </w:tr>
      <w:tr w:rsidR="006552AC" w14:paraId="7A987774" w14:textId="77777777">
        <w:trPr>
          <w:jc w:val="center"/>
        </w:trPr>
        <w:tc>
          <w:tcPr>
            <w:tcW w:w="1656" w:type="dxa"/>
          </w:tcPr>
          <w:p w14:paraId="29EBC12E" w14:textId="77777777" w:rsidR="006552AC" w:rsidRDefault="00000000">
            <w:r>
              <w:t>Truth / record / secrecy</w:t>
            </w:r>
          </w:p>
        </w:tc>
        <w:tc>
          <w:tcPr>
            <w:tcW w:w="1440" w:type="dxa"/>
          </w:tcPr>
          <w:p>
            <w:r>
              <w:t>[48]; ID166; 1863</w:t>
            </w:r>
          </w:p>
        </w:tc>
        <w:tc>
          <w:tcPr>
            <w:tcW w:w="2376" w:type="dxa"/>
          </w:tcPr>
          <w:p w14:paraId="5336C321" w14:textId="77777777" w:rsidR="006552AC" w:rsidRDefault="00000000">
            <w:r>
              <w:t>Du secret médical à propos des mariages</w:t>
            </w:r>
          </w:p>
        </w:tc>
        <w:tc>
          <w:tcPr>
            <w:tcW w:w="2376" w:type="dxa"/>
          </w:tcPr>
          <w:p w14:paraId="76E8B9AD" w14:textId="77777777" w:rsidR="006552AC" w:rsidRDefault="00000000">
            <w:r>
              <w:t>Professional secrecy versus conscience</w:t>
            </w:r>
          </w:p>
        </w:tc>
        <w:tc>
          <w:tcPr>
            <w:tcW w:w="5184" w:type="dxa"/>
          </w:tcPr>
          <w:p w14:paraId="5928293E" w14:textId="77777777" w:rsidR="006552AC" w:rsidRDefault="00000000">
            <w:r>
              <w:t>The Gazette rejects an absolute rule and frames the problem as a conflict between ordinary secrecy and exceptional claims of conscience.</w:t>
            </w:r>
          </w:p>
        </w:tc>
        <w:tc>
          <w:tcPr>
            <w:tcW w:w="1512" w:type="dxa"/>
          </w:tcPr>
          <w:p w14:paraId="74C3120D" w14:textId="77777777" w:rsidR="006552AC" w:rsidRDefault="00000000">
            <w:r>
              <w:t>E3/M3(M8)/O1</w:t>
            </w:r>
          </w:p>
        </w:tc>
      </w:tr>
      <w:tr w:rsidR="006552AC" w14:paraId="399703AD" w14:textId="77777777">
        <w:trPr>
          <w:jc w:val="center"/>
        </w:trPr>
        <w:tc>
          <w:tcPr>
            <w:tcW w:w="1656" w:type="dxa"/>
          </w:tcPr>
          <w:p w14:paraId="462B8B5C" w14:textId="77777777" w:rsidR="006552AC" w:rsidRDefault="00000000">
            <w:r>
              <w:t>Truth / record / secrecy</w:t>
            </w:r>
          </w:p>
        </w:tc>
        <w:tc>
          <w:tcPr>
            <w:tcW w:w="1440" w:type="dxa"/>
          </w:tcPr>
          <w:p>
            <w:r>
              <w:t>[50]; ID89; 1866</w:t>
            </w:r>
          </w:p>
        </w:tc>
        <w:tc>
          <w:tcPr>
            <w:tcW w:w="2376" w:type="dxa"/>
          </w:tcPr>
          <w:p w14:paraId="5BE4A914" w14:textId="77777777" w:rsidR="006552AC" w:rsidRDefault="00000000">
            <w:r>
              <w:t>[Mongéri–Marchand controversy on cholera reporting]</w:t>
            </w:r>
          </w:p>
        </w:tc>
        <w:tc>
          <w:tcPr>
            <w:tcW w:w="2376" w:type="dxa"/>
          </w:tcPr>
          <w:p w14:paraId="6E37478B" w14:textId="77777777" w:rsidR="006552AC" w:rsidRDefault="00000000">
            <w:r>
              <w:t>Scientific accuracy, documentation and morality in public reporting</w:t>
            </w:r>
          </w:p>
        </w:tc>
        <w:tc>
          <w:tcPr>
            <w:tcW w:w="5184" w:type="dxa"/>
          </w:tcPr>
          <w:p w14:paraId="59C0932F" w14:textId="77777777" w:rsidR="006552AC" w:rsidRDefault="00000000">
            <w:r>
              <w:t>Historical accuracy, consultation of facts/documents, and correction of inaccurate statements are framed through moralité and professional responsibility.</w:t>
            </w:r>
          </w:p>
        </w:tc>
        <w:tc>
          <w:tcPr>
            <w:tcW w:w="1512" w:type="dxa"/>
          </w:tcPr>
          <w:p w14:paraId="4BDB5D4C" w14:textId="77777777" w:rsidR="006552AC" w:rsidRDefault="00000000">
            <w:r>
              <w:t>E3/M7(M1)/O2</w:t>
            </w:r>
          </w:p>
        </w:tc>
      </w:tr>
      <w:tr w:rsidR="006552AC" w14:paraId="798D33AE" w14:textId="77777777">
        <w:trPr>
          <w:jc w:val="center"/>
        </w:trPr>
        <w:tc>
          <w:tcPr>
            <w:tcW w:w="1656" w:type="dxa"/>
          </w:tcPr>
          <w:p w14:paraId="7174E03B" w14:textId="77777777" w:rsidR="006552AC" w:rsidRDefault="00000000">
            <w:r>
              <w:lastRenderedPageBreak/>
              <w:t>Truth / record / secrecy</w:t>
            </w:r>
          </w:p>
        </w:tc>
        <w:tc>
          <w:tcPr>
            <w:tcW w:w="1440" w:type="dxa"/>
          </w:tcPr>
          <w:p>
            <w:r>
              <w:t>[54]; ID244; Mordtmann; 1873; pp.65–70</w:t>
            </w:r>
          </w:p>
        </w:tc>
        <w:tc>
          <w:tcPr>
            <w:tcW w:w="2376" w:type="dxa"/>
          </w:tcPr>
          <w:p w14:paraId="2DEB9C58" w14:textId="77777777" w:rsidR="006552AC" w:rsidRDefault="00000000">
            <w:r>
              <w:t>La marche du choléra en 1873</w:t>
            </w:r>
          </w:p>
        </w:tc>
        <w:tc>
          <w:tcPr>
            <w:tcW w:w="2376" w:type="dxa"/>
          </w:tcPr>
          <w:p w14:paraId="42D9B6EF" w14:textId="77777777" w:rsidR="006552AC" w:rsidRDefault="00000000">
            <w:r>
              <w:t>Truthful epidemic communication, public cooperation and trust</w:t>
            </w:r>
          </w:p>
        </w:tc>
        <w:tc>
          <w:tcPr>
            <w:tcW w:w="5184" w:type="dxa"/>
          </w:tcPr>
          <w:p w14:paraId="354BB5EF" w14:textId="77777777" w:rsidR="006552AC" w:rsidRDefault="00000000">
            <w:r>
              <w:t>Mordtmann condemns concealment because effective sanitary action requires public cooperation grounded in accurate information and confidence (p.65).</w:t>
            </w:r>
          </w:p>
        </w:tc>
        <w:tc>
          <w:tcPr>
            <w:tcW w:w="1512" w:type="dxa"/>
          </w:tcPr>
          <w:p w14:paraId="348F53C3" w14:textId="77777777" w:rsidR="006552AC" w:rsidRDefault="00000000">
            <w:r>
              <w:t>E2/M7(M4)/O1</w:t>
            </w:r>
          </w:p>
        </w:tc>
      </w:tr>
    </w:tbl>
    <w:p w14:paraId="3904A43B" w14:textId="77777777" w:rsidR="006552AC" w:rsidRDefault="00000000">
      <w:r>
        <w:t>Note. Reference numbers correspond to the manuscript’s Vancouver sequence. The table is illustrative rather than exhaustive. Bracketed titles identify descriptive labels used for proceedings or debates where a discrete printed article title could not be established with confidence.</w:t>
      </w:r>
    </w:p>
    <w:p/>
    <w:p>
      <w:r>
        <w:t>Supplementary Table S3B. Selected debates for close historical analysis: actors, arguments, and source limits</w:t>
      </w:r>
    </w:p>
    <w:p>
      <w:r>
        <w:t>This table complements the full 16-anchor evidence set by recording the five debates developed in depth in the revised manuscript. It distinguishes what the controlled source directly establishes from institutional outcomes, actor identities, or later effects that remain unverified.</w:t>
      </w:r>
    </w:p>
    <w:tbl>
      <w:tblPr>
        <w:tblStyle w:val="TabloKlavuzu"/>
        <w:tblW w:type="auto" w:w="0"/>
        <w:tblLook w:firstColumn="1" w:firstRow="1" w:lastColumn="0" w:lastRow="0" w:noHBand="0" w:noVBand="1" w:val="04A0"/>
      </w:tblPr>
      <w:tblGrid>
        <w:gridCol w:w="2424"/>
        <w:gridCol w:w="2424"/>
        <w:gridCol w:w="2424"/>
        <w:gridCol w:w="2424"/>
        <w:gridCol w:w="2424"/>
        <w:gridCol w:w="2424"/>
      </w:tblGrid>
      <w:tr>
        <w:tc>
          <w:tcPr>
            <w:tcW w:type="dxa" w:w="2424"/>
          </w:tcPr>
          <w:p>
            <w:pPr>
              <w:spacing w:after="0"/>
            </w:pPr>
            <w:r>
              <w:rPr>
                <w:sz w:val="17"/>
              </w:rPr>
              <w:t>Case</w:t>
            </w:r>
          </w:p>
        </w:tc>
        <w:tc>
          <w:tcPr>
            <w:tcW w:type="dxa" w:w="2424"/>
          </w:tcPr>
          <w:p>
            <w:pPr>
              <w:spacing w:after="0"/>
            </w:pPr>
            <w:r>
              <w:rPr>
                <w:sz w:val="17"/>
              </w:rPr>
              <w:t>Actor / source type</w:t>
            </w:r>
          </w:p>
        </w:tc>
        <w:tc>
          <w:tcPr>
            <w:tcW w:type="dxa" w:w="2424"/>
          </w:tcPr>
          <w:p>
            <w:pPr>
              <w:spacing w:after="0"/>
            </w:pPr>
            <w:r>
              <w:rPr>
                <w:sz w:val="17"/>
              </w:rPr>
              <w:t>Question</w:t>
            </w:r>
          </w:p>
        </w:tc>
        <w:tc>
          <w:tcPr>
            <w:tcW w:type="dxa" w:w="2424"/>
          </w:tcPr>
          <w:p>
            <w:pPr>
              <w:spacing w:after="0"/>
            </w:pPr>
            <w:r>
              <w:rPr>
                <w:sz w:val="17"/>
              </w:rPr>
              <w:t>Actor-language / reasoning</w:t>
            </w:r>
          </w:p>
        </w:tc>
        <w:tc>
          <w:tcPr>
            <w:tcW w:type="dxa" w:w="2424"/>
          </w:tcPr>
          <w:p>
            <w:pPr>
              <w:spacing w:after="0"/>
            </w:pPr>
            <w:r>
              <w:rPr>
                <w:sz w:val="17"/>
              </w:rPr>
              <w:t>Known from controlled source</w:t>
            </w:r>
          </w:p>
        </w:tc>
        <w:tc>
          <w:tcPr>
            <w:tcW w:type="dxa" w:w="2424"/>
          </w:tcPr>
          <w:p>
            <w:pPr>
              <w:spacing w:after="0"/>
            </w:pPr>
            <w:r>
              <w:rPr>
                <w:sz w:val="17"/>
              </w:rPr>
              <w:t>Not established / not inferred</w:t>
            </w:r>
          </w:p>
        </w:tc>
      </w:tr>
      <w:tr>
        <w:tc>
          <w:tcPr>
            <w:tcW w:type="dxa" w:w="2424"/>
            <w:vAlign w:val="top"/>
          </w:tcPr>
          <w:p>
            <w:pPr>
              <w:spacing w:after="0"/>
            </w:pPr>
            <w:r>
              <w:rPr>
                <w:sz w:val="17"/>
              </w:rPr>
              <w:t>Causeries on public hygiene, 1862</w:t>
            </w:r>
          </w:p>
        </w:tc>
        <w:tc>
          <w:tcPr>
            <w:tcW w:type="dxa" w:w="2424"/>
            <w:vAlign w:val="top"/>
          </w:tcPr>
          <w:p>
            <w:pPr>
              <w:spacing w:after="0"/>
            </w:pPr>
            <w:r>
              <w:rPr>
                <w:sz w:val="17"/>
              </w:rPr>
              <w:t>Un membre de la Société; satirical Gazette Feuilleton; pp.101–105; ID56</w:t>
            </w:r>
          </w:p>
        </w:tc>
        <w:tc>
          <w:tcPr>
            <w:tcW w:type="dxa" w:w="2424"/>
            <w:vAlign w:val="top"/>
          </w:tcPr>
          <w:p>
            <w:pPr>
              <w:spacing w:after="0"/>
            </w:pPr>
            <w:r>
              <w:rPr>
                <w:sz w:val="17"/>
              </w:rPr>
              <w:t>What should the Société do when sanitary administration was inadequate?</w:t>
            </w:r>
          </w:p>
        </w:tc>
        <w:tc>
          <w:tcPr>
            <w:tcW w:type="dxa" w:w="2424"/>
            <w:vAlign w:val="top"/>
          </w:tcPr>
          <w:p>
            <w:pPr>
              <w:spacing w:after="0"/>
            </w:pPr>
            <w:r>
              <w:rPr>
                <w:sz w:val="17"/>
              </w:rPr>
              <w:t>digne de son titre; a more serious task than denouncing abuses; duty to enlighten administrative authority; scientifically grounded reform.</w:t>
            </w:r>
          </w:p>
        </w:tc>
        <w:tc>
          <w:tcPr>
            <w:tcW w:type="dxa" w:w="2424"/>
            <w:vAlign w:val="top"/>
          </w:tcPr>
          <w:p>
            <w:pPr>
              <w:spacing w:after="0"/>
            </w:pPr>
            <w:r>
              <w:rPr>
                <w:sz w:val="17"/>
              </w:rPr>
              <w:t>Anonymous signature; complete pp.101–105 Feuilleton; sustained prescription of the Société’s professional/public task. ID56 alone identifies this article.</w:t>
            </w:r>
          </w:p>
        </w:tc>
        <w:tc>
          <w:tcPr>
            <w:tcW w:type="dxa" w:w="2424"/>
            <w:vAlign w:val="top"/>
          </w:tcPr>
          <w:p>
            <w:pPr>
              <w:spacing w:after="0"/>
            </w:pPr>
            <w:r>
              <w:rPr>
                <w:sz w:val="17"/>
              </w:rPr>
              <w:t>The author’s personal identity; independent corroboration of the dialogue’s events; formal Société adoption; governmental implementation.</w:t>
            </w:r>
          </w:p>
        </w:tc>
      </w:tr>
      <w:tr>
        <w:tc>
          <w:tcPr>
            <w:tcW w:type="dxa" w:w="2424"/>
            <w:vAlign w:val="top"/>
          </w:tcPr>
          <w:p>
            <w:pPr>
              <w:spacing w:after="0"/>
            </w:pPr>
            <w:r>
              <w:rPr>
                <w:sz w:val="17"/>
              </w:rPr>
              <w:t>Thoracentesis controversy, 1871</w:t>
            </w:r>
          </w:p>
        </w:tc>
        <w:tc>
          <w:tcPr>
            <w:tcW w:type="dxa" w:w="2424"/>
            <w:vAlign w:val="top"/>
          </w:tcPr>
          <w:p>
            <w:pPr>
              <w:spacing w:after="0"/>
            </w:pPr>
            <w:r>
              <w:rPr>
                <w:sz w:val="17"/>
              </w:rPr>
              <w:t>Société proceedings; multiple speakers; pp.71–78</w:t>
            </w:r>
          </w:p>
        </w:tc>
        <w:tc>
          <w:tcPr>
            <w:tcW w:type="dxa" w:w="2424"/>
            <w:vAlign w:val="top"/>
          </w:tcPr>
          <w:p>
            <w:pPr>
              <w:spacing w:after="0"/>
            </w:pPr>
            <w:r>
              <w:rPr>
                <w:sz w:val="17"/>
              </w:rPr>
              <w:t>When did intervention become obligation rather than unjustified danger?</w:t>
            </w:r>
          </w:p>
        </w:tc>
        <w:tc>
          <w:tcPr>
            <w:tcW w:type="dxa" w:w="2424"/>
            <w:vAlign w:val="top"/>
          </w:tcPr>
          <w:p>
            <w:pPr>
              <w:spacing w:after="0"/>
            </w:pPr>
            <w:r>
              <w:rPr>
                <w:sz w:val="17"/>
              </w:rPr>
              <w:t>intempestive; inutile; dangereuse; meurtrière versus autorisé / obligé under imminent danger; reasoning through indication, urgency and harm.</w:t>
            </w:r>
          </w:p>
        </w:tc>
        <w:tc>
          <w:tcPr>
            <w:tcW w:type="dxa" w:w="2424"/>
            <w:vAlign w:val="top"/>
          </w:tcPr>
          <w:p>
            <w:pPr>
              <w:spacing w:after="0"/>
            </w:pPr>
            <w:r>
              <w:rPr>
                <w:sz w:val="17"/>
              </w:rPr>
              <w:t>Competing positions and the full controlled controversy across pp.71–78.</w:t>
            </w:r>
          </w:p>
        </w:tc>
        <w:tc>
          <w:tcPr>
            <w:tcW w:type="dxa" w:w="2424"/>
            <w:vAlign w:val="top"/>
          </w:tcPr>
          <w:p>
            <w:pPr>
              <w:spacing w:after="0"/>
            </w:pPr>
            <w:r>
              <w:rPr>
                <w:sz w:val="17"/>
              </w:rPr>
              <w:t>A reliable speaker-to-position attribution for every intervention in the current audit trail; a binding resolution or subsequent practice change.</w:t>
            </w:r>
          </w:p>
        </w:tc>
      </w:tr>
      <w:tr>
        <w:tc>
          <w:tcPr>
            <w:tcW w:type="dxa" w:w="2424"/>
            <w:vAlign w:val="top"/>
          </w:tcPr>
          <w:p>
            <w:pPr>
              <w:spacing w:after="0"/>
            </w:pPr>
            <w:r>
              <w:rPr>
                <w:sz w:val="17"/>
              </w:rPr>
              <w:t>Izzet Emin medico-legal report, 1870</w:t>
            </w:r>
          </w:p>
        </w:tc>
        <w:tc>
          <w:tcPr>
            <w:tcW w:type="dxa" w:w="2424"/>
            <w:vAlign w:val="top"/>
          </w:tcPr>
          <w:p>
            <w:pPr>
              <w:spacing w:after="0"/>
            </w:pPr>
            <w:r>
              <w:rPr>
                <w:sz w:val="17"/>
              </w:rPr>
              <w:t>L. Mongéri and A. de Castro; physicians of the Süleymaniye asylum; officially commissioned report; pp.151–156</w:t>
            </w:r>
          </w:p>
        </w:tc>
        <w:tc>
          <w:tcPr>
            <w:tcW w:type="dxa" w:w="2424"/>
            <w:vAlign w:val="top"/>
          </w:tcPr>
          <w:p>
            <w:pPr>
              <w:spacing w:after="0"/>
            </w:pPr>
            <w:r>
              <w:rPr>
                <w:sz w:val="17"/>
              </w:rPr>
              <w:t>How should experts judge mental state when criminal responsibility may depend on their opinion?</w:t>
            </w:r>
          </w:p>
        </w:tc>
        <w:tc>
          <w:tcPr>
            <w:tcW w:type="dxa" w:w="2424"/>
            <w:vAlign w:val="top"/>
          </w:tcPr>
          <w:p>
            <w:pPr>
              <w:spacing w:after="0"/>
            </w:pPr>
            <w:r>
              <w:rPr>
                <w:sz w:val="17"/>
              </w:rPr>
              <w:t>observation longue et sévère; reservations; avoid arbitrary inference; impartiality; conscientious fulfilment of duty.</w:t>
            </w:r>
          </w:p>
        </w:tc>
        <w:tc>
          <w:tcPr>
            <w:tcW w:type="dxa" w:w="2424"/>
            <w:vAlign w:val="top"/>
          </w:tcPr>
          <w:p>
            <w:pPr>
              <w:spacing w:after="0"/>
            </w:pPr>
            <w:r>
              <w:rPr>
                <w:sz w:val="17"/>
              </w:rPr>
              <w:t>Official commission; report genre; prolonged observation, document review, explicit expert-duty language, named signatories, and exact endpoint.</w:t>
            </w:r>
          </w:p>
        </w:tc>
        <w:tc>
          <w:tcPr>
            <w:tcW w:type="dxa" w:w="2424"/>
            <w:vAlign w:val="top"/>
          </w:tcPr>
          <w:p>
            <w:pPr>
              <w:spacing w:after="0"/>
            </w:pPr>
            <w:r>
              <w:rPr>
                <w:sz w:val="17"/>
              </w:rPr>
              <w:t>Subsequent judicial disposition of Izzet Emin.</w:t>
            </w:r>
          </w:p>
        </w:tc>
      </w:tr>
      <w:tr>
        <w:tc>
          <w:tcPr>
            <w:tcW w:type="dxa" w:w="2424"/>
            <w:vAlign w:val="top"/>
          </w:tcPr>
          <w:p>
            <w:pPr>
              <w:spacing w:after="0"/>
            </w:pPr>
            <w:r>
              <w:rPr>
                <w:sz w:val="17"/>
              </w:rPr>
              <w:t>Nouridjan on cholera, 1871–1872</w:t>
            </w:r>
          </w:p>
        </w:tc>
        <w:tc>
          <w:tcPr>
            <w:tcW w:type="dxa" w:w="2424"/>
            <w:vAlign w:val="top"/>
          </w:tcPr>
          <w:p>
            <w:pPr>
              <w:spacing w:after="0"/>
            </w:pPr>
            <w:r>
              <w:rPr>
                <w:sz w:val="17"/>
              </w:rPr>
              <w:t>Dr B. Nouridjan; signed Gazette Bulletin; pp.49–56</w:t>
            </w:r>
          </w:p>
        </w:tc>
        <w:tc>
          <w:tcPr>
            <w:tcW w:type="dxa" w:w="2424"/>
            <w:vAlign w:val="top"/>
          </w:tcPr>
          <w:p>
            <w:pPr>
              <w:spacing w:after="0"/>
            </w:pPr>
            <w:r>
              <w:rPr>
                <w:sz w:val="17"/>
              </w:rPr>
              <w:t>What did responsibility for public health require, and what limits applied to coercive measures?</w:t>
            </w:r>
          </w:p>
        </w:tc>
        <w:tc>
          <w:tcPr>
            <w:tcW w:type="dxa" w:w="2424"/>
            <w:vAlign w:val="top"/>
          </w:tcPr>
          <w:p>
            <w:pPr>
              <w:spacing w:after="0"/>
            </w:pPr>
            <w:r>
              <w:rPr>
                <w:sz w:val="17"/>
              </w:rPr>
              <w:t>responsabilité; preservation of life; condemnation of mass cordons/sequestration and concealment; truthful communication and relief for the poor.</w:t>
            </w:r>
          </w:p>
        </w:tc>
        <w:tc>
          <w:tcPr>
            <w:tcW w:type="dxa" w:w="2424"/>
            <w:vAlign w:val="top"/>
          </w:tcPr>
          <w:p>
            <w:pPr>
              <w:spacing w:after="0"/>
            </w:pPr>
            <w:r>
              <w:rPr>
                <w:sz w:val="17"/>
              </w:rPr>
              <w:t>Signed article; complete pp.49–56 argument; criticism of coercive measures and proposed alternative sanitary/relief measures.</w:t>
            </w:r>
          </w:p>
        </w:tc>
        <w:tc>
          <w:tcPr>
            <w:tcW w:type="dxa" w:w="2424"/>
            <w:vAlign w:val="top"/>
          </w:tcPr>
          <w:p>
            <w:pPr>
              <w:spacing w:after="0"/>
            </w:pPr>
            <w:r>
              <w:rPr>
                <w:sz w:val="17"/>
              </w:rPr>
              <w:t>Formal governmental adoption; implementation or measurable effect of Nouridjan’s proposals.</w:t>
            </w:r>
          </w:p>
        </w:tc>
      </w:tr>
      <w:tr>
        <w:tc>
          <w:tcPr>
            <w:tcW w:type="dxa" w:w="2424"/>
            <w:vAlign w:val="top"/>
          </w:tcPr>
          <w:p>
            <w:pPr>
              <w:spacing w:after="0"/>
            </w:pPr>
            <w:r>
              <w:rPr>
                <w:sz w:val="17"/>
              </w:rPr>
              <w:t>Pharyngeal-suture controversy, 1861–1862</w:t>
            </w:r>
          </w:p>
        </w:tc>
        <w:tc>
          <w:tcPr>
            <w:tcW w:type="dxa" w:w="2424"/>
            <w:vAlign w:val="top"/>
          </w:tcPr>
          <w:p>
            <w:pPr>
              <w:spacing w:after="0"/>
            </w:pPr>
            <w:r>
              <w:rPr>
                <w:sz w:val="17"/>
              </w:rPr>
              <w:t>Mühlig, Sawas, Galati, Coidan, Ferro; linked Société proceedings; pp.121–124, 137–141, 155–157</w:t>
            </w:r>
          </w:p>
        </w:tc>
        <w:tc>
          <w:tcPr>
            <w:tcW w:type="dxa" w:w="2424"/>
            <w:vAlign w:val="top"/>
          </w:tcPr>
          <w:p>
            <w:pPr>
              <w:spacing w:after="0"/>
            </w:pPr>
            <w:r>
              <w:rPr>
                <w:sz w:val="17"/>
              </w:rPr>
              <w:t>What duties governed clinical publicity, correction, and generalization from disputed observations?</w:t>
            </w:r>
          </w:p>
        </w:tc>
        <w:tc>
          <w:tcPr>
            <w:tcW w:type="dxa" w:w="2424"/>
            <w:vAlign w:val="top"/>
          </w:tcPr>
          <w:p>
            <w:pPr>
              <w:spacing w:after="0"/>
            </w:pPr>
            <w:r>
              <w:rPr>
                <w:sz w:val="17"/>
              </w:rPr>
              <w:t>immoralité scientifique; incomplete facts; humanity as a duty to disclose reparable error; exact narration; prudent resistance to universal rules.</w:t>
            </w:r>
          </w:p>
        </w:tc>
        <w:tc>
          <w:tcPr>
            <w:tcW w:type="dxa" w:w="2424"/>
            <w:vAlign w:val="top"/>
          </w:tcPr>
          <w:p>
            <w:pPr>
              <w:spacing w:after="0"/>
            </w:pPr>
            <w:r>
              <w:rPr>
                <w:sz w:val="17"/>
              </w:rPr>
              <w:t>Linked debate across three published instalments; named participants; factual rectification; proceedings state that the discussion was exhausted.</w:t>
            </w:r>
          </w:p>
        </w:tc>
        <w:tc>
          <w:tcPr>
            <w:tcW w:type="dxa" w:w="2424"/>
            <w:vAlign w:val="top"/>
          </w:tcPr>
          <w:p>
            <w:pPr>
              <w:spacing w:after="0"/>
            </w:pPr>
            <w:r>
              <w:rPr>
                <w:sz w:val="17"/>
              </w:rPr>
              <w:t>Demonstrable change in surgical practice beyond the Société or journal.</w:t>
            </w:r>
          </w:p>
        </w:tc>
      </w:tr>
    </w:tbl>
    <w:p>
      <w:r>
        <w:t>Note. The selected debates are not statistically representative cases. They were chosen because the primary-source wording is sufficiently recoverable to reconstruct the question, reasons, and limits of the historical argument. Where the source does not establish adoption, implementation, subsequent legal outcome, or complete actor attribution, the revised manuscript states that limitation explicitly.</w:t>
      </w:r>
    </w:p>
    <w:p>
      <w:r>
        <w:t>Source-unit note. Reference [20] and the Causeries entries in S3 and S3B refer only to ID56. ID52 denotes Pardo’s separate September 1862 Feuilleton, pp.85–91, not a second copy of Causeries. The reconciliation and independent E2/E3 rationales appear in Additional file 1, S7, and Additional file 3, R707–R710.</w:t>
      </w:r>
    </w:p>
    <w:sectPr w:rsidR="006552AC" w:rsidSect="00034616">
      <w:pgSz w:w="15840" w:h="12240"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2F148" w14:textId="77777777" w:rsidR="00624D71" w:rsidRDefault="00624D71">
      <w:pPr>
        <w:spacing w:after="0" w:line="240" w:lineRule="auto"/>
      </w:pPr>
      <w:r>
        <w:separator/>
      </w:r>
    </w:p>
  </w:endnote>
  <w:endnote w:type="continuationSeparator" w:id="0">
    <w:p w14:paraId="08E3F6B4" w14:textId="77777777" w:rsidR="00624D71" w:rsidRDefault="0062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F097" w14:textId="77777777" w:rsidR="00624D71" w:rsidRDefault="00624D71">
      <w:pPr>
        <w:spacing w:after="0" w:line="240" w:lineRule="auto"/>
      </w:pPr>
      <w:r>
        <w:separator/>
      </w:r>
    </w:p>
  </w:footnote>
  <w:footnote w:type="continuationSeparator" w:id="0">
    <w:p w14:paraId="48412035" w14:textId="77777777" w:rsidR="00624D71" w:rsidRDefault="00624D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13681226">
    <w:abstractNumId w:val="8"/>
  </w:num>
  <w:num w:numId="2" w16cid:durableId="644628033">
    <w:abstractNumId w:val="6"/>
  </w:num>
  <w:num w:numId="3" w16cid:durableId="135609358">
    <w:abstractNumId w:val="5"/>
  </w:num>
  <w:num w:numId="4" w16cid:durableId="1640457759">
    <w:abstractNumId w:val="4"/>
  </w:num>
  <w:num w:numId="5" w16cid:durableId="1671984172">
    <w:abstractNumId w:val="7"/>
  </w:num>
  <w:num w:numId="6" w16cid:durableId="1506674418">
    <w:abstractNumId w:val="3"/>
  </w:num>
  <w:num w:numId="7" w16cid:durableId="675112041">
    <w:abstractNumId w:val="2"/>
  </w:num>
  <w:num w:numId="8" w16cid:durableId="1796290532">
    <w:abstractNumId w:val="1"/>
  </w:num>
  <w:num w:numId="9" w16cid:durableId="1024592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4D71"/>
    <w:rsid w:val="006552AC"/>
    <w:rsid w:val="00905504"/>
    <w:rsid w:val="00AA1D8D"/>
    <w:rsid w:val="00B47730"/>
    <w:rsid w:val="00CB0664"/>
    <w:rsid w:val="00D17E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58C2A0"/>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rPr>
      <w:rFonts w:ascii="Times New Roman" w:eastAsia="Times New Roman" w:hAnsi="Times New Roman" w:cs="Times New Roman"/>
      <w:color w:val="000000"/>
      <w:sz w:val="24"/>
      <w:u w:val="none"/>
    </w:rPr>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rPr>
      <w:rFonts w:ascii="Times New Roman" w:eastAsia="Times New Roman" w:hAnsi="Times New Roman" w:cs="Times New Roman"/>
      <w:color w:val="000000"/>
      <w:sz w:val="24"/>
      <w:u w:val="none"/>
    </w:rPr>
  </w:style>
  <w:style w:type="paragraph" w:styleId="AralkYok">
    <w:name w:val="No Spacing"/>
    <w:uiPriority w:val="1"/>
    <w:qFormat/>
    <w:rsid w:val="00FC693F"/>
    <w:pPr>
      <w:spacing w:after="0" w:line="240" w:lineRule="auto"/>
    </w:pPr>
    <w:rPr>
      <w:rFonts w:ascii="Times New Roman" w:eastAsia="Times New Roman" w:hAnsi="Times New Roman" w:cs="Times New Roman"/>
      <w:color w:val="000000"/>
      <w:sz w:val="24"/>
    </w:r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000000"/>
      <w:sz w:val="24"/>
      <w:szCs w:val="28"/>
      <w:u w:val="none"/>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000000"/>
      <w:sz w:val="24"/>
      <w:szCs w:val="26"/>
      <w:u w:val="none"/>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000000"/>
      <w:sz w:val="24"/>
      <w:u w:val="none"/>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spacing w:val="5"/>
      <w:kern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000000"/>
      <w:spacing w:val="5"/>
      <w:kern w:val="28"/>
      <w:sz w:val="24"/>
      <w:szCs w:val="52"/>
      <w:u w:val="none"/>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000000"/>
      <w:spacing w:val="15"/>
      <w:sz w:val="24"/>
      <w:szCs w:val="24"/>
      <w:u w:val="none"/>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rPr>
      <w:rFonts w:ascii="Times New Roman" w:eastAsia="Times New Roman" w:hAnsi="Times New Roman" w:cs="Times New Roman"/>
      <w:color w:val="000000"/>
      <w:sz w:val="24"/>
      <w:u w:val="none"/>
    </w:rPr>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rPr>
      <w:rFonts w:ascii="Times New Roman" w:eastAsia="Times New Roman" w:hAnsi="Times New Roman" w:cs="Times New Roman"/>
      <w:color w:val="000000"/>
      <w:sz w:val="24"/>
      <w:u w:val="none"/>
    </w:rPr>
  </w:style>
  <w:style w:type="paragraph" w:styleId="GvdeMetni3">
    <w:name w:val="Body Text 3"/>
    <w:basedOn w:val="Normal"/>
    <w:link w:val="GvdeMetni3Char"/>
    <w:uiPriority w:val="99"/>
    <w:unhideWhenUsed/>
    <w:rsid w:val="00AA1D8D"/>
    <w:pPr>
      <w:spacing w:after="120"/>
    </w:pPr>
    <w:rPr>
      <w:szCs w:val="16"/>
    </w:rPr>
  </w:style>
  <w:style w:type="character" w:customStyle="1" w:styleId="GvdeMetni3Char">
    <w:name w:val="Gövde Metni 3 Char"/>
    <w:basedOn w:val="VarsaylanParagrafYazTipi"/>
    <w:link w:val="GvdeMetni3"/>
    <w:uiPriority w:val="99"/>
    <w:rsid w:val="00AA1D8D"/>
    <w:rPr>
      <w:rFonts w:ascii="Times New Roman" w:eastAsia="Times New Roman" w:hAnsi="Times New Roman" w:cs="Times New Roman"/>
      <w:color w:val="000000"/>
      <w:sz w:val="24"/>
      <w:szCs w:val="16"/>
      <w:u w:val="none"/>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color w:val="000000"/>
      <w:sz w:val="24"/>
      <w:szCs w:val="20"/>
    </w:rPr>
  </w:style>
  <w:style w:type="character" w:customStyle="1" w:styleId="MakroMetniChar">
    <w:name w:val="Makro Metni Char"/>
    <w:basedOn w:val="VarsaylanParagrafYazTipi"/>
    <w:link w:val="MakroMetni"/>
    <w:uiPriority w:val="99"/>
    <w:rsid w:val="0029639D"/>
    <w:rPr>
      <w:rFonts w:ascii="Times New Roman" w:eastAsia="Times New Roman" w:hAnsi="Times New Roman" w:cs="Times New Roman"/>
      <w:color w:val="000000"/>
      <w:sz w:val="24"/>
      <w:szCs w:val="20"/>
      <w:u w:val="none"/>
    </w:rPr>
  </w:style>
  <w:style w:type="paragraph" w:styleId="Alnt">
    <w:name w:val="Quote"/>
    <w:basedOn w:val="Normal"/>
    <w:next w:val="Normal"/>
    <w:link w:val="AlntChar"/>
    <w:uiPriority w:val="29"/>
    <w:qFormat/>
    <w:rsid w:val="00FC693F"/>
    <w:rPr>
      <w:i/>
      <w:iCs/>
    </w:rPr>
  </w:style>
  <w:style w:type="character" w:customStyle="1" w:styleId="AlntChar">
    <w:name w:val="Alıntı Char"/>
    <w:basedOn w:val="VarsaylanParagrafYazTipi"/>
    <w:link w:val="Alnt"/>
    <w:uiPriority w:val="29"/>
    <w:rsid w:val="00FC693F"/>
    <w:rPr>
      <w:rFonts w:ascii="Times New Roman" w:eastAsia="Times New Roman" w:hAnsi="Times New Roman" w:cs="Times New Roman"/>
      <w:i/>
      <w:iCs/>
      <w:color w:val="000000"/>
      <w:sz w:val="24"/>
      <w:u w:val="none"/>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000000"/>
      <w:sz w:val="24"/>
      <w:u w:val="none"/>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000000"/>
      <w:sz w:val="24"/>
      <w:u w:val="none"/>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000000"/>
      <w:sz w:val="24"/>
      <w:u w:val="none"/>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000000"/>
      <w:sz w:val="24"/>
      <w:u w:val="none"/>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000000"/>
      <w:sz w:val="24"/>
      <w:szCs w:val="20"/>
      <w:u w:val="none"/>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000000"/>
      <w:sz w:val="24"/>
      <w:szCs w:val="20"/>
      <w:u w:val="none"/>
    </w:rPr>
  </w:style>
  <w:style w:type="paragraph" w:styleId="ResimYazs">
    <w:name w:val="caption"/>
    <w:basedOn w:val="Normal"/>
    <w:next w:val="Normal"/>
    <w:uiPriority w:val="35"/>
    <w:semiHidden/>
    <w:unhideWhenUsed/>
    <w:qFormat/>
    <w:rsid w:val="00FC693F"/>
    <w:pPr>
      <w:spacing w:line="240" w:lineRule="auto"/>
    </w:pPr>
    <w:rPr>
      <w:b/>
      <w:bCs/>
      <w:szCs w:val="18"/>
    </w:rPr>
  </w:style>
  <w:style w:type="character" w:styleId="Gl">
    <w:name w:val="Strong"/>
    <w:basedOn w:val="VarsaylanParagrafYazTipi"/>
    <w:uiPriority w:val="22"/>
    <w:qFormat/>
    <w:rsid w:val="00FC693F"/>
    <w:rPr>
      <w:rFonts w:ascii="Times New Roman" w:eastAsia="Times New Roman" w:hAnsi="Times New Roman" w:cs="Times New Roman"/>
      <w:b/>
      <w:bCs/>
      <w:color w:val="000000"/>
      <w:sz w:val="24"/>
      <w:u w:val="none"/>
    </w:rPr>
  </w:style>
  <w:style w:type="character" w:styleId="Vurgu">
    <w:name w:val="Emphasis"/>
    <w:basedOn w:val="VarsaylanParagrafYazTipi"/>
    <w:uiPriority w:val="20"/>
    <w:qFormat/>
    <w:rsid w:val="00FC693F"/>
    <w:rPr>
      <w:rFonts w:ascii="Times New Roman" w:eastAsia="Times New Roman" w:hAnsi="Times New Roman" w:cs="Times New Roman"/>
      <w:i/>
      <w:iCs/>
      <w:color w:val="000000"/>
      <w:sz w:val="24"/>
      <w:u w:val="none"/>
    </w:rPr>
  </w:style>
  <w:style w:type="paragraph" w:styleId="GlAlnt">
    <w:name w:val="Intense Quote"/>
    <w:basedOn w:val="Normal"/>
    <w:next w:val="Normal"/>
    <w:link w:val="GlAlntChar"/>
    <w:uiPriority w:val="30"/>
    <w:qFormat/>
    <w:rsid w:val="00FC693F"/>
    <w:pPr>
      <w:spacing w:before="200" w:after="280"/>
      <w:ind w:left="936" w:right="936"/>
    </w:pPr>
    <w:rPr>
      <w:b/>
      <w:bCs/>
      <w:i/>
      <w:iCs/>
    </w:rPr>
  </w:style>
  <w:style w:type="character" w:customStyle="1" w:styleId="GlAlntChar">
    <w:name w:val="Güçlü Alıntı Char"/>
    <w:basedOn w:val="VarsaylanParagrafYazTipi"/>
    <w:link w:val="GlAlnt"/>
    <w:uiPriority w:val="30"/>
    <w:rsid w:val="00FC693F"/>
    <w:rPr>
      <w:rFonts w:ascii="Times New Roman" w:eastAsia="Times New Roman" w:hAnsi="Times New Roman" w:cs="Times New Roman"/>
      <w:b/>
      <w:bCs/>
      <w:i/>
      <w:iCs/>
      <w:color w:val="000000"/>
      <w:sz w:val="24"/>
      <w:u w:val="none"/>
    </w:rPr>
  </w:style>
  <w:style w:type="character" w:styleId="HafifVurgulama">
    <w:name w:val="Subtle Emphasis"/>
    <w:basedOn w:val="VarsaylanParagrafYazTipi"/>
    <w:uiPriority w:val="19"/>
    <w:qFormat/>
    <w:rsid w:val="00FC693F"/>
    <w:rPr>
      <w:rFonts w:ascii="Times New Roman" w:eastAsia="Times New Roman" w:hAnsi="Times New Roman" w:cs="Times New Roman"/>
      <w:i/>
      <w:iCs/>
      <w:color w:val="000000"/>
      <w:sz w:val="24"/>
      <w:u w:val="none"/>
    </w:rPr>
  </w:style>
  <w:style w:type="character" w:styleId="GlVurgulama">
    <w:name w:val="Intense Emphasis"/>
    <w:basedOn w:val="VarsaylanParagrafYazTipi"/>
    <w:uiPriority w:val="21"/>
    <w:qFormat/>
    <w:rsid w:val="00FC693F"/>
    <w:rPr>
      <w:rFonts w:ascii="Times New Roman" w:eastAsia="Times New Roman" w:hAnsi="Times New Roman" w:cs="Times New Roman"/>
      <w:b/>
      <w:bCs/>
      <w:i/>
      <w:iCs/>
      <w:color w:val="000000"/>
      <w:sz w:val="24"/>
      <w:u w:val="none"/>
    </w:rPr>
  </w:style>
  <w:style w:type="character" w:styleId="HafifBavuru">
    <w:name w:val="Subtle Reference"/>
    <w:basedOn w:val="VarsaylanParagrafYazTipi"/>
    <w:uiPriority w:val="31"/>
    <w:qFormat/>
    <w:rsid w:val="00FC693F"/>
    <w:rPr>
      <w:rFonts w:ascii="Times New Roman" w:eastAsia="Times New Roman" w:hAnsi="Times New Roman" w:cs="Times New Roman"/>
      <w:smallCaps/>
      <w:color w:val="000000"/>
      <w:sz w:val="24"/>
      <w:u w:val="none"/>
    </w:rPr>
  </w:style>
  <w:style w:type="character" w:styleId="GlBavuru">
    <w:name w:val="Intense Reference"/>
    <w:basedOn w:val="VarsaylanParagrafYazTipi"/>
    <w:uiPriority w:val="32"/>
    <w:qFormat/>
    <w:rsid w:val="00FC693F"/>
    <w:rPr>
      <w:rFonts w:ascii="Times New Roman" w:eastAsia="Times New Roman" w:hAnsi="Times New Roman" w:cs="Times New Roman"/>
      <w:b/>
      <w:bCs/>
      <w:smallCaps/>
      <w:color w:val="000000"/>
      <w:spacing w:val="5"/>
      <w:sz w:val="24"/>
      <w:u w:val="none"/>
    </w:rPr>
  </w:style>
  <w:style w:type="character" w:styleId="KitapBal">
    <w:name w:val="Book Title"/>
    <w:basedOn w:val="VarsaylanParagrafYazTipi"/>
    <w:uiPriority w:val="33"/>
    <w:qFormat/>
    <w:rsid w:val="00FC693F"/>
    <w:rPr>
      <w:rFonts w:ascii="Times New Roman" w:eastAsia="Times New Roman" w:hAnsi="Times New Roman" w:cs="Times New Roman"/>
      <w:b/>
      <w:bCs/>
      <w:smallCaps/>
      <w:color w:val="000000"/>
      <w:spacing w:val="5"/>
      <w:sz w:val="24"/>
      <w:u w:val="none"/>
    </w:rPr>
  </w:style>
  <w:style w:type="paragraph" w:styleId="TBal">
    <w:name w:val="TOC Heading"/>
    <w:basedOn w:val="Balk1"/>
    <w:next w:val="Normal"/>
    <w:uiPriority w:val="39"/>
    <w:semiHidden/>
    <w:unhideWhenUsed/>
    <w:qFormat/>
    <w:rsid w:val="00FC693F"/>
    <w:pPr>
      <w:outlineLvl w:val="9"/>
    </w:pPr>
    <w:rPr>
      <w:rFonts w:ascii="Times New Roman" w:eastAsia="Times New Roman" w:hAnsi="Times New Roman" w:cs="Times New Roman"/>
    </w:rPr>
  </w:style>
  <w:style w:type="table" w:styleId="TabloKlavuzu">
    <w:name w:val="Table Grid"/>
    <w:basedOn w:val="NormalTablo"/>
    <w:uiPriority w:val="59"/>
    <w:rsid w:val="00FC693F"/>
    <w:pPr>
      <w:spacing w:after="0" w:line="240" w:lineRule="auto"/>
    </w:pPr>
    <w:rPr>
      <w:rFonts w:ascii="Times New Roman" w:eastAsia="Times New Roman" w:hAnsi="Times New Roman" w:cs="Times New Roman"/>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rFonts w:ascii="Times New Roman" w:eastAsia="Times New Roman" w:hAnsi="Times New Roman" w:cs="Times New Roman"/>
      <w:color w:val="000000"/>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rFonts w:ascii="Times New Roman" w:eastAsia="Times New Roman" w:hAnsi="Times New Roman" w:cs="Times New Roman"/>
      <w:color w:val="000000"/>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rFonts w:ascii="Times New Roman" w:eastAsia="Times New Roman" w:hAnsi="Times New Roman" w:cs="Times New Roman"/>
      <w:color w:val="000000"/>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5277</Characters>
  <Application>Microsoft Office Word</Application>
  <DocSecurity>0</DocSecurity>
  <Lines>43</Lines>
  <Paragraphs>12</Paragraphs>
  <ScaleCrop>false</ScaleCrop>
  <Manager/>
  <Company/>
  <LinksUpToDate>false</LinksUpToDate>
  <CharactersWithSpaces>6190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2026-08-27T11:16:00Z</dcterms:created>
  <dcterms:modified xsi:type="dcterms:W3CDTF">2026-08-27T11:17:00Z</dcterms:modified>
  <cp:category/>
</cp:coreProperties>
</file>