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203" w:rsidRPr="00DE79A5" w:rsidRDefault="00622E44" w:rsidP="00622E44">
      <w:pPr>
        <w:spacing w:after="0"/>
        <w:rPr>
          <w:b/>
          <w:color w:val="4F81BD" w:themeColor="accent1"/>
          <w:sz w:val="32"/>
          <w:szCs w:val="32"/>
        </w:rPr>
      </w:pPr>
      <w:bookmarkStart w:id="0" w:name="_GoBack"/>
      <w:bookmarkEnd w:id="0"/>
      <w:r w:rsidRPr="00DE79A5">
        <w:rPr>
          <w:b/>
          <w:color w:val="4F81BD" w:themeColor="accent1"/>
          <w:sz w:val="32"/>
          <w:szCs w:val="32"/>
        </w:rPr>
        <w:t xml:space="preserve">Readiness to Change: Stakeholder Panel </w:t>
      </w:r>
    </w:p>
    <w:p w:rsidR="00622E44" w:rsidRPr="00DE79A5" w:rsidRDefault="00622E44" w:rsidP="00D31B76">
      <w:pPr>
        <w:spacing w:after="240"/>
        <w:rPr>
          <w:b/>
          <w:color w:val="1F497D" w:themeColor="text2"/>
          <w:sz w:val="24"/>
          <w:szCs w:val="24"/>
        </w:rPr>
      </w:pPr>
      <w:r w:rsidRPr="00DE79A5">
        <w:rPr>
          <w:b/>
          <w:color w:val="1F497D" w:themeColor="text2"/>
          <w:sz w:val="24"/>
          <w:szCs w:val="24"/>
        </w:rPr>
        <w:t xml:space="preserve">Round One </w:t>
      </w:r>
      <w:proofErr w:type="gramStart"/>
      <w:r w:rsidRPr="00DE79A5">
        <w:rPr>
          <w:b/>
          <w:color w:val="1F497D" w:themeColor="text2"/>
          <w:sz w:val="24"/>
          <w:szCs w:val="24"/>
        </w:rPr>
        <w:t>Findings</w:t>
      </w:r>
      <w:proofErr w:type="gramEnd"/>
    </w:p>
    <w:p w:rsidR="00622E44" w:rsidRPr="00DE79A5" w:rsidRDefault="00622E44" w:rsidP="006060D8">
      <w:pPr>
        <w:spacing w:after="0"/>
        <w:rPr>
          <w:color w:val="1F497D" w:themeColor="text2"/>
          <w:sz w:val="20"/>
          <w:szCs w:val="20"/>
        </w:rPr>
      </w:pPr>
      <w:r w:rsidRPr="00DE79A5">
        <w:rPr>
          <w:color w:val="1F497D" w:themeColor="text2"/>
          <w:sz w:val="20"/>
          <w:szCs w:val="20"/>
        </w:rPr>
        <w:t xml:space="preserve">Presentation of the Readiness </w:t>
      </w:r>
      <w:r w:rsidR="00F04179" w:rsidRPr="00DE79A5">
        <w:rPr>
          <w:color w:val="1F497D" w:themeColor="text2"/>
          <w:sz w:val="20"/>
          <w:szCs w:val="20"/>
        </w:rPr>
        <w:t>to</w:t>
      </w:r>
      <w:r w:rsidRPr="00DE79A5">
        <w:rPr>
          <w:color w:val="1F497D" w:themeColor="text2"/>
          <w:sz w:val="20"/>
          <w:szCs w:val="20"/>
        </w:rPr>
        <w:t xml:space="preserve"> Change Stakeholder Panel </w:t>
      </w:r>
      <w:r w:rsidR="00F04179" w:rsidRPr="00DE79A5">
        <w:rPr>
          <w:color w:val="1F497D" w:themeColor="text2"/>
          <w:sz w:val="20"/>
          <w:szCs w:val="20"/>
        </w:rPr>
        <w:t>f</w:t>
      </w:r>
      <w:r w:rsidRPr="00DE79A5">
        <w:rPr>
          <w:color w:val="1F497D" w:themeColor="text2"/>
          <w:sz w:val="20"/>
          <w:szCs w:val="20"/>
        </w:rPr>
        <w:t xml:space="preserve">indings </w:t>
      </w:r>
    </w:p>
    <w:p w:rsidR="00622E44" w:rsidRPr="00D31B76" w:rsidRDefault="00622E44" w:rsidP="00D31B76">
      <w:pPr>
        <w:spacing w:line="240" w:lineRule="auto"/>
        <w:rPr>
          <w:sz w:val="20"/>
          <w:szCs w:val="20"/>
        </w:rPr>
      </w:pPr>
      <w:r w:rsidRPr="00D31B76">
        <w:rPr>
          <w:sz w:val="20"/>
          <w:szCs w:val="20"/>
        </w:rPr>
        <w:t xml:space="preserve">This report presents the aggregate findings from the first round of the Stakeholder </w:t>
      </w:r>
      <w:r w:rsidR="00F633B8" w:rsidRPr="00D31B76">
        <w:rPr>
          <w:sz w:val="20"/>
          <w:szCs w:val="20"/>
        </w:rPr>
        <w:t xml:space="preserve">Panel. </w:t>
      </w:r>
      <w:r w:rsidR="001D6BCA">
        <w:rPr>
          <w:sz w:val="20"/>
          <w:szCs w:val="20"/>
        </w:rPr>
        <w:t xml:space="preserve">A total of 19 individuals participated in Round One. </w:t>
      </w:r>
      <w:r w:rsidR="00F633B8" w:rsidRPr="00D31B76">
        <w:rPr>
          <w:sz w:val="20"/>
          <w:szCs w:val="20"/>
        </w:rPr>
        <w:t xml:space="preserve">The </w:t>
      </w:r>
      <w:r w:rsidR="00F04179" w:rsidRPr="00D31B76">
        <w:rPr>
          <w:sz w:val="20"/>
          <w:szCs w:val="20"/>
        </w:rPr>
        <w:t xml:space="preserve">response count and </w:t>
      </w:r>
      <w:r w:rsidR="00F633B8" w:rsidRPr="00D31B76">
        <w:rPr>
          <w:sz w:val="20"/>
          <w:szCs w:val="20"/>
        </w:rPr>
        <w:t>median value</w:t>
      </w:r>
      <w:r w:rsidR="00F04179" w:rsidRPr="00D31B76">
        <w:rPr>
          <w:sz w:val="20"/>
          <w:szCs w:val="20"/>
        </w:rPr>
        <w:t xml:space="preserve"> of the following response categories w</w:t>
      </w:r>
      <w:r w:rsidR="00D31B76">
        <w:rPr>
          <w:sz w:val="20"/>
          <w:szCs w:val="20"/>
        </w:rPr>
        <w:t>ere</w:t>
      </w:r>
      <w:r w:rsidR="00F04179" w:rsidRPr="00D31B76">
        <w:rPr>
          <w:sz w:val="20"/>
          <w:szCs w:val="20"/>
        </w:rPr>
        <w:t xml:space="preserve"> computed for each included readiness to change measure</w:t>
      </w:r>
      <w:r w:rsidR="00F633B8" w:rsidRPr="00D31B76">
        <w:rPr>
          <w:sz w:val="20"/>
          <w:szCs w:val="20"/>
        </w:rPr>
        <w:t>: level of agreement with each of four statements; promoter score</w:t>
      </w:r>
      <w:r w:rsidR="00F04179" w:rsidRPr="00D31B76">
        <w:rPr>
          <w:sz w:val="20"/>
          <w:szCs w:val="20"/>
        </w:rPr>
        <w:t xml:space="preserve">. The response count and median value of the </w:t>
      </w:r>
      <w:r w:rsidR="00F633B8" w:rsidRPr="00D31B76">
        <w:rPr>
          <w:sz w:val="20"/>
          <w:szCs w:val="20"/>
        </w:rPr>
        <w:t xml:space="preserve">accessibility score </w:t>
      </w:r>
      <w:r w:rsidR="00F04179" w:rsidRPr="00D31B76">
        <w:rPr>
          <w:sz w:val="20"/>
          <w:szCs w:val="20"/>
        </w:rPr>
        <w:t>w</w:t>
      </w:r>
      <w:r w:rsidR="00D31B76">
        <w:rPr>
          <w:sz w:val="20"/>
          <w:szCs w:val="20"/>
        </w:rPr>
        <w:t>ere</w:t>
      </w:r>
      <w:r w:rsidR="00F04179" w:rsidRPr="00D31B76">
        <w:rPr>
          <w:sz w:val="20"/>
          <w:szCs w:val="20"/>
        </w:rPr>
        <w:t xml:space="preserve"> computed for each of the four access scenarios presented in the rating tool. All aggregate findings are highlighted in </w:t>
      </w:r>
      <w:r w:rsidR="007D23EE">
        <w:rPr>
          <w:sz w:val="20"/>
          <w:szCs w:val="20"/>
        </w:rPr>
        <w:t>the Summary of Findings section below.</w:t>
      </w:r>
    </w:p>
    <w:p w:rsidR="00F04179" w:rsidRPr="00DE79A5" w:rsidRDefault="00F04179" w:rsidP="006060D8">
      <w:pPr>
        <w:spacing w:after="0"/>
        <w:rPr>
          <w:color w:val="1F497D" w:themeColor="text2"/>
          <w:sz w:val="20"/>
          <w:szCs w:val="20"/>
        </w:rPr>
      </w:pPr>
      <w:r w:rsidRPr="00DE79A5">
        <w:rPr>
          <w:color w:val="1F497D" w:themeColor="text2"/>
          <w:sz w:val="20"/>
          <w:szCs w:val="20"/>
        </w:rPr>
        <w:t>What to do with these findings</w:t>
      </w:r>
    </w:p>
    <w:p w:rsidR="00F04179" w:rsidRPr="00D31B76" w:rsidRDefault="00DD504D" w:rsidP="00D31B76">
      <w:pPr>
        <w:spacing w:line="240" w:lineRule="auto"/>
        <w:rPr>
          <w:sz w:val="20"/>
          <w:szCs w:val="20"/>
        </w:rPr>
      </w:pPr>
      <w:r w:rsidRPr="00D31B76">
        <w:rPr>
          <w:sz w:val="20"/>
          <w:szCs w:val="20"/>
        </w:rPr>
        <w:t>Please review these findings to observe the general trend in responses and compare them to your own scores. The aggregate findings are meant to help you think about the justifications for your own ratings and why you may have rated similarly or differently from the majority of panel members. In Round Two, you wil</w:t>
      </w:r>
      <w:r w:rsidR="00E7062B">
        <w:rPr>
          <w:sz w:val="20"/>
          <w:szCs w:val="20"/>
        </w:rPr>
        <w:t xml:space="preserve">l be given an opportunity to re-rate </w:t>
      </w:r>
      <w:r w:rsidRPr="00D31B76">
        <w:rPr>
          <w:sz w:val="20"/>
          <w:szCs w:val="20"/>
        </w:rPr>
        <w:t xml:space="preserve">your responses and to justify why you kept your score the same or changed it in this round. </w:t>
      </w:r>
      <w:r w:rsidR="002379C3">
        <w:rPr>
          <w:sz w:val="20"/>
          <w:szCs w:val="20"/>
        </w:rPr>
        <w:t>Please keep in mind that wh</w:t>
      </w:r>
      <w:r w:rsidR="004A7BA2">
        <w:rPr>
          <w:sz w:val="20"/>
          <w:szCs w:val="20"/>
        </w:rPr>
        <w:t>en you respond, we would like</w:t>
      </w:r>
      <w:r w:rsidR="002379C3">
        <w:rPr>
          <w:sz w:val="20"/>
          <w:szCs w:val="20"/>
        </w:rPr>
        <w:t xml:space="preserve"> you to think of the relevance of the 9 readiness assessment measures to the context of your own organization/work setting, organization types within your specific field of work, or organizations funded to implement best practices by your own organization.  </w:t>
      </w:r>
      <w:r w:rsidRPr="00D31B76">
        <w:rPr>
          <w:sz w:val="20"/>
          <w:szCs w:val="20"/>
        </w:rPr>
        <w:t xml:space="preserve">We encourage </w:t>
      </w:r>
      <w:r w:rsidR="00D31B76">
        <w:rPr>
          <w:sz w:val="20"/>
          <w:szCs w:val="20"/>
        </w:rPr>
        <w:t xml:space="preserve">you </w:t>
      </w:r>
      <w:r w:rsidRPr="00D31B76">
        <w:rPr>
          <w:sz w:val="20"/>
          <w:szCs w:val="20"/>
        </w:rPr>
        <w:t>to contact our team if you require information that might help you with your ratings in Round Two.</w:t>
      </w:r>
    </w:p>
    <w:p w:rsidR="00284E71" w:rsidRDefault="002F470C">
      <w:pPr>
        <w:rPr>
          <w:b/>
          <w:color w:val="1F497D" w:themeColor="text2"/>
          <w:sz w:val="20"/>
          <w:szCs w:val="20"/>
        </w:rPr>
      </w:pPr>
      <w:r>
        <w:rPr>
          <w:b/>
          <w:color w:val="1F497D" w:themeColor="text2"/>
          <w:sz w:val="20"/>
          <w:szCs w:val="20"/>
        </w:rPr>
        <w:pict>
          <v:rect id="_x0000_i1025" style="width:0;height:1.5pt" o:hralign="center" o:hrstd="t" o:hr="t" fillcolor="#a0a0a0" stroked="f"/>
        </w:pict>
      </w:r>
    </w:p>
    <w:p w:rsidR="00DD504D" w:rsidRDefault="00D31B76">
      <w:pPr>
        <w:rPr>
          <w:b/>
          <w:color w:val="1F497D" w:themeColor="text2"/>
          <w:sz w:val="20"/>
          <w:szCs w:val="20"/>
        </w:rPr>
      </w:pPr>
      <w:r w:rsidRPr="00DE79A5">
        <w:rPr>
          <w:b/>
          <w:color w:val="1F497D" w:themeColor="text2"/>
          <w:sz w:val="20"/>
          <w:szCs w:val="20"/>
        </w:rPr>
        <w:t>Summary of Findings</w:t>
      </w:r>
    </w:p>
    <w:p w:rsidR="00284E71" w:rsidRDefault="00284E71">
      <w:pPr>
        <w:rPr>
          <w:b/>
          <w:color w:val="1F497D" w:themeColor="text2"/>
          <w:sz w:val="20"/>
          <w:szCs w:val="20"/>
        </w:rPr>
      </w:pPr>
    </w:p>
    <w:p w:rsidR="00D31B76" w:rsidRDefault="00D31B76">
      <w:pPr>
        <w:rPr>
          <w:color w:val="1F497D" w:themeColor="text2"/>
          <w:sz w:val="20"/>
          <w:szCs w:val="20"/>
        </w:rPr>
      </w:pPr>
      <w:r w:rsidRPr="00DE79A5">
        <w:rPr>
          <w:color w:val="1F497D" w:themeColor="text2"/>
          <w:sz w:val="20"/>
          <w:szCs w:val="20"/>
        </w:rPr>
        <w:t>Feasibility</w:t>
      </w:r>
    </w:p>
    <w:p w:rsidR="00850CB3" w:rsidRDefault="00850CB3" w:rsidP="00850CB3">
      <w:pPr>
        <w:spacing w:line="240" w:lineRule="auto"/>
        <w:rPr>
          <w:i/>
          <w:sz w:val="20"/>
          <w:szCs w:val="20"/>
        </w:rPr>
      </w:pPr>
      <w:r w:rsidRPr="007D23EE">
        <w:rPr>
          <w:i/>
          <w:sz w:val="20"/>
          <w:szCs w:val="20"/>
        </w:rPr>
        <w:t>Statement #1: Overall, I think this measure for assessing readiness for change</w:t>
      </w:r>
      <w:r w:rsidR="00FA0380">
        <w:rPr>
          <w:i/>
          <w:sz w:val="20"/>
          <w:szCs w:val="20"/>
        </w:rPr>
        <w:t xml:space="preserve"> can be used in a timely** manner.</w:t>
      </w:r>
    </w:p>
    <w:p w:rsidR="00850CB3" w:rsidRPr="00850CB3" w:rsidRDefault="00850CB3" w:rsidP="002F7A7A">
      <w:pPr>
        <w:spacing w:line="240" w:lineRule="auto"/>
        <w:rPr>
          <w:sz w:val="20"/>
          <w:szCs w:val="20"/>
        </w:rPr>
      </w:pPr>
      <w:r w:rsidRPr="00F52AE4">
        <w:rPr>
          <w:sz w:val="20"/>
          <w:szCs w:val="20"/>
          <w:u w:val="single"/>
        </w:rPr>
        <w:t>Median</w:t>
      </w:r>
      <w:r w:rsidR="00F52AE4">
        <w:rPr>
          <w:sz w:val="20"/>
          <w:szCs w:val="20"/>
        </w:rPr>
        <w:tab/>
      </w:r>
      <w:r w:rsidR="00F52AE4">
        <w:rPr>
          <w:sz w:val="20"/>
          <w:szCs w:val="20"/>
        </w:rPr>
        <w:tab/>
      </w:r>
      <w:r w:rsidR="00F52AE4">
        <w:rPr>
          <w:sz w:val="20"/>
          <w:szCs w:val="20"/>
        </w:rPr>
        <w:tab/>
      </w:r>
      <w:r w:rsidR="00F52AE4">
        <w:rPr>
          <w:sz w:val="20"/>
          <w:szCs w:val="20"/>
        </w:rPr>
        <w:tab/>
      </w:r>
      <w:r w:rsidR="00F52AE4">
        <w:rPr>
          <w:sz w:val="20"/>
          <w:szCs w:val="20"/>
        </w:rPr>
        <w:tab/>
      </w:r>
      <w:r w:rsidR="00F52AE4">
        <w:rPr>
          <w:sz w:val="20"/>
          <w:szCs w:val="20"/>
        </w:rPr>
        <w:tab/>
      </w:r>
      <w:r w:rsidR="00F52AE4">
        <w:rPr>
          <w:sz w:val="20"/>
          <w:szCs w:val="20"/>
        </w:rPr>
        <w:tab/>
      </w:r>
      <w:r w:rsidR="002F7A7A">
        <w:rPr>
          <w:sz w:val="20"/>
          <w:szCs w:val="20"/>
        </w:rPr>
        <w:tab/>
      </w:r>
      <w:r w:rsidR="002F7A7A">
        <w:rPr>
          <w:sz w:val="20"/>
          <w:szCs w:val="20"/>
        </w:rPr>
        <w:tab/>
      </w:r>
      <w:r w:rsidRPr="00F52AE4">
        <w:rPr>
          <w:sz w:val="20"/>
          <w:szCs w:val="20"/>
          <w:u w:val="single"/>
        </w:rPr>
        <w:t>Response Count</w:t>
      </w:r>
    </w:p>
    <w:tbl>
      <w:tblPr>
        <w:tblW w:w="0" w:type="auto"/>
        <w:tblInd w:w="6697" w:type="dxa"/>
        <w:tblLook w:val="04A0" w:firstRow="1" w:lastRow="0" w:firstColumn="1" w:lastColumn="0" w:noHBand="0" w:noVBand="1"/>
      </w:tblPr>
      <w:tblGrid>
        <w:gridCol w:w="950"/>
        <w:gridCol w:w="318"/>
        <w:gridCol w:w="318"/>
        <w:gridCol w:w="318"/>
        <w:gridCol w:w="318"/>
        <w:gridCol w:w="318"/>
        <w:gridCol w:w="318"/>
        <w:gridCol w:w="318"/>
      </w:tblGrid>
      <w:tr w:rsidR="002F7A7A" w:rsidRPr="002F7A7A" w:rsidTr="002F7A7A">
        <w:trPr>
          <w:trHeight w:val="300"/>
        </w:trPr>
        <w:tc>
          <w:tcPr>
            <w:tcW w:w="0" w:type="auto"/>
            <w:tcBorders>
              <w:top w:val="nil"/>
              <w:left w:val="nil"/>
              <w:bottom w:val="single" w:sz="4" w:space="0" w:color="auto"/>
              <w:right w:val="single" w:sz="4" w:space="0" w:color="auto"/>
            </w:tcBorders>
            <w:shd w:val="clear" w:color="auto" w:fill="auto"/>
            <w:noWrap/>
            <w:vAlign w:val="bottom"/>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Pr>
                <w:noProof/>
              </w:rPr>
              <w:drawing>
                <wp:anchor distT="0" distB="0" distL="114300" distR="114300" simplePos="0" relativeHeight="251672064" behindDoc="0" locked="0" layoutInCell="1" allowOverlap="1" wp14:anchorId="6ADF8D8A" wp14:editId="1D45D56E">
                  <wp:simplePos x="0" y="0"/>
                  <wp:positionH relativeFrom="column">
                    <wp:posOffset>-4252595</wp:posOffset>
                  </wp:positionH>
                  <wp:positionV relativeFrom="paragraph">
                    <wp:posOffset>-13970</wp:posOffset>
                  </wp:positionV>
                  <wp:extent cx="3778250" cy="2096135"/>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2F7A7A">
              <w:rPr>
                <w:rFonts w:ascii="Calibri" w:eastAsia="Times New Roman" w:hAnsi="Calibri" w:cs="Times New Roman"/>
                <w:color w:val="000000"/>
                <w:sz w:val="20"/>
                <w:szCs w:val="20"/>
              </w:rPr>
              <w:t> </w:t>
            </w:r>
          </w:p>
        </w:tc>
        <w:tc>
          <w:tcPr>
            <w:tcW w:w="0" w:type="auto"/>
            <w:gridSpan w:val="7"/>
            <w:tcBorders>
              <w:top w:val="single" w:sz="4" w:space="0" w:color="auto"/>
              <w:left w:val="nil"/>
              <w:bottom w:val="single" w:sz="4" w:space="0" w:color="auto"/>
              <w:right w:val="single" w:sz="4" w:space="0" w:color="auto"/>
            </w:tcBorders>
            <w:shd w:val="clear" w:color="000000" w:fill="D8E4BC"/>
            <w:noWrap/>
            <w:vAlign w:val="bottom"/>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Score*</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8E4BC"/>
            <w:noWrap/>
            <w:vAlign w:val="bottom"/>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Measure</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7</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1</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5</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4</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6</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5</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r>
      <w:tr w:rsidR="002F7A7A" w:rsidRPr="002F7A7A" w:rsidTr="002F7A7A">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F7A7A" w:rsidRPr="002F7A7A" w:rsidRDefault="002F7A7A" w:rsidP="002F7A7A">
            <w:pPr>
              <w:spacing w:after="0" w:line="240" w:lineRule="auto"/>
              <w:jc w:val="center"/>
              <w:rPr>
                <w:rFonts w:ascii="Calibri" w:eastAsia="Times New Roman" w:hAnsi="Calibri" w:cs="Times New Roman"/>
                <w:b/>
                <w:bCs/>
                <w:color w:val="000000"/>
                <w:sz w:val="20"/>
                <w:szCs w:val="20"/>
              </w:rPr>
            </w:pPr>
            <w:r w:rsidRPr="002F7A7A">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F7A7A" w:rsidRPr="002F7A7A" w:rsidRDefault="002F7A7A" w:rsidP="002F7A7A">
            <w:pPr>
              <w:spacing w:after="0" w:line="240" w:lineRule="auto"/>
              <w:jc w:val="center"/>
              <w:rPr>
                <w:rFonts w:ascii="Calibri" w:eastAsia="Times New Roman" w:hAnsi="Calibri" w:cs="Times New Roman"/>
                <w:color w:val="000000"/>
                <w:sz w:val="20"/>
                <w:szCs w:val="20"/>
              </w:rPr>
            </w:pPr>
            <w:r w:rsidRPr="002F7A7A">
              <w:rPr>
                <w:rFonts w:ascii="Calibri" w:eastAsia="Times New Roman" w:hAnsi="Calibri" w:cs="Times New Roman"/>
                <w:color w:val="000000"/>
                <w:sz w:val="20"/>
                <w:szCs w:val="20"/>
              </w:rPr>
              <w:t>3</w:t>
            </w:r>
          </w:p>
        </w:tc>
      </w:tr>
    </w:tbl>
    <w:p w:rsidR="002F7A7A" w:rsidRDefault="002F7A7A" w:rsidP="006715DC">
      <w:pPr>
        <w:ind w:left="6480"/>
        <w:rPr>
          <w:sz w:val="16"/>
          <w:szCs w:val="16"/>
        </w:rPr>
      </w:pPr>
      <w:r w:rsidRPr="00850CB3">
        <w:rPr>
          <w:sz w:val="16"/>
          <w:szCs w:val="16"/>
        </w:rPr>
        <w:t>*</w:t>
      </w:r>
      <w:proofErr w:type="gramStart"/>
      <w:r w:rsidRPr="00850CB3">
        <w:rPr>
          <w:sz w:val="16"/>
          <w:szCs w:val="16"/>
        </w:rPr>
        <w:t>(</w:t>
      </w:r>
      <w:r w:rsidR="006715DC">
        <w:rPr>
          <w:sz w:val="16"/>
          <w:szCs w:val="16"/>
        </w:rPr>
        <w:t xml:space="preserve"> 7</w:t>
      </w:r>
      <w:proofErr w:type="gramEnd"/>
      <w:r w:rsidR="006715DC">
        <w:rPr>
          <w:sz w:val="16"/>
          <w:szCs w:val="16"/>
        </w:rPr>
        <w:t xml:space="preserve"> –point </w:t>
      </w:r>
      <w:proofErr w:type="spellStart"/>
      <w:r w:rsidR="006715DC">
        <w:rPr>
          <w:sz w:val="16"/>
          <w:szCs w:val="16"/>
        </w:rPr>
        <w:t>Likert</w:t>
      </w:r>
      <w:proofErr w:type="spellEnd"/>
      <w:r w:rsidR="006715DC">
        <w:rPr>
          <w:sz w:val="16"/>
          <w:szCs w:val="16"/>
        </w:rPr>
        <w:t xml:space="preserve"> Scale; </w:t>
      </w:r>
      <w:r w:rsidRPr="00850CB3">
        <w:rPr>
          <w:sz w:val="16"/>
          <w:szCs w:val="16"/>
        </w:rPr>
        <w:t>1 = strongly disagree; 7 = strongly agree)</w:t>
      </w:r>
    </w:p>
    <w:p w:rsidR="006060D8" w:rsidRDefault="006060D8"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FA0380" w:rsidP="00FA0380">
      <w:pPr>
        <w:spacing w:after="0"/>
        <w:rPr>
          <w:sz w:val="16"/>
          <w:szCs w:val="16"/>
        </w:rPr>
      </w:pPr>
      <w:r>
        <w:rPr>
          <w:sz w:val="16"/>
          <w:szCs w:val="16"/>
        </w:rPr>
        <w:t xml:space="preserve">**Note: We have defined timeliness in this regard as the amount of time taken to complete the measure, rather than occurring at a suitable or opportune time. </w:t>
      </w: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64760E" w:rsidRDefault="0064760E" w:rsidP="0029572F">
      <w:pPr>
        <w:spacing w:after="0"/>
        <w:ind w:left="5040"/>
        <w:rPr>
          <w:sz w:val="16"/>
          <w:szCs w:val="16"/>
        </w:rPr>
      </w:pPr>
    </w:p>
    <w:p w:rsidR="008D464E" w:rsidRDefault="008D464E" w:rsidP="008D464E">
      <w:pPr>
        <w:spacing w:line="240" w:lineRule="auto"/>
        <w:rPr>
          <w:i/>
          <w:sz w:val="20"/>
          <w:szCs w:val="20"/>
        </w:rPr>
      </w:pPr>
      <w:r w:rsidRPr="007D23EE">
        <w:rPr>
          <w:i/>
          <w:sz w:val="20"/>
          <w:szCs w:val="20"/>
        </w:rPr>
        <w:t>Statement #2: Overall, I think this measure for assessing readiness for change can be used without causing undue burden to existing resources (e.g</w:t>
      </w:r>
      <w:r w:rsidR="00F52AE4">
        <w:rPr>
          <w:i/>
          <w:sz w:val="20"/>
          <w:szCs w:val="20"/>
        </w:rPr>
        <w:t>., human resources, cost, etc.).</w:t>
      </w:r>
    </w:p>
    <w:p w:rsidR="00F52AE4" w:rsidRDefault="00F52AE4" w:rsidP="0064760E">
      <w:pPr>
        <w:spacing w:line="240" w:lineRule="auto"/>
        <w:rPr>
          <w:sz w:val="20"/>
          <w:szCs w:val="20"/>
          <w:u w:val="single"/>
        </w:rPr>
      </w:pPr>
      <w:r w:rsidRPr="00F52AE4">
        <w:rPr>
          <w:sz w:val="20"/>
          <w:szCs w:val="20"/>
          <w:u w:val="single"/>
        </w:rPr>
        <w:t>Median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64760E">
        <w:rPr>
          <w:sz w:val="20"/>
          <w:szCs w:val="20"/>
        </w:rPr>
        <w:tab/>
      </w:r>
      <w:r w:rsidR="0064760E">
        <w:rPr>
          <w:sz w:val="20"/>
          <w:szCs w:val="20"/>
        </w:rPr>
        <w:tab/>
      </w:r>
      <w:r w:rsidRPr="00F52AE4">
        <w:rPr>
          <w:sz w:val="20"/>
          <w:szCs w:val="20"/>
          <w:u w:val="single"/>
        </w:rPr>
        <w:t>Response Count</w:t>
      </w:r>
    </w:p>
    <w:tbl>
      <w:tblPr>
        <w:tblpPr w:leftFromText="180" w:rightFromText="180" w:vertAnchor="text" w:horzAnchor="page" w:tblpX="7208" w:tblpY="39"/>
        <w:tblW w:w="0" w:type="auto"/>
        <w:tblLook w:val="04A0" w:firstRow="1" w:lastRow="0" w:firstColumn="1" w:lastColumn="0" w:noHBand="0" w:noVBand="1"/>
      </w:tblPr>
      <w:tblGrid>
        <w:gridCol w:w="950"/>
        <w:gridCol w:w="318"/>
        <w:gridCol w:w="318"/>
        <w:gridCol w:w="318"/>
        <w:gridCol w:w="318"/>
        <w:gridCol w:w="318"/>
        <w:gridCol w:w="318"/>
        <w:gridCol w:w="318"/>
      </w:tblGrid>
      <w:tr w:rsidR="0064760E" w:rsidRPr="0064760E" w:rsidTr="0064760E">
        <w:trPr>
          <w:trHeight w:val="300"/>
        </w:trPr>
        <w:tc>
          <w:tcPr>
            <w:tcW w:w="0" w:type="auto"/>
            <w:tcBorders>
              <w:top w:val="nil"/>
              <w:left w:val="nil"/>
              <w:bottom w:val="nil"/>
              <w:right w:val="nil"/>
            </w:tcBorders>
            <w:shd w:val="clear" w:color="auto" w:fill="auto"/>
            <w:noWrap/>
            <w:vAlign w:val="bottom"/>
            <w:hideMark/>
          </w:tcPr>
          <w:p w:rsidR="0064760E" w:rsidRPr="0064760E" w:rsidRDefault="0064760E" w:rsidP="0064760E">
            <w:pPr>
              <w:spacing w:after="0" w:line="240" w:lineRule="auto"/>
              <w:rPr>
                <w:rFonts w:ascii="Calibri" w:eastAsia="Times New Roman" w:hAnsi="Calibri" w:cs="Times New Roman"/>
                <w:color w:val="000000"/>
              </w:rPr>
            </w:pPr>
          </w:p>
        </w:tc>
        <w:tc>
          <w:tcPr>
            <w:tcW w:w="0" w:type="auto"/>
            <w:gridSpan w:val="7"/>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Score*</w:t>
            </w:r>
          </w:p>
        </w:tc>
      </w:tr>
      <w:tr w:rsidR="0064760E" w:rsidRPr="0064760E" w:rsidTr="0064760E">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Measure</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7</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r>
    </w:tbl>
    <w:p w:rsidR="0064760E" w:rsidRDefault="0064760E" w:rsidP="002F7A7A">
      <w:pPr>
        <w:spacing w:line="240" w:lineRule="auto"/>
        <w:jc w:val="center"/>
        <w:rPr>
          <w:sz w:val="20"/>
          <w:szCs w:val="20"/>
          <w:u w:val="single"/>
        </w:rPr>
      </w:pPr>
      <w:r>
        <w:rPr>
          <w:noProof/>
        </w:rPr>
        <w:drawing>
          <wp:anchor distT="0" distB="0" distL="114300" distR="114300" simplePos="0" relativeHeight="251649536" behindDoc="0" locked="0" layoutInCell="1" allowOverlap="1" wp14:anchorId="1B199ED3" wp14:editId="40EED187">
            <wp:simplePos x="0" y="0"/>
            <wp:positionH relativeFrom="column">
              <wp:posOffset>-1</wp:posOffset>
            </wp:positionH>
            <wp:positionV relativeFrom="paragraph">
              <wp:posOffset>111849</wp:posOffset>
            </wp:positionV>
            <wp:extent cx="3710763" cy="2083981"/>
            <wp:effectExtent l="0" t="0" r="4445"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64760E" w:rsidRDefault="0064760E" w:rsidP="002F7A7A">
      <w:pPr>
        <w:spacing w:line="240" w:lineRule="auto"/>
        <w:jc w:val="center"/>
        <w:rPr>
          <w:sz w:val="20"/>
          <w:szCs w:val="20"/>
          <w:u w:val="single"/>
        </w:rPr>
      </w:pPr>
    </w:p>
    <w:p w:rsidR="0064760E" w:rsidRPr="00850CB3" w:rsidRDefault="0064760E" w:rsidP="002F7A7A">
      <w:pPr>
        <w:spacing w:line="240" w:lineRule="auto"/>
        <w:jc w:val="center"/>
        <w:rPr>
          <w:sz w:val="20"/>
          <w:szCs w:val="20"/>
        </w:rPr>
      </w:pPr>
    </w:p>
    <w:p w:rsidR="00F52AE4" w:rsidRDefault="00F52AE4" w:rsidP="008D464E">
      <w:pPr>
        <w:spacing w:line="240" w:lineRule="auto"/>
        <w:rPr>
          <w:i/>
          <w:sz w:val="20"/>
          <w:szCs w:val="20"/>
        </w:rPr>
      </w:pPr>
    </w:p>
    <w:p w:rsidR="00F52AE4" w:rsidRDefault="00F52AE4" w:rsidP="008D464E">
      <w:pPr>
        <w:spacing w:line="240" w:lineRule="auto"/>
        <w:rPr>
          <w:i/>
          <w:sz w:val="20"/>
          <w:szCs w:val="20"/>
        </w:rPr>
      </w:pPr>
    </w:p>
    <w:p w:rsidR="00F52AE4" w:rsidRPr="007D23EE" w:rsidRDefault="00F52AE4" w:rsidP="008D464E">
      <w:pPr>
        <w:spacing w:line="240" w:lineRule="auto"/>
        <w:rPr>
          <w:i/>
          <w:sz w:val="20"/>
          <w:szCs w:val="20"/>
        </w:rPr>
      </w:pPr>
    </w:p>
    <w:p w:rsidR="00F52AE4" w:rsidRDefault="00F52AE4" w:rsidP="007D23EE">
      <w:pPr>
        <w:rPr>
          <w:sz w:val="16"/>
          <w:szCs w:val="16"/>
        </w:rPr>
      </w:pPr>
    </w:p>
    <w:p w:rsidR="0064760E" w:rsidRDefault="0064760E" w:rsidP="0064760E">
      <w:pPr>
        <w:rPr>
          <w:sz w:val="16"/>
          <w:szCs w:val="16"/>
        </w:rPr>
      </w:pPr>
      <w:r>
        <w:rPr>
          <w:sz w:val="16"/>
          <w:szCs w:val="16"/>
        </w:rPr>
        <w:tab/>
      </w:r>
    </w:p>
    <w:p w:rsidR="006715DC" w:rsidRDefault="006715DC" w:rsidP="006715DC">
      <w:pPr>
        <w:ind w:left="5760"/>
        <w:rPr>
          <w:sz w:val="16"/>
          <w:szCs w:val="16"/>
        </w:rPr>
      </w:pPr>
      <w:r>
        <w:rPr>
          <w:sz w:val="16"/>
          <w:szCs w:val="16"/>
        </w:rPr>
        <w:t xml:space="preserve">             </w:t>
      </w:r>
      <w:r w:rsidRPr="00850CB3">
        <w:rPr>
          <w:sz w:val="16"/>
          <w:szCs w:val="16"/>
        </w:rPr>
        <w:t>*</w:t>
      </w:r>
      <w:proofErr w:type="gramStart"/>
      <w:r w:rsidRPr="00850CB3">
        <w:rPr>
          <w:sz w:val="16"/>
          <w:szCs w:val="16"/>
        </w:rPr>
        <w:t>(</w:t>
      </w:r>
      <w:r>
        <w:rPr>
          <w:sz w:val="16"/>
          <w:szCs w:val="16"/>
        </w:rPr>
        <w:t xml:space="preserve"> 7</w:t>
      </w:r>
      <w:proofErr w:type="gramEnd"/>
      <w:r>
        <w:rPr>
          <w:sz w:val="16"/>
          <w:szCs w:val="16"/>
        </w:rPr>
        <w:t xml:space="preserve"> –point </w:t>
      </w:r>
      <w:proofErr w:type="spellStart"/>
      <w:r>
        <w:rPr>
          <w:sz w:val="16"/>
          <w:szCs w:val="16"/>
        </w:rPr>
        <w:t>Likert</w:t>
      </w:r>
      <w:proofErr w:type="spellEnd"/>
      <w:r>
        <w:rPr>
          <w:sz w:val="16"/>
          <w:szCs w:val="16"/>
        </w:rPr>
        <w:t xml:space="preserve"> Scale; </w:t>
      </w:r>
      <w:r w:rsidRPr="00850CB3">
        <w:rPr>
          <w:sz w:val="16"/>
          <w:szCs w:val="16"/>
        </w:rPr>
        <w:t>1 = strongly disagree; 7 = strongly agree)</w:t>
      </w:r>
    </w:p>
    <w:p w:rsidR="0064760E" w:rsidRDefault="0064760E" w:rsidP="007D23EE">
      <w:pPr>
        <w:spacing w:line="240" w:lineRule="auto"/>
        <w:rPr>
          <w:i/>
          <w:sz w:val="20"/>
          <w:szCs w:val="20"/>
        </w:rPr>
      </w:pPr>
    </w:p>
    <w:p w:rsidR="0064760E" w:rsidRDefault="0064760E" w:rsidP="007D23EE">
      <w:pPr>
        <w:spacing w:line="240" w:lineRule="auto"/>
        <w:rPr>
          <w:i/>
          <w:sz w:val="20"/>
          <w:szCs w:val="20"/>
        </w:rPr>
      </w:pPr>
    </w:p>
    <w:p w:rsidR="0064760E" w:rsidRDefault="0064760E" w:rsidP="007D23EE">
      <w:pPr>
        <w:spacing w:line="240" w:lineRule="auto"/>
        <w:rPr>
          <w:i/>
          <w:sz w:val="20"/>
          <w:szCs w:val="20"/>
        </w:rPr>
      </w:pPr>
    </w:p>
    <w:p w:rsidR="0064760E" w:rsidRDefault="0064760E" w:rsidP="007D23EE">
      <w:pPr>
        <w:spacing w:line="240" w:lineRule="auto"/>
        <w:rPr>
          <w:i/>
          <w:sz w:val="20"/>
          <w:szCs w:val="20"/>
        </w:rPr>
      </w:pPr>
    </w:p>
    <w:p w:rsidR="007D23EE" w:rsidRDefault="007D23EE" w:rsidP="007D23EE">
      <w:pPr>
        <w:spacing w:line="240" w:lineRule="auto"/>
        <w:rPr>
          <w:i/>
          <w:sz w:val="20"/>
          <w:szCs w:val="20"/>
        </w:rPr>
      </w:pPr>
      <w:r w:rsidRPr="007D23EE">
        <w:rPr>
          <w:i/>
          <w:sz w:val="20"/>
          <w:szCs w:val="20"/>
        </w:rPr>
        <w:t>Statement #</w:t>
      </w:r>
      <w:r>
        <w:rPr>
          <w:i/>
          <w:sz w:val="20"/>
          <w:szCs w:val="20"/>
        </w:rPr>
        <w:t>3</w:t>
      </w:r>
      <w:r w:rsidRPr="007D23EE">
        <w:rPr>
          <w:i/>
          <w:sz w:val="20"/>
          <w:szCs w:val="20"/>
        </w:rPr>
        <w:t>: Overall, I understand how to use this readiness assessment measure.</w:t>
      </w:r>
    </w:p>
    <w:tbl>
      <w:tblPr>
        <w:tblpPr w:leftFromText="180" w:rightFromText="180" w:vertAnchor="text" w:horzAnchor="page" w:tblpX="7151" w:tblpY="660"/>
        <w:tblW w:w="0" w:type="auto"/>
        <w:tblLook w:val="04A0" w:firstRow="1" w:lastRow="0" w:firstColumn="1" w:lastColumn="0" w:noHBand="0" w:noVBand="1"/>
      </w:tblPr>
      <w:tblGrid>
        <w:gridCol w:w="950"/>
        <w:gridCol w:w="318"/>
        <w:gridCol w:w="318"/>
        <w:gridCol w:w="318"/>
        <w:gridCol w:w="318"/>
        <w:gridCol w:w="318"/>
        <w:gridCol w:w="318"/>
        <w:gridCol w:w="318"/>
      </w:tblGrid>
      <w:tr w:rsidR="0064760E" w:rsidRPr="0064760E" w:rsidTr="0064760E">
        <w:trPr>
          <w:trHeight w:val="300"/>
        </w:trPr>
        <w:tc>
          <w:tcPr>
            <w:tcW w:w="0" w:type="auto"/>
            <w:tcBorders>
              <w:top w:val="nil"/>
              <w:left w:val="nil"/>
              <w:bottom w:val="nil"/>
              <w:right w:val="nil"/>
            </w:tcBorders>
            <w:shd w:val="clear" w:color="auto" w:fill="auto"/>
            <w:noWrap/>
            <w:vAlign w:val="bottom"/>
            <w:hideMark/>
          </w:tcPr>
          <w:p w:rsidR="0064760E" w:rsidRPr="0064760E" w:rsidRDefault="0064760E" w:rsidP="0064760E">
            <w:pPr>
              <w:spacing w:after="0" w:line="240" w:lineRule="auto"/>
              <w:rPr>
                <w:rFonts w:ascii="Calibri" w:eastAsia="Times New Roman" w:hAnsi="Calibri" w:cs="Times New Roman"/>
                <w:color w:val="000000"/>
              </w:rPr>
            </w:pPr>
          </w:p>
        </w:tc>
        <w:tc>
          <w:tcPr>
            <w:tcW w:w="0" w:type="auto"/>
            <w:gridSpan w:val="7"/>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Score*</w:t>
            </w:r>
          </w:p>
        </w:tc>
      </w:tr>
      <w:tr w:rsidR="0064760E" w:rsidRPr="0064760E" w:rsidTr="0064760E">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Measure</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7</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r>
      <w:tr w:rsidR="0064760E" w:rsidRPr="0064760E" w:rsidTr="0064760E">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64760E" w:rsidRPr="0064760E" w:rsidRDefault="0064760E" w:rsidP="0064760E">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64760E" w:rsidRPr="0064760E" w:rsidRDefault="0064760E" w:rsidP="0064760E">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r>
    </w:tbl>
    <w:p w:rsidR="0029572F" w:rsidRPr="00850CB3" w:rsidRDefault="0029572F" w:rsidP="0064760E">
      <w:pPr>
        <w:spacing w:line="240" w:lineRule="auto"/>
        <w:rPr>
          <w:sz w:val="20"/>
          <w:szCs w:val="20"/>
        </w:rPr>
      </w:pPr>
      <w:r w:rsidRPr="00F52AE4">
        <w:rPr>
          <w:sz w:val="20"/>
          <w:szCs w:val="20"/>
          <w:u w:val="single"/>
        </w:rPr>
        <w:t>Median</w:t>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t xml:space="preserve">               </w:t>
      </w:r>
      <w:r w:rsidRPr="00F52AE4">
        <w:rPr>
          <w:sz w:val="20"/>
          <w:szCs w:val="20"/>
          <w:u w:val="single"/>
        </w:rPr>
        <w:t>Response Count</w:t>
      </w:r>
    </w:p>
    <w:p w:rsidR="0029572F" w:rsidRDefault="0064760E" w:rsidP="007D23EE">
      <w:pPr>
        <w:spacing w:line="240" w:lineRule="auto"/>
        <w:rPr>
          <w:i/>
          <w:sz w:val="20"/>
          <w:szCs w:val="20"/>
        </w:rPr>
      </w:pPr>
      <w:r>
        <w:rPr>
          <w:noProof/>
        </w:rPr>
        <w:drawing>
          <wp:anchor distT="0" distB="0" distL="114300" distR="114300" simplePos="0" relativeHeight="251654656" behindDoc="0" locked="0" layoutInCell="1" allowOverlap="1" wp14:anchorId="24E90FD2" wp14:editId="1C10B4B9">
            <wp:simplePos x="0" y="0"/>
            <wp:positionH relativeFrom="column">
              <wp:posOffset>0</wp:posOffset>
            </wp:positionH>
            <wp:positionV relativeFrom="paragraph">
              <wp:posOffset>161334</wp:posOffset>
            </wp:positionV>
            <wp:extent cx="3615070" cy="2211572"/>
            <wp:effectExtent l="0" t="0" r="4445"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rsidR="0029572F" w:rsidRDefault="0029572F" w:rsidP="007D23EE">
      <w:pPr>
        <w:spacing w:line="240" w:lineRule="auto"/>
        <w:rPr>
          <w:i/>
          <w:sz w:val="20"/>
          <w:szCs w:val="20"/>
        </w:rPr>
      </w:pPr>
    </w:p>
    <w:p w:rsidR="0029572F" w:rsidRDefault="0029572F" w:rsidP="007D23EE">
      <w:pPr>
        <w:spacing w:line="240" w:lineRule="auto"/>
        <w:rPr>
          <w:i/>
          <w:sz w:val="20"/>
          <w:szCs w:val="20"/>
        </w:rPr>
      </w:pPr>
    </w:p>
    <w:p w:rsidR="0029572F" w:rsidRPr="007D23EE" w:rsidRDefault="0029572F" w:rsidP="007D23EE">
      <w:pPr>
        <w:spacing w:line="240" w:lineRule="auto"/>
        <w:rPr>
          <w:i/>
          <w:sz w:val="20"/>
          <w:szCs w:val="20"/>
        </w:rPr>
      </w:pPr>
    </w:p>
    <w:p w:rsidR="0029572F" w:rsidRDefault="0029572F" w:rsidP="007D23EE">
      <w:pPr>
        <w:rPr>
          <w:sz w:val="16"/>
          <w:szCs w:val="16"/>
        </w:rPr>
      </w:pPr>
    </w:p>
    <w:p w:rsidR="0029572F" w:rsidRDefault="0029572F" w:rsidP="007D23EE">
      <w:pPr>
        <w:rPr>
          <w:sz w:val="16"/>
          <w:szCs w:val="16"/>
        </w:rPr>
      </w:pPr>
    </w:p>
    <w:p w:rsidR="0064760E" w:rsidRDefault="0064760E" w:rsidP="007D23EE">
      <w:pPr>
        <w:rPr>
          <w:sz w:val="16"/>
          <w:szCs w:val="16"/>
        </w:rPr>
      </w:pPr>
      <w:r>
        <w:rPr>
          <w:sz w:val="16"/>
          <w:szCs w:val="16"/>
        </w:rPr>
        <w:t xml:space="preserve">                                                                                                                             </w:t>
      </w:r>
    </w:p>
    <w:p w:rsidR="0064760E" w:rsidRDefault="0064760E" w:rsidP="007D23EE">
      <w:pPr>
        <w:rPr>
          <w:sz w:val="16"/>
          <w:szCs w:val="16"/>
        </w:rPr>
      </w:pPr>
    </w:p>
    <w:p w:rsidR="0064760E" w:rsidRDefault="0064760E" w:rsidP="0064760E">
      <w:pPr>
        <w:spacing w:after="0"/>
        <w:ind w:left="4320" w:firstLine="720"/>
        <w:rPr>
          <w:sz w:val="16"/>
          <w:szCs w:val="16"/>
        </w:rPr>
      </w:pPr>
    </w:p>
    <w:p w:rsidR="006715DC" w:rsidRDefault="006715DC" w:rsidP="006715DC">
      <w:pPr>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850CB3">
        <w:rPr>
          <w:sz w:val="16"/>
          <w:szCs w:val="16"/>
        </w:rPr>
        <w:t>*</w:t>
      </w:r>
      <w:proofErr w:type="gramStart"/>
      <w:r w:rsidRPr="00850CB3">
        <w:rPr>
          <w:sz w:val="16"/>
          <w:szCs w:val="16"/>
        </w:rPr>
        <w:t>(</w:t>
      </w:r>
      <w:r>
        <w:rPr>
          <w:sz w:val="16"/>
          <w:szCs w:val="16"/>
        </w:rPr>
        <w:t xml:space="preserve"> 7</w:t>
      </w:r>
      <w:proofErr w:type="gramEnd"/>
      <w:r>
        <w:rPr>
          <w:sz w:val="16"/>
          <w:szCs w:val="16"/>
        </w:rPr>
        <w:t xml:space="preserve"> –point </w:t>
      </w:r>
      <w:proofErr w:type="spellStart"/>
      <w:r>
        <w:rPr>
          <w:sz w:val="16"/>
          <w:szCs w:val="16"/>
        </w:rPr>
        <w:t>Likert</w:t>
      </w:r>
      <w:proofErr w:type="spellEnd"/>
      <w:r>
        <w:rPr>
          <w:sz w:val="16"/>
          <w:szCs w:val="16"/>
        </w:rPr>
        <w:t xml:space="preserve"> Scale; </w:t>
      </w:r>
      <w:r w:rsidRPr="00850CB3">
        <w:rPr>
          <w:sz w:val="16"/>
          <w:szCs w:val="16"/>
        </w:rPr>
        <w:t>1 = strongly disagree; 7 = strongly agree)</w:t>
      </w:r>
    </w:p>
    <w:p w:rsidR="0064760E" w:rsidRDefault="0064760E" w:rsidP="007D23EE">
      <w:pPr>
        <w:rPr>
          <w:sz w:val="16"/>
          <w:szCs w:val="16"/>
        </w:rPr>
      </w:pPr>
    </w:p>
    <w:p w:rsidR="0064760E" w:rsidRDefault="0064760E" w:rsidP="007D23EE">
      <w:pPr>
        <w:rPr>
          <w:sz w:val="16"/>
          <w:szCs w:val="16"/>
        </w:rPr>
      </w:pPr>
    </w:p>
    <w:p w:rsidR="0064760E" w:rsidRDefault="0064760E" w:rsidP="007D23EE">
      <w:pPr>
        <w:rPr>
          <w:sz w:val="16"/>
          <w:szCs w:val="16"/>
        </w:rPr>
      </w:pPr>
    </w:p>
    <w:p w:rsidR="0064760E" w:rsidRDefault="0064760E" w:rsidP="007D23EE">
      <w:pPr>
        <w:rPr>
          <w:sz w:val="16"/>
          <w:szCs w:val="16"/>
        </w:rPr>
      </w:pPr>
    </w:p>
    <w:p w:rsidR="00765E26" w:rsidRDefault="001D6BCA" w:rsidP="007D23EE">
      <w:pPr>
        <w:rPr>
          <w:sz w:val="20"/>
          <w:szCs w:val="20"/>
        </w:rPr>
      </w:pPr>
      <w:r>
        <w:rPr>
          <w:color w:val="1F497D" w:themeColor="text2"/>
          <w:sz w:val="20"/>
          <w:szCs w:val="20"/>
        </w:rPr>
        <w:t>Relevance</w:t>
      </w:r>
    </w:p>
    <w:p w:rsidR="0064760E" w:rsidRDefault="00765E26" w:rsidP="0064760E">
      <w:pPr>
        <w:spacing w:line="240" w:lineRule="auto"/>
        <w:rPr>
          <w:i/>
          <w:sz w:val="20"/>
          <w:szCs w:val="20"/>
        </w:rPr>
      </w:pPr>
      <w:r w:rsidRPr="007D23EE">
        <w:rPr>
          <w:i/>
          <w:sz w:val="20"/>
          <w:szCs w:val="20"/>
        </w:rPr>
        <w:t>Statement #</w:t>
      </w:r>
      <w:r>
        <w:rPr>
          <w:i/>
          <w:sz w:val="20"/>
          <w:szCs w:val="20"/>
        </w:rPr>
        <w:t>4</w:t>
      </w:r>
      <w:r w:rsidRPr="007D23EE">
        <w:rPr>
          <w:i/>
          <w:sz w:val="20"/>
          <w:szCs w:val="20"/>
        </w:rPr>
        <w:t xml:space="preserve">: </w:t>
      </w:r>
      <w:r w:rsidRPr="00765E26">
        <w:rPr>
          <w:i/>
          <w:sz w:val="20"/>
          <w:szCs w:val="20"/>
        </w:rPr>
        <w:t>Overall, I think this measure is relevant for assessing readiness for change in most health care organizational settings.</w:t>
      </w:r>
    </w:p>
    <w:p w:rsidR="006060D8" w:rsidRDefault="006060D8" w:rsidP="0064760E">
      <w:pPr>
        <w:spacing w:line="240" w:lineRule="auto"/>
        <w:rPr>
          <w:i/>
          <w:sz w:val="20"/>
          <w:szCs w:val="20"/>
        </w:rPr>
      </w:pPr>
      <w:r w:rsidRPr="00F52AE4">
        <w:rPr>
          <w:sz w:val="20"/>
          <w:szCs w:val="20"/>
          <w:u w:val="single"/>
        </w:rPr>
        <w:t>Median</w:t>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0064760E">
        <w:rPr>
          <w:sz w:val="20"/>
          <w:szCs w:val="20"/>
        </w:rPr>
        <w:tab/>
      </w:r>
      <w:r w:rsidRPr="00F52AE4">
        <w:rPr>
          <w:sz w:val="20"/>
          <w:szCs w:val="20"/>
          <w:u w:val="single"/>
        </w:rPr>
        <w:t>Response Count</w:t>
      </w:r>
    </w:p>
    <w:tbl>
      <w:tblPr>
        <w:tblpPr w:leftFromText="180" w:rightFromText="180" w:vertAnchor="page" w:horzAnchor="page" w:tblpX="7144" w:tblpY="2864"/>
        <w:tblW w:w="0" w:type="auto"/>
        <w:tblLook w:val="04A0" w:firstRow="1" w:lastRow="0" w:firstColumn="1" w:lastColumn="0" w:noHBand="0" w:noVBand="1"/>
      </w:tblPr>
      <w:tblGrid>
        <w:gridCol w:w="950"/>
        <w:gridCol w:w="318"/>
        <w:gridCol w:w="318"/>
        <w:gridCol w:w="318"/>
        <w:gridCol w:w="318"/>
        <w:gridCol w:w="318"/>
        <w:gridCol w:w="318"/>
        <w:gridCol w:w="318"/>
      </w:tblGrid>
      <w:tr w:rsidR="00433FAC" w:rsidRPr="0064760E" w:rsidTr="00433FAC">
        <w:trPr>
          <w:trHeight w:val="300"/>
        </w:trPr>
        <w:tc>
          <w:tcPr>
            <w:tcW w:w="0" w:type="auto"/>
            <w:tcBorders>
              <w:top w:val="nil"/>
              <w:left w:val="nil"/>
              <w:bottom w:val="nil"/>
              <w:right w:val="nil"/>
            </w:tcBorders>
            <w:shd w:val="clear" w:color="auto" w:fill="auto"/>
            <w:noWrap/>
            <w:vAlign w:val="bottom"/>
            <w:hideMark/>
          </w:tcPr>
          <w:p w:rsidR="00433FAC" w:rsidRPr="0064760E" w:rsidRDefault="00433FAC" w:rsidP="00433FAC">
            <w:pPr>
              <w:spacing w:after="0" w:line="240" w:lineRule="auto"/>
              <w:rPr>
                <w:rFonts w:ascii="Calibri" w:eastAsia="Times New Roman" w:hAnsi="Calibri" w:cs="Times New Roman"/>
                <w:color w:val="000000"/>
              </w:rPr>
            </w:pPr>
          </w:p>
        </w:tc>
        <w:tc>
          <w:tcPr>
            <w:tcW w:w="0" w:type="auto"/>
            <w:gridSpan w:val="7"/>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Score*</w:t>
            </w:r>
          </w:p>
        </w:tc>
      </w:tr>
      <w:tr w:rsidR="00433FAC" w:rsidRPr="0064760E" w:rsidTr="00433FAC">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Measure</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right"/>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7</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4</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r>
      <w:tr w:rsidR="00433FAC" w:rsidRPr="0064760E" w:rsidTr="00433FAC">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433FAC" w:rsidRPr="0064760E" w:rsidRDefault="00433FAC" w:rsidP="00433FAC">
            <w:pPr>
              <w:spacing w:after="0" w:line="240" w:lineRule="auto"/>
              <w:jc w:val="center"/>
              <w:rPr>
                <w:rFonts w:ascii="Calibri" w:eastAsia="Times New Roman" w:hAnsi="Calibri" w:cs="Times New Roman"/>
                <w:b/>
                <w:bCs/>
                <w:color w:val="000000"/>
                <w:sz w:val="20"/>
                <w:szCs w:val="20"/>
              </w:rPr>
            </w:pPr>
            <w:r w:rsidRPr="0064760E">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433FAC" w:rsidRPr="0064760E" w:rsidRDefault="00433FAC" w:rsidP="00433FAC">
            <w:pPr>
              <w:spacing w:after="0" w:line="240" w:lineRule="auto"/>
              <w:jc w:val="center"/>
              <w:rPr>
                <w:rFonts w:ascii="Calibri" w:eastAsia="Times New Roman" w:hAnsi="Calibri" w:cs="Times New Roman"/>
                <w:color w:val="000000"/>
                <w:sz w:val="20"/>
                <w:szCs w:val="20"/>
              </w:rPr>
            </w:pPr>
            <w:r w:rsidRPr="0064760E">
              <w:rPr>
                <w:rFonts w:ascii="Calibri" w:eastAsia="Times New Roman" w:hAnsi="Calibri" w:cs="Times New Roman"/>
                <w:color w:val="000000"/>
                <w:sz w:val="20"/>
                <w:szCs w:val="20"/>
              </w:rPr>
              <w:t>1</w:t>
            </w:r>
          </w:p>
        </w:tc>
      </w:tr>
    </w:tbl>
    <w:p w:rsidR="0064760E" w:rsidRDefault="0064760E" w:rsidP="00765E26">
      <w:pPr>
        <w:spacing w:line="240" w:lineRule="auto"/>
        <w:rPr>
          <w:i/>
          <w:sz w:val="20"/>
          <w:szCs w:val="20"/>
        </w:rPr>
      </w:pPr>
      <w:r>
        <w:rPr>
          <w:noProof/>
        </w:rPr>
        <w:drawing>
          <wp:anchor distT="0" distB="0" distL="114300" distR="114300" simplePos="0" relativeHeight="251658752" behindDoc="0" locked="0" layoutInCell="1" allowOverlap="1" wp14:anchorId="47F1D0FB" wp14:editId="22EB1ABB">
            <wp:simplePos x="0" y="0"/>
            <wp:positionH relativeFrom="column">
              <wp:posOffset>-31899</wp:posOffset>
            </wp:positionH>
            <wp:positionV relativeFrom="paragraph">
              <wp:posOffset>200511</wp:posOffset>
            </wp:positionV>
            <wp:extent cx="3742661" cy="2179675"/>
            <wp:effectExtent l="0" t="0" r="0" b="0"/>
            <wp:wrapNone/>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64760E" w:rsidRDefault="0064760E" w:rsidP="00765E26">
      <w:pPr>
        <w:spacing w:line="240" w:lineRule="auto"/>
        <w:rPr>
          <w:i/>
          <w:sz w:val="20"/>
          <w:szCs w:val="20"/>
        </w:rPr>
      </w:pPr>
    </w:p>
    <w:p w:rsidR="0064760E" w:rsidRDefault="0064760E" w:rsidP="00765E26">
      <w:pPr>
        <w:spacing w:line="240" w:lineRule="auto"/>
        <w:rPr>
          <w:i/>
          <w:sz w:val="20"/>
          <w:szCs w:val="20"/>
        </w:rPr>
      </w:pPr>
    </w:p>
    <w:p w:rsidR="0064760E" w:rsidRDefault="0064760E" w:rsidP="00765E26">
      <w:pPr>
        <w:spacing w:line="240" w:lineRule="auto"/>
        <w:rPr>
          <w:i/>
          <w:sz w:val="20"/>
          <w:szCs w:val="20"/>
        </w:rPr>
      </w:pPr>
    </w:p>
    <w:p w:rsidR="0064760E" w:rsidRDefault="0064760E" w:rsidP="00765E26">
      <w:pPr>
        <w:spacing w:line="240" w:lineRule="auto"/>
        <w:rPr>
          <w:i/>
          <w:sz w:val="20"/>
          <w:szCs w:val="20"/>
        </w:rPr>
      </w:pPr>
    </w:p>
    <w:p w:rsidR="0064760E" w:rsidRDefault="0064760E" w:rsidP="00765E26">
      <w:pPr>
        <w:spacing w:line="240" w:lineRule="auto"/>
        <w:rPr>
          <w:i/>
          <w:sz w:val="20"/>
          <w:szCs w:val="20"/>
        </w:rPr>
      </w:pPr>
    </w:p>
    <w:p w:rsidR="006060D8" w:rsidRDefault="006060D8" w:rsidP="00765E26">
      <w:pPr>
        <w:spacing w:line="240" w:lineRule="auto"/>
        <w:rPr>
          <w:i/>
          <w:sz w:val="20"/>
          <w:szCs w:val="20"/>
        </w:rPr>
      </w:pPr>
    </w:p>
    <w:p w:rsidR="006060D8" w:rsidRPr="007D23EE" w:rsidRDefault="006060D8" w:rsidP="00765E26">
      <w:pPr>
        <w:spacing w:line="240" w:lineRule="auto"/>
        <w:rPr>
          <w:i/>
          <w:sz w:val="20"/>
          <w:szCs w:val="20"/>
        </w:rPr>
      </w:pPr>
    </w:p>
    <w:p w:rsidR="00284E71" w:rsidRDefault="00284E71" w:rsidP="00284E71">
      <w:pPr>
        <w:ind w:left="5760" w:firstLine="720"/>
        <w:rPr>
          <w:sz w:val="16"/>
          <w:szCs w:val="16"/>
        </w:rPr>
      </w:pPr>
      <w:r>
        <w:rPr>
          <w:sz w:val="16"/>
          <w:szCs w:val="16"/>
        </w:rPr>
        <w:t xml:space="preserve">   </w:t>
      </w:r>
    </w:p>
    <w:p w:rsidR="006715DC" w:rsidRDefault="006715DC" w:rsidP="006715DC">
      <w:pPr>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850CB3">
        <w:rPr>
          <w:sz w:val="16"/>
          <w:szCs w:val="16"/>
        </w:rPr>
        <w:t>*</w:t>
      </w:r>
      <w:proofErr w:type="gramStart"/>
      <w:r w:rsidRPr="00850CB3">
        <w:rPr>
          <w:sz w:val="16"/>
          <w:szCs w:val="16"/>
        </w:rPr>
        <w:t>(</w:t>
      </w:r>
      <w:r>
        <w:rPr>
          <w:sz w:val="16"/>
          <w:szCs w:val="16"/>
        </w:rPr>
        <w:t xml:space="preserve"> 7</w:t>
      </w:r>
      <w:proofErr w:type="gramEnd"/>
      <w:r>
        <w:rPr>
          <w:sz w:val="16"/>
          <w:szCs w:val="16"/>
        </w:rPr>
        <w:t xml:space="preserve"> –point </w:t>
      </w:r>
      <w:proofErr w:type="spellStart"/>
      <w:r>
        <w:rPr>
          <w:sz w:val="16"/>
          <w:szCs w:val="16"/>
        </w:rPr>
        <w:t>Likert</w:t>
      </w:r>
      <w:proofErr w:type="spellEnd"/>
      <w:r>
        <w:rPr>
          <w:sz w:val="16"/>
          <w:szCs w:val="16"/>
        </w:rPr>
        <w:t xml:space="preserve"> Scale; </w:t>
      </w:r>
      <w:r w:rsidRPr="00850CB3">
        <w:rPr>
          <w:sz w:val="16"/>
          <w:szCs w:val="16"/>
        </w:rPr>
        <w:t>1 = strongly disagree; 7 = strongly agree)</w:t>
      </w:r>
    </w:p>
    <w:p w:rsidR="006060D8" w:rsidRDefault="006060D8" w:rsidP="00765E26">
      <w:pPr>
        <w:rPr>
          <w:sz w:val="16"/>
          <w:szCs w:val="16"/>
        </w:rPr>
      </w:pPr>
    </w:p>
    <w:p w:rsidR="006060D8" w:rsidRDefault="006060D8" w:rsidP="00765E26">
      <w:pPr>
        <w:rPr>
          <w:sz w:val="16"/>
          <w:szCs w:val="16"/>
        </w:rPr>
      </w:pPr>
    </w:p>
    <w:p w:rsidR="00765E26" w:rsidRPr="006060D8" w:rsidRDefault="00765E26" w:rsidP="006060D8">
      <w:pPr>
        <w:rPr>
          <w:sz w:val="16"/>
          <w:szCs w:val="16"/>
        </w:rPr>
      </w:pPr>
    </w:p>
    <w:p w:rsidR="001D6BCA" w:rsidRDefault="001D6BCA" w:rsidP="001D6BCA">
      <w:pPr>
        <w:rPr>
          <w:color w:val="1F497D" w:themeColor="text2"/>
          <w:sz w:val="20"/>
          <w:szCs w:val="20"/>
        </w:rPr>
      </w:pPr>
      <w:r>
        <w:rPr>
          <w:color w:val="1F497D" w:themeColor="text2"/>
          <w:sz w:val="20"/>
          <w:szCs w:val="20"/>
        </w:rPr>
        <w:t>Promoter Score (i.e. likelihood to recommend)</w:t>
      </w:r>
    </w:p>
    <w:p w:rsidR="00091D23" w:rsidRDefault="00091D23" w:rsidP="00091D23">
      <w:pPr>
        <w:spacing w:line="240" w:lineRule="auto"/>
        <w:rPr>
          <w:i/>
          <w:sz w:val="20"/>
          <w:szCs w:val="20"/>
        </w:rPr>
      </w:pPr>
      <w:r w:rsidRPr="009529AF">
        <w:rPr>
          <w:i/>
          <w:sz w:val="20"/>
          <w:szCs w:val="20"/>
        </w:rPr>
        <w:t>Likelihood you would recommend each measure (e.g., to a colleague or other organization interested in readiness assessment measures).</w:t>
      </w:r>
    </w:p>
    <w:p w:rsidR="000456A6" w:rsidRDefault="000456A6" w:rsidP="00284E71">
      <w:pPr>
        <w:spacing w:line="240" w:lineRule="auto"/>
        <w:rPr>
          <w:i/>
          <w:sz w:val="20"/>
          <w:szCs w:val="20"/>
        </w:rPr>
      </w:pPr>
      <w:r w:rsidRPr="00F52AE4">
        <w:rPr>
          <w:sz w:val="20"/>
          <w:szCs w:val="20"/>
          <w:u w:val="single"/>
        </w:rPr>
        <w:t>Median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84E71">
        <w:rPr>
          <w:sz w:val="20"/>
          <w:szCs w:val="20"/>
        </w:rPr>
        <w:tab/>
      </w:r>
      <w:r w:rsidR="00284E71">
        <w:rPr>
          <w:sz w:val="20"/>
          <w:szCs w:val="20"/>
        </w:rPr>
        <w:tab/>
      </w:r>
      <w:r w:rsidRPr="00F52AE4">
        <w:rPr>
          <w:sz w:val="20"/>
          <w:szCs w:val="20"/>
          <w:u w:val="single"/>
        </w:rPr>
        <w:t>Response Count</w:t>
      </w:r>
    </w:p>
    <w:tbl>
      <w:tblPr>
        <w:tblpPr w:leftFromText="180" w:rightFromText="180" w:vertAnchor="text" w:horzAnchor="margin" w:tblpXSpec="right" w:tblpY="106"/>
        <w:tblW w:w="0" w:type="auto"/>
        <w:tblLook w:val="04A0" w:firstRow="1" w:lastRow="0" w:firstColumn="1" w:lastColumn="0" w:noHBand="0" w:noVBand="1"/>
      </w:tblPr>
      <w:tblGrid>
        <w:gridCol w:w="950"/>
        <w:gridCol w:w="318"/>
        <w:gridCol w:w="318"/>
        <w:gridCol w:w="318"/>
        <w:gridCol w:w="318"/>
        <w:gridCol w:w="318"/>
        <w:gridCol w:w="318"/>
        <w:gridCol w:w="318"/>
        <w:gridCol w:w="318"/>
        <w:gridCol w:w="318"/>
        <w:gridCol w:w="318"/>
        <w:gridCol w:w="419"/>
      </w:tblGrid>
      <w:tr w:rsidR="00284E71" w:rsidRPr="00284E71" w:rsidTr="00284E71">
        <w:trPr>
          <w:trHeight w:val="300"/>
        </w:trPr>
        <w:tc>
          <w:tcPr>
            <w:tcW w:w="0" w:type="auto"/>
            <w:tcBorders>
              <w:top w:val="nil"/>
              <w:left w:val="nil"/>
              <w:bottom w:val="nil"/>
              <w:right w:val="nil"/>
            </w:tcBorders>
            <w:shd w:val="clear" w:color="auto" w:fill="auto"/>
            <w:noWrap/>
            <w:vAlign w:val="bottom"/>
            <w:hideMark/>
          </w:tcPr>
          <w:p w:rsidR="00284E71" w:rsidRPr="00284E71" w:rsidRDefault="00284E71" w:rsidP="00284E71">
            <w:pPr>
              <w:spacing w:after="0" w:line="240" w:lineRule="auto"/>
              <w:rPr>
                <w:rFonts w:ascii="Calibri" w:eastAsia="Times New Roman" w:hAnsi="Calibri" w:cs="Times New Roman"/>
                <w:color w:val="000000"/>
              </w:rPr>
            </w:pPr>
          </w:p>
        </w:tc>
        <w:tc>
          <w:tcPr>
            <w:tcW w:w="0" w:type="auto"/>
            <w:gridSpan w:val="11"/>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Score*</w:t>
            </w:r>
          </w:p>
        </w:tc>
      </w:tr>
      <w:tr w:rsidR="00284E71" w:rsidRPr="00284E71" w:rsidTr="00284E71">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Measure</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0</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10</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r>
      <w:tr w:rsidR="00284E71" w:rsidRPr="00284E71" w:rsidTr="00284E71">
        <w:trPr>
          <w:trHeight w:val="300"/>
        </w:trPr>
        <w:tc>
          <w:tcPr>
            <w:tcW w:w="0" w:type="auto"/>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r>
    </w:tbl>
    <w:p w:rsidR="00284E71" w:rsidRDefault="00284E71" w:rsidP="00091D23">
      <w:pPr>
        <w:spacing w:line="240" w:lineRule="auto"/>
        <w:rPr>
          <w:i/>
          <w:sz w:val="20"/>
          <w:szCs w:val="20"/>
        </w:rPr>
      </w:pPr>
      <w:r>
        <w:rPr>
          <w:noProof/>
        </w:rPr>
        <w:drawing>
          <wp:anchor distT="0" distB="0" distL="114300" distR="114300" simplePos="0" relativeHeight="251663872" behindDoc="0" locked="0" layoutInCell="1" allowOverlap="1" wp14:anchorId="306D40D7" wp14:editId="6A5D47D4">
            <wp:simplePos x="0" y="0"/>
            <wp:positionH relativeFrom="column">
              <wp:posOffset>-31898</wp:posOffset>
            </wp:positionH>
            <wp:positionV relativeFrom="paragraph">
              <wp:posOffset>183382</wp:posOffset>
            </wp:positionV>
            <wp:extent cx="3689498" cy="2158409"/>
            <wp:effectExtent l="0" t="0" r="6350" b="0"/>
            <wp:wrapNone/>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6060D8" w:rsidRDefault="006060D8" w:rsidP="00091D23">
      <w:pPr>
        <w:spacing w:line="240" w:lineRule="auto"/>
        <w:rPr>
          <w:i/>
          <w:sz w:val="20"/>
          <w:szCs w:val="20"/>
        </w:rPr>
      </w:pPr>
    </w:p>
    <w:p w:rsidR="006060D8" w:rsidRPr="009529AF" w:rsidRDefault="006060D8" w:rsidP="00091D23">
      <w:pPr>
        <w:spacing w:line="240" w:lineRule="auto"/>
        <w:rPr>
          <w:i/>
          <w:sz w:val="20"/>
          <w:szCs w:val="20"/>
        </w:rPr>
      </w:pPr>
    </w:p>
    <w:p w:rsidR="001D6BCA" w:rsidRPr="006060D8" w:rsidRDefault="009529AF" w:rsidP="009529AF">
      <w:pPr>
        <w:rPr>
          <w:sz w:val="16"/>
          <w:szCs w:val="16"/>
        </w:rPr>
      </w:pPr>
      <w:r w:rsidRPr="006060D8">
        <w:rPr>
          <w:sz w:val="16"/>
          <w:szCs w:val="16"/>
        </w:rPr>
        <w:t>*(0 = not at all likely; 10 = extremely likely)</w:t>
      </w:r>
    </w:p>
    <w:p w:rsidR="000456A6" w:rsidRDefault="000456A6" w:rsidP="009529AF">
      <w:pPr>
        <w:rPr>
          <w:color w:val="1F497D" w:themeColor="text2"/>
          <w:sz w:val="20"/>
          <w:szCs w:val="20"/>
        </w:rPr>
      </w:pPr>
    </w:p>
    <w:p w:rsidR="000456A6" w:rsidRDefault="000456A6" w:rsidP="009529AF">
      <w:pPr>
        <w:rPr>
          <w:color w:val="1F497D" w:themeColor="text2"/>
          <w:sz w:val="20"/>
          <w:szCs w:val="20"/>
        </w:rPr>
      </w:pPr>
    </w:p>
    <w:p w:rsidR="000456A6" w:rsidRDefault="000456A6" w:rsidP="009529AF">
      <w:pPr>
        <w:rPr>
          <w:color w:val="1F497D" w:themeColor="text2"/>
          <w:sz w:val="20"/>
          <w:szCs w:val="20"/>
        </w:rPr>
      </w:pPr>
    </w:p>
    <w:p w:rsidR="00284E71" w:rsidRDefault="00284E71" w:rsidP="009529AF">
      <w:pPr>
        <w:rPr>
          <w:color w:val="1F497D" w:themeColor="text2"/>
          <w:sz w:val="20"/>
          <w:szCs w:val="20"/>
        </w:rPr>
      </w:pPr>
    </w:p>
    <w:p w:rsidR="00284E71" w:rsidRPr="000456A6" w:rsidRDefault="00284E71" w:rsidP="00284E71">
      <w:pPr>
        <w:ind w:left="5040"/>
        <w:rPr>
          <w:sz w:val="16"/>
          <w:szCs w:val="16"/>
        </w:rPr>
      </w:pPr>
      <w:r>
        <w:rPr>
          <w:color w:val="1F497D" w:themeColor="text2"/>
          <w:sz w:val="20"/>
          <w:szCs w:val="20"/>
        </w:rPr>
        <w:tab/>
      </w:r>
      <w:r>
        <w:rPr>
          <w:color w:val="1F497D" w:themeColor="text2"/>
          <w:sz w:val="20"/>
          <w:szCs w:val="20"/>
        </w:rPr>
        <w:tab/>
      </w:r>
      <w:r>
        <w:rPr>
          <w:sz w:val="16"/>
          <w:szCs w:val="16"/>
        </w:rPr>
        <w:t>*</w:t>
      </w:r>
      <w:r w:rsidRPr="000456A6">
        <w:rPr>
          <w:sz w:val="16"/>
          <w:szCs w:val="16"/>
        </w:rPr>
        <w:t>(</w:t>
      </w:r>
      <w:r w:rsidR="006715DC">
        <w:rPr>
          <w:sz w:val="16"/>
          <w:szCs w:val="16"/>
        </w:rPr>
        <w:t xml:space="preserve">11- point </w:t>
      </w:r>
      <w:proofErr w:type="spellStart"/>
      <w:r w:rsidR="006715DC">
        <w:rPr>
          <w:sz w:val="16"/>
          <w:szCs w:val="16"/>
        </w:rPr>
        <w:t>Likert</w:t>
      </w:r>
      <w:proofErr w:type="spellEnd"/>
      <w:r w:rsidR="006715DC">
        <w:rPr>
          <w:sz w:val="16"/>
          <w:szCs w:val="16"/>
        </w:rPr>
        <w:t xml:space="preserve"> Scale; </w:t>
      </w:r>
      <w:r w:rsidRPr="000456A6">
        <w:rPr>
          <w:sz w:val="16"/>
          <w:szCs w:val="16"/>
        </w:rPr>
        <w:t>0 = not at all likely; 10 = extremely likely)</w:t>
      </w:r>
    </w:p>
    <w:p w:rsidR="00284E71" w:rsidRDefault="00284E71" w:rsidP="009529AF">
      <w:pPr>
        <w:rPr>
          <w:color w:val="1F497D" w:themeColor="text2"/>
          <w:sz w:val="20"/>
          <w:szCs w:val="20"/>
        </w:rPr>
      </w:pPr>
    </w:p>
    <w:p w:rsidR="00FA0380" w:rsidRDefault="00FA0380" w:rsidP="009529AF">
      <w:pPr>
        <w:rPr>
          <w:color w:val="1F497D" w:themeColor="text2"/>
          <w:sz w:val="20"/>
          <w:szCs w:val="20"/>
        </w:rPr>
      </w:pPr>
    </w:p>
    <w:p w:rsidR="009529AF" w:rsidRDefault="00091D23" w:rsidP="009529AF">
      <w:pPr>
        <w:rPr>
          <w:color w:val="1F497D" w:themeColor="text2"/>
          <w:sz w:val="20"/>
          <w:szCs w:val="20"/>
        </w:rPr>
      </w:pPr>
      <w:r>
        <w:rPr>
          <w:color w:val="1F497D" w:themeColor="text2"/>
          <w:sz w:val="20"/>
          <w:szCs w:val="20"/>
        </w:rPr>
        <w:t>Accessibility</w:t>
      </w:r>
      <w:r w:rsidR="009529AF">
        <w:rPr>
          <w:color w:val="1F497D" w:themeColor="text2"/>
          <w:sz w:val="20"/>
          <w:szCs w:val="20"/>
        </w:rPr>
        <w:t xml:space="preserve"> Score (i.e. </w:t>
      </w:r>
      <w:r>
        <w:rPr>
          <w:color w:val="1F497D" w:themeColor="text2"/>
          <w:sz w:val="20"/>
          <w:szCs w:val="20"/>
        </w:rPr>
        <w:t>l</w:t>
      </w:r>
      <w:r w:rsidR="009529AF">
        <w:rPr>
          <w:color w:val="1F497D" w:themeColor="text2"/>
          <w:sz w:val="20"/>
          <w:szCs w:val="20"/>
        </w:rPr>
        <w:t xml:space="preserve">ikelihood to </w:t>
      </w:r>
      <w:r>
        <w:rPr>
          <w:color w:val="1F497D" w:themeColor="text2"/>
          <w:sz w:val="20"/>
          <w:szCs w:val="20"/>
        </w:rPr>
        <w:t>access measure</w:t>
      </w:r>
      <w:r w:rsidR="009529AF">
        <w:rPr>
          <w:color w:val="1F497D" w:themeColor="text2"/>
          <w:sz w:val="20"/>
          <w:szCs w:val="20"/>
        </w:rPr>
        <w:t>)</w:t>
      </w:r>
    </w:p>
    <w:p w:rsidR="009529AF" w:rsidRDefault="00091D23" w:rsidP="009529AF">
      <w:pPr>
        <w:spacing w:line="240" w:lineRule="auto"/>
        <w:rPr>
          <w:i/>
          <w:sz w:val="20"/>
          <w:szCs w:val="20"/>
        </w:rPr>
      </w:pPr>
      <w:proofErr w:type="gramStart"/>
      <w:r>
        <w:rPr>
          <w:i/>
          <w:sz w:val="20"/>
          <w:szCs w:val="20"/>
        </w:rPr>
        <w:t>L</w:t>
      </w:r>
      <w:r w:rsidRPr="00091D23">
        <w:rPr>
          <w:i/>
          <w:sz w:val="20"/>
          <w:szCs w:val="20"/>
        </w:rPr>
        <w:t xml:space="preserve">ikelihood that you would access a </w:t>
      </w:r>
      <w:r w:rsidR="00BB53A8">
        <w:rPr>
          <w:i/>
          <w:sz w:val="20"/>
          <w:szCs w:val="20"/>
        </w:rPr>
        <w:t xml:space="preserve">(hypothetical) </w:t>
      </w:r>
      <w:r w:rsidRPr="00091D23">
        <w:rPr>
          <w:i/>
          <w:sz w:val="20"/>
          <w:szCs w:val="20"/>
        </w:rPr>
        <w:t>measure based on each of the four scenarios below</w:t>
      </w:r>
      <w:r w:rsidR="009529AF" w:rsidRPr="009529AF">
        <w:rPr>
          <w:i/>
          <w:sz w:val="20"/>
          <w:szCs w:val="20"/>
        </w:rPr>
        <w:t>.</w:t>
      </w:r>
      <w:proofErr w:type="gramEnd"/>
    </w:p>
    <w:p w:rsidR="000456A6" w:rsidRPr="000456A6" w:rsidRDefault="000456A6" w:rsidP="000456A6">
      <w:pPr>
        <w:rPr>
          <w:sz w:val="20"/>
          <w:szCs w:val="20"/>
          <w:u w:val="single"/>
        </w:rPr>
      </w:pPr>
      <w:r w:rsidRPr="000456A6">
        <w:rPr>
          <w:sz w:val="20"/>
          <w:szCs w:val="20"/>
          <w:u w:val="single"/>
        </w:rPr>
        <w:t>Median</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F7A7A">
        <w:rPr>
          <w:sz w:val="20"/>
          <w:szCs w:val="20"/>
        </w:rPr>
        <w:tab/>
      </w:r>
      <w:r w:rsidR="00284E71">
        <w:rPr>
          <w:sz w:val="20"/>
          <w:szCs w:val="20"/>
        </w:rPr>
        <w:t xml:space="preserve">    </w:t>
      </w:r>
      <w:r w:rsidR="00284E71">
        <w:rPr>
          <w:sz w:val="20"/>
          <w:szCs w:val="20"/>
        </w:rPr>
        <w:tab/>
        <w:t xml:space="preserve">    </w:t>
      </w:r>
      <w:r w:rsidRPr="000456A6">
        <w:rPr>
          <w:sz w:val="20"/>
          <w:szCs w:val="20"/>
          <w:u w:val="single"/>
        </w:rPr>
        <w:t>Response Count</w:t>
      </w:r>
    </w:p>
    <w:tbl>
      <w:tblPr>
        <w:tblW w:w="0" w:type="auto"/>
        <w:tblInd w:w="5826" w:type="dxa"/>
        <w:tblLook w:val="04A0" w:firstRow="1" w:lastRow="0" w:firstColumn="1" w:lastColumn="0" w:noHBand="0" w:noVBand="1"/>
      </w:tblPr>
      <w:tblGrid>
        <w:gridCol w:w="1414"/>
        <w:gridCol w:w="318"/>
        <w:gridCol w:w="318"/>
        <w:gridCol w:w="318"/>
        <w:gridCol w:w="318"/>
        <w:gridCol w:w="318"/>
        <w:gridCol w:w="318"/>
        <w:gridCol w:w="318"/>
        <w:gridCol w:w="318"/>
        <w:gridCol w:w="318"/>
        <w:gridCol w:w="318"/>
        <w:gridCol w:w="419"/>
      </w:tblGrid>
      <w:tr w:rsidR="00284E71" w:rsidRPr="00284E71" w:rsidTr="00284E71">
        <w:trPr>
          <w:trHeight w:val="300"/>
        </w:trPr>
        <w:tc>
          <w:tcPr>
            <w:tcW w:w="1414" w:type="dxa"/>
            <w:tcBorders>
              <w:top w:val="nil"/>
              <w:left w:val="nil"/>
              <w:bottom w:val="nil"/>
              <w:right w:val="nil"/>
            </w:tcBorders>
            <w:shd w:val="clear" w:color="auto" w:fill="auto"/>
            <w:noWrap/>
            <w:vAlign w:val="bottom"/>
            <w:hideMark/>
          </w:tcPr>
          <w:p w:rsidR="00284E71" w:rsidRPr="00284E71" w:rsidRDefault="00284E71" w:rsidP="00284E71">
            <w:pPr>
              <w:spacing w:after="0" w:line="240" w:lineRule="auto"/>
              <w:rPr>
                <w:rFonts w:ascii="Calibri" w:eastAsia="Times New Roman" w:hAnsi="Calibri" w:cs="Times New Roman"/>
                <w:color w:val="000000"/>
              </w:rPr>
            </w:pPr>
          </w:p>
        </w:tc>
        <w:tc>
          <w:tcPr>
            <w:tcW w:w="0" w:type="auto"/>
            <w:gridSpan w:val="11"/>
            <w:tcBorders>
              <w:top w:val="single" w:sz="4" w:space="0" w:color="auto"/>
              <w:left w:val="single" w:sz="4" w:space="0" w:color="auto"/>
              <w:bottom w:val="single" w:sz="4" w:space="0" w:color="auto"/>
              <w:right w:val="single" w:sz="4" w:space="0" w:color="auto"/>
            </w:tcBorders>
            <w:shd w:val="clear" w:color="000000" w:fill="D8E4BC"/>
            <w:noWrap/>
            <w:vAlign w:val="bottom"/>
            <w:hideMark/>
          </w:tcPr>
          <w:p w:rsidR="00284E71" w:rsidRPr="00284E71" w:rsidRDefault="00284E71" w:rsidP="00284E71">
            <w:pPr>
              <w:spacing w:after="0" w:line="240" w:lineRule="auto"/>
              <w:jc w:val="center"/>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Score*</w:t>
            </w:r>
          </w:p>
        </w:tc>
      </w:tr>
      <w:tr w:rsidR="00284E71" w:rsidRPr="00284E71" w:rsidTr="00284E71">
        <w:trPr>
          <w:trHeight w:val="300"/>
        </w:trPr>
        <w:tc>
          <w:tcPr>
            <w:tcW w:w="1414" w:type="dxa"/>
            <w:tcBorders>
              <w:top w:val="single" w:sz="4" w:space="0" w:color="auto"/>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rPr>
                <w:rFonts w:ascii="Calibri" w:eastAsia="Times New Roman" w:hAnsi="Calibri" w:cs="Times New Roman"/>
                <w:b/>
                <w:bCs/>
                <w:color w:val="000000"/>
                <w:sz w:val="20"/>
                <w:szCs w:val="20"/>
              </w:rPr>
            </w:pPr>
            <w:r>
              <w:rPr>
                <w:noProof/>
              </w:rPr>
              <w:drawing>
                <wp:anchor distT="0" distB="0" distL="114300" distR="114300" simplePos="0" relativeHeight="251663360" behindDoc="0" locked="0" layoutInCell="1" allowOverlap="1" wp14:anchorId="2648ABE4" wp14:editId="4CF70C24">
                  <wp:simplePos x="0" y="0"/>
                  <wp:positionH relativeFrom="column">
                    <wp:posOffset>-3804285</wp:posOffset>
                  </wp:positionH>
                  <wp:positionV relativeFrom="paragraph">
                    <wp:posOffset>-7620</wp:posOffset>
                  </wp:positionV>
                  <wp:extent cx="3263900" cy="3200400"/>
                  <wp:effectExtent l="0" t="0" r="0" b="0"/>
                  <wp:wrapNone/>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Pr="00284E71">
              <w:rPr>
                <w:rFonts w:ascii="Calibri" w:eastAsia="Times New Roman" w:hAnsi="Calibri" w:cs="Times New Roman"/>
                <w:b/>
                <w:bCs/>
                <w:color w:val="000000"/>
                <w:sz w:val="20"/>
                <w:szCs w:val="20"/>
              </w:rPr>
              <w:t>Scenario</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0</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1</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2</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3</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4</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5</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6</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7</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8</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9</w:t>
            </w:r>
          </w:p>
        </w:tc>
        <w:tc>
          <w:tcPr>
            <w:tcW w:w="0" w:type="auto"/>
            <w:tcBorders>
              <w:top w:val="nil"/>
              <w:left w:val="nil"/>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jc w:val="right"/>
              <w:rPr>
                <w:rFonts w:ascii="Calibri" w:eastAsia="Times New Roman" w:hAnsi="Calibri" w:cs="Times New Roman"/>
                <w:b/>
                <w:bCs/>
                <w:color w:val="000000"/>
                <w:sz w:val="20"/>
                <w:szCs w:val="20"/>
              </w:rPr>
            </w:pPr>
            <w:r w:rsidRPr="00284E71">
              <w:rPr>
                <w:rFonts w:ascii="Calibri" w:eastAsia="Times New Roman" w:hAnsi="Calibri" w:cs="Times New Roman"/>
                <w:b/>
                <w:bCs/>
                <w:color w:val="000000"/>
                <w:sz w:val="20"/>
                <w:szCs w:val="20"/>
              </w:rPr>
              <w:t>10</w:t>
            </w:r>
          </w:p>
        </w:tc>
      </w:tr>
      <w:tr w:rsidR="00284E71" w:rsidRPr="00284E71" w:rsidTr="00284E71">
        <w:trPr>
          <w:trHeight w:val="449"/>
        </w:trPr>
        <w:tc>
          <w:tcPr>
            <w:tcW w:w="1414" w:type="dxa"/>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rPr>
                <w:rFonts w:ascii="Calibri" w:eastAsia="Times New Roman" w:hAnsi="Calibri" w:cs="Times New Roman"/>
                <w:b/>
                <w:bCs/>
                <w:color w:val="000000"/>
                <w:sz w:val="16"/>
                <w:szCs w:val="16"/>
              </w:rPr>
            </w:pPr>
            <w:r w:rsidRPr="00284E71">
              <w:rPr>
                <w:rFonts w:ascii="Calibri" w:eastAsia="Times New Roman" w:hAnsi="Calibri" w:cs="Times New Roman"/>
                <w:b/>
                <w:bCs/>
                <w:color w:val="000000"/>
                <w:sz w:val="16"/>
                <w:szCs w:val="16"/>
              </w:rPr>
              <w:t>If there was a cost associated with the measure (i.e., for purchase).</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r>
      <w:tr w:rsidR="00284E71" w:rsidRPr="00284E71" w:rsidTr="00284E71">
        <w:trPr>
          <w:trHeight w:val="674"/>
        </w:trPr>
        <w:tc>
          <w:tcPr>
            <w:tcW w:w="1414" w:type="dxa"/>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rPr>
                <w:rFonts w:ascii="Calibri" w:eastAsia="Times New Roman" w:hAnsi="Calibri" w:cs="Times New Roman"/>
                <w:b/>
                <w:bCs/>
                <w:color w:val="000000"/>
                <w:sz w:val="16"/>
                <w:szCs w:val="16"/>
              </w:rPr>
            </w:pPr>
            <w:r w:rsidRPr="00284E71">
              <w:rPr>
                <w:rFonts w:ascii="Calibri" w:eastAsia="Times New Roman" w:hAnsi="Calibri" w:cs="Times New Roman"/>
                <w:b/>
                <w:bCs/>
                <w:color w:val="000000"/>
                <w:sz w:val="16"/>
                <w:szCs w:val="16"/>
              </w:rPr>
              <w:t>If the measure was embedded in an article (e.g., as an appendix, in a table).</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4</w:t>
            </w:r>
          </w:p>
        </w:tc>
      </w:tr>
      <w:tr w:rsidR="00284E71" w:rsidRPr="00284E71" w:rsidTr="00284E71">
        <w:trPr>
          <w:trHeight w:val="864"/>
        </w:trPr>
        <w:tc>
          <w:tcPr>
            <w:tcW w:w="1414" w:type="dxa"/>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rPr>
                <w:rFonts w:ascii="Calibri" w:eastAsia="Times New Roman" w:hAnsi="Calibri" w:cs="Times New Roman"/>
                <w:b/>
                <w:bCs/>
                <w:color w:val="000000"/>
                <w:sz w:val="16"/>
                <w:szCs w:val="16"/>
              </w:rPr>
            </w:pPr>
            <w:r w:rsidRPr="00284E71">
              <w:rPr>
                <w:rFonts w:ascii="Calibri" w:eastAsia="Times New Roman" w:hAnsi="Calibri" w:cs="Times New Roman"/>
                <w:b/>
                <w:bCs/>
                <w:color w:val="000000"/>
                <w:sz w:val="16"/>
                <w:szCs w:val="16"/>
              </w:rPr>
              <w:t>If the measure was part of a larger tool kit (e.g., supported with examples of use, instructions for scoring).</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8</w:t>
            </w:r>
          </w:p>
        </w:tc>
      </w:tr>
      <w:tr w:rsidR="00284E71" w:rsidRPr="00284E71" w:rsidTr="00284E71">
        <w:trPr>
          <w:trHeight w:val="728"/>
        </w:trPr>
        <w:tc>
          <w:tcPr>
            <w:tcW w:w="1414" w:type="dxa"/>
            <w:tcBorders>
              <w:top w:val="nil"/>
              <w:left w:val="single" w:sz="4" w:space="0" w:color="auto"/>
              <w:bottom w:val="single" w:sz="4" w:space="0" w:color="auto"/>
              <w:right w:val="single" w:sz="4" w:space="0" w:color="auto"/>
            </w:tcBorders>
            <w:shd w:val="clear" w:color="000000" w:fill="D6E3BC"/>
            <w:vAlign w:val="center"/>
            <w:hideMark/>
          </w:tcPr>
          <w:p w:rsidR="00284E71" w:rsidRPr="00284E71" w:rsidRDefault="00284E71" w:rsidP="00284E71">
            <w:pPr>
              <w:spacing w:after="0" w:line="240" w:lineRule="auto"/>
              <w:rPr>
                <w:rFonts w:ascii="Calibri" w:eastAsia="Times New Roman" w:hAnsi="Calibri" w:cs="Times New Roman"/>
                <w:b/>
                <w:bCs/>
                <w:color w:val="000000"/>
                <w:sz w:val="16"/>
                <w:szCs w:val="16"/>
              </w:rPr>
            </w:pPr>
            <w:r w:rsidRPr="00284E71">
              <w:rPr>
                <w:rFonts w:ascii="Calibri" w:eastAsia="Times New Roman" w:hAnsi="Calibri" w:cs="Times New Roman"/>
                <w:b/>
                <w:bCs/>
                <w:color w:val="000000"/>
                <w:sz w:val="16"/>
                <w:szCs w:val="16"/>
              </w:rPr>
              <w:t>If the measure was presented as a standalone document including instructions for use.</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rsidR="00284E71" w:rsidRPr="00284E71" w:rsidRDefault="00284E71" w:rsidP="00284E71">
            <w:pPr>
              <w:spacing w:after="0" w:line="240" w:lineRule="auto"/>
              <w:jc w:val="center"/>
              <w:rPr>
                <w:rFonts w:ascii="Calibri" w:eastAsia="Times New Roman" w:hAnsi="Calibri" w:cs="Times New Roman"/>
                <w:color w:val="000000"/>
                <w:sz w:val="20"/>
                <w:szCs w:val="20"/>
              </w:rPr>
            </w:pPr>
            <w:r w:rsidRPr="00284E71">
              <w:rPr>
                <w:rFonts w:ascii="Calibri" w:eastAsia="Times New Roman" w:hAnsi="Calibri" w:cs="Times New Roman"/>
                <w:color w:val="000000"/>
                <w:sz w:val="20"/>
                <w:szCs w:val="20"/>
              </w:rPr>
              <w:t>5</w:t>
            </w:r>
          </w:p>
        </w:tc>
      </w:tr>
    </w:tbl>
    <w:p w:rsidR="006715DC" w:rsidRPr="000456A6" w:rsidRDefault="00284E71" w:rsidP="006715DC">
      <w:pPr>
        <w:ind w:left="5040"/>
        <w:rPr>
          <w:sz w:val="16"/>
          <w:szCs w:val="16"/>
        </w:rPr>
      </w:pPr>
      <w:r>
        <w:rPr>
          <w:sz w:val="16"/>
          <w:szCs w:val="16"/>
        </w:rPr>
        <w:t xml:space="preserve">      </w:t>
      </w:r>
      <w:r w:rsidR="006715DC">
        <w:rPr>
          <w:sz w:val="16"/>
          <w:szCs w:val="16"/>
        </w:rPr>
        <w:tab/>
        <w:t>*</w:t>
      </w:r>
      <w:r w:rsidR="006715DC" w:rsidRPr="000456A6">
        <w:rPr>
          <w:sz w:val="16"/>
          <w:szCs w:val="16"/>
        </w:rPr>
        <w:t>(</w:t>
      </w:r>
      <w:r w:rsidR="006715DC">
        <w:rPr>
          <w:sz w:val="16"/>
          <w:szCs w:val="16"/>
        </w:rPr>
        <w:t xml:space="preserve">11- point </w:t>
      </w:r>
      <w:proofErr w:type="spellStart"/>
      <w:r w:rsidR="006715DC">
        <w:rPr>
          <w:sz w:val="16"/>
          <w:szCs w:val="16"/>
        </w:rPr>
        <w:t>Likert</w:t>
      </w:r>
      <w:proofErr w:type="spellEnd"/>
      <w:r w:rsidR="006715DC">
        <w:rPr>
          <w:sz w:val="16"/>
          <w:szCs w:val="16"/>
        </w:rPr>
        <w:t xml:space="preserve"> Scale; </w:t>
      </w:r>
      <w:r w:rsidR="006715DC" w:rsidRPr="000456A6">
        <w:rPr>
          <w:sz w:val="16"/>
          <w:szCs w:val="16"/>
        </w:rPr>
        <w:t>0 = not at all likely; 10 = extremely likely)</w:t>
      </w:r>
    </w:p>
    <w:p w:rsidR="009529AF" w:rsidRPr="000456A6" w:rsidRDefault="009529AF" w:rsidP="00284E71">
      <w:pPr>
        <w:ind w:left="5760"/>
        <w:rPr>
          <w:sz w:val="16"/>
          <w:szCs w:val="16"/>
        </w:rPr>
      </w:pPr>
    </w:p>
    <w:sectPr w:rsidR="009529AF" w:rsidRPr="000456A6" w:rsidSect="00622E44">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BA2" w:rsidRDefault="004A7BA2" w:rsidP="00765E26">
      <w:pPr>
        <w:spacing w:after="0" w:line="240" w:lineRule="auto"/>
      </w:pPr>
      <w:r>
        <w:separator/>
      </w:r>
    </w:p>
  </w:endnote>
  <w:endnote w:type="continuationSeparator" w:id="0">
    <w:p w:rsidR="004A7BA2" w:rsidRDefault="004A7BA2" w:rsidP="00765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BA2" w:rsidRPr="00765E26" w:rsidRDefault="002F470C">
    <w:pPr>
      <w:pStyle w:val="Footer"/>
      <w:rPr>
        <w:color w:val="000000" w:themeColor="text1"/>
        <w:sz w:val="18"/>
        <w:szCs w:val="18"/>
      </w:rPr>
    </w:pPr>
    <w:sdt>
      <w:sdtPr>
        <w:rPr>
          <w:color w:val="000000" w:themeColor="text1"/>
          <w:sz w:val="18"/>
          <w:szCs w:val="18"/>
        </w:rPr>
        <w:alias w:val="Author"/>
        <w:id w:val="54214575"/>
        <w:placeholder>
          <w:docPart w:val="5749CCD5E42F4CB5B0CFEDB2439248D6"/>
        </w:placeholder>
        <w:dataBinding w:prefixMappings="xmlns:ns0='http://schemas.openxmlformats.org/package/2006/metadata/core-properties' xmlns:ns1='http://purl.org/dc/elements/1.1/'" w:xpath="/ns0:coreProperties[1]/ns1:creator[1]" w:storeItemID="{6C3C8BC8-F283-45AE-878A-BAB7291924A1}"/>
        <w:text/>
      </w:sdtPr>
      <w:sdtEndPr/>
      <w:sdtContent>
        <w:r w:rsidR="004A7BA2" w:rsidRPr="00765E26">
          <w:rPr>
            <w:color w:val="000000" w:themeColor="text1"/>
            <w:sz w:val="18"/>
            <w:szCs w:val="18"/>
          </w:rPr>
          <w:t>Contact: Caitlyn Timmings (timmingsc@smh.ca)</w:t>
        </w:r>
      </w:sdtContent>
    </w:sdt>
  </w:p>
  <w:p w:rsidR="004A7BA2" w:rsidRPr="00765E26" w:rsidRDefault="004A7BA2">
    <w:pPr>
      <w:pStyle w:val="Footer"/>
      <w:rPr>
        <w:sz w:val="16"/>
        <w:szCs w:val="16"/>
      </w:rP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24638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246380"/>
                      </a:xfrm>
                      <a:prstGeom prst="rect">
                        <a:avLst/>
                      </a:prstGeom>
                      <a:noFill/>
                      <a:ln w="6350">
                        <a:noFill/>
                      </a:ln>
                      <a:effectLst/>
                    </wps:spPr>
                    <wps:txbx>
                      <w:txbxContent>
                        <w:p w:rsidR="004A7BA2" w:rsidRPr="00765E26" w:rsidRDefault="004A7BA2">
                          <w:pPr>
                            <w:pStyle w:val="Footer"/>
                            <w:jc w:val="right"/>
                            <w:rPr>
                              <w:color w:val="000000" w:themeColor="text1"/>
                              <w:sz w:val="20"/>
                              <w:szCs w:val="20"/>
                            </w:rPr>
                          </w:pPr>
                          <w:r w:rsidRPr="00765E26">
                            <w:rPr>
                              <w:color w:val="000000" w:themeColor="text1"/>
                              <w:sz w:val="20"/>
                              <w:szCs w:val="20"/>
                            </w:rPr>
                            <w:fldChar w:fldCharType="begin"/>
                          </w:r>
                          <w:r w:rsidRPr="00765E26">
                            <w:rPr>
                              <w:color w:val="000000" w:themeColor="text1"/>
                              <w:sz w:val="20"/>
                              <w:szCs w:val="20"/>
                            </w:rPr>
                            <w:instrText xml:space="preserve"> PAGE  \* Arabic  \* MERGEFORMAT </w:instrText>
                          </w:r>
                          <w:r w:rsidRPr="00765E26">
                            <w:rPr>
                              <w:color w:val="000000" w:themeColor="text1"/>
                              <w:sz w:val="20"/>
                              <w:szCs w:val="20"/>
                            </w:rPr>
                            <w:fldChar w:fldCharType="separate"/>
                          </w:r>
                          <w:r w:rsidR="002F470C">
                            <w:rPr>
                              <w:noProof/>
                              <w:color w:val="000000" w:themeColor="text1"/>
                              <w:sz w:val="20"/>
                              <w:szCs w:val="20"/>
                            </w:rPr>
                            <w:t>1</w:t>
                          </w:r>
                          <w:r w:rsidRPr="00765E26">
                            <w:rPr>
                              <w:color w:val="000000" w:themeColor="text1"/>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margin-left:67.6pt;margin-top:0;width:118.8pt;height:19.4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" filled="f" stroked="f" strokeweight=".5pt">
              <v:path arrowok="t"/>
              <v:textbox style="mso-fit-shape-to-text:t">
                <w:txbxContent>
                  <w:p w:rsidR="004A7BA2" w:rsidRPr="00765E26" w:rsidRDefault="004A7BA2">
                    <w:pPr>
                      <w:pStyle w:val="Footer"/>
                      <w:jc w:val="right"/>
                      <w:rPr>
                        <w:color w:val="000000" w:themeColor="text1"/>
                        <w:sz w:val="20"/>
                        <w:szCs w:val="20"/>
                      </w:rPr>
                    </w:pPr>
                    <w:r w:rsidRPr="00765E26">
                      <w:rPr>
                        <w:color w:val="000000" w:themeColor="text1"/>
                        <w:sz w:val="20"/>
                        <w:szCs w:val="20"/>
                      </w:rPr>
                      <w:fldChar w:fldCharType="begin"/>
                    </w:r>
                    <w:r w:rsidRPr="00765E26">
                      <w:rPr>
                        <w:color w:val="000000" w:themeColor="text1"/>
                        <w:sz w:val="20"/>
                        <w:szCs w:val="20"/>
                      </w:rPr>
                      <w:instrText xml:space="preserve"> PAGE  \* Arabic  \* MERGEFORMAT </w:instrText>
                    </w:r>
                    <w:r w:rsidRPr="00765E26">
                      <w:rPr>
                        <w:color w:val="000000" w:themeColor="text1"/>
                        <w:sz w:val="20"/>
                        <w:szCs w:val="20"/>
                      </w:rPr>
                      <w:fldChar w:fldCharType="separate"/>
                    </w:r>
                    <w:r w:rsidR="002F470C">
                      <w:rPr>
                        <w:noProof/>
                        <w:color w:val="000000" w:themeColor="text1"/>
                        <w:sz w:val="20"/>
                        <w:szCs w:val="20"/>
                      </w:rPr>
                      <w:t>1</w:t>
                    </w:r>
                    <w:r w:rsidRPr="00765E26">
                      <w:rPr>
                        <w:color w:val="000000" w:themeColor="text1"/>
                        <w:sz w:val="20"/>
                        <w:szCs w:val="2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simplePos x="0" y="0"/>
              <wp:positionH relativeFrom="margin">
                <wp:align>center</wp:align>
              </wp:positionH>
              <wp:positionV relativeFrom="bottomMargin">
                <wp:align>top</wp:align>
              </wp:positionV>
              <wp:extent cx="6858000" cy="36195"/>
              <wp:effectExtent l="0" t="0" r="0" b="1905"/>
              <wp:wrapSquare wrapText="bothSides"/>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o:spid="_x0000_s1026" style="position:absolute;margin-left:0;margin-top:0;width:540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" fillcolor="#4f81bd [3204]" stroked="f" strokeweight="2pt">
              <v:path arrowok="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BA2" w:rsidRDefault="004A7BA2" w:rsidP="00765E26">
      <w:pPr>
        <w:spacing w:after="0" w:line="240" w:lineRule="auto"/>
      </w:pPr>
      <w:r>
        <w:separator/>
      </w:r>
    </w:p>
  </w:footnote>
  <w:footnote w:type="continuationSeparator" w:id="0">
    <w:p w:rsidR="004A7BA2" w:rsidRDefault="004A7BA2" w:rsidP="00765E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DA515D"/>
    <w:multiLevelType w:val="hybridMultilevel"/>
    <w:tmpl w:val="207A6B44"/>
    <w:lvl w:ilvl="0" w:tplc="08C24EE6">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E44"/>
    <w:rsid w:val="000456A6"/>
    <w:rsid w:val="00091D23"/>
    <w:rsid w:val="000C7870"/>
    <w:rsid w:val="001D6BCA"/>
    <w:rsid w:val="00230138"/>
    <w:rsid w:val="002379C3"/>
    <w:rsid w:val="00284E71"/>
    <w:rsid w:val="0029572F"/>
    <w:rsid w:val="002F470C"/>
    <w:rsid w:val="002F7A7A"/>
    <w:rsid w:val="003471F4"/>
    <w:rsid w:val="003E5DB4"/>
    <w:rsid w:val="00433FAC"/>
    <w:rsid w:val="004A7BA2"/>
    <w:rsid w:val="005B5083"/>
    <w:rsid w:val="006060D8"/>
    <w:rsid w:val="006167E9"/>
    <w:rsid w:val="00622E44"/>
    <w:rsid w:val="0064760E"/>
    <w:rsid w:val="006715DC"/>
    <w:rsid w:val="00765E26"/>
    <w:rsid w:val="00767E14"/>
    <w:rsid w:val="007D23EE"/>
    <w:rsid w:val="00850CB3"/>
    <w:rsid w:val="00883C95"/>
    <w:rsid w:val="008D464E"/>
    <w:rsid w:val="009529AF"/>
    <w:rsid w:val="00A02203"/>
    <w:rsid w:val="00BB53A8"/>
    <w:rsid w:val="00BE7847"/>
    <w:rsid w:val="00D31B76"/>
    <w:rsid w:val="00DD2683"/>
    <w:rsid w:val="00DD504D"/>
    <w:rsid w:val="00DE79A5"/>
    <w:rsid w:val="00E7062B"/>
    <w:rsid w:val="00F04179"/>
    <w:rsid w:val="00F12359"/>
    <w:rsid w:val="00F52AE4"/>
    <w:rsid w:val="00F633B8"/>
    <w:rsid w:val="00FA0380"/>
    <w:rsid w:val="00FA76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5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26"/>
  </w:style>
  <w:style w:type="paragraph" w:styleId="Footer">
    <w:name w:val="footer"/>
    <w:basedOn w:val="Normal"/>
    <w:link w:val="FooterChar"/>
    <w:uiPriority w:val="99"/>
    <w:unhideWhenUsed/>
    <w:rsid w:val="00765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26"/>
  </w:style>
  <w:style w:type="paragraph" w:styleId="BalloonText">
    <w:name w:val="Balloon Text"/>
    <w:basedOn w:val="Normal"/>
    <w:link w:val="BalloonTextChar"/>
    <w:uiPriority w:val="99"/>
    <w:semiHidden/>
    <w:unhideWhenUsed/>
    <w:rsid w:val="00765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E26"/>
    <w:rPr>
      <w:rFonts w:ascii="Tahoma" w:hAnsi="Tahoma" w:cs="Tahoma"/>
      <w:sz w:val="16"/>
      <w:szCs w:val="16"/>
    </w:rPr>
  </w:style>
  <w:style w:type="paragraph" w:customStyle="1" w:styleId="F9E977197262459AB16AE09F8A4F0155">
    <w:name w:val="F9E977197262459AB16AE09F8A4F0155"/>
    <w:rsid w:val="00765E26"/>
    <w:rPr>
      <w:rFonts w:eastAsiaTheme="minorEastAsia"/>
      <w:lang w:eastAsia="ja-JP"/>
    </w:rPr>
  </w:style>
  <w:style w:type="paragraph" w:styleId="ListParagraph">
    <w:name w:val="List Paragraph"/>
    <w:basedOn w:val="Normal"/>
    <w:uiPriority w:val="34"/>
    <w:qFormat/>
    <w:rsid w:val="009529AF"/>
    <w:pPr>
      <w:ind w:left="720"/>
      <w:contextualSpacing/>
    </w:pPr>
  </w:style>
  <w:style w:type="character" w:styleId="CommentReference">
    <w:name w:val="annotation reference"/>
    <w:basedOn w:val="DefaultParagraphFont"/>
    <w:uiPriority w:val="99"/>
    <w:semiHidden/>
    <w:unhideWhenUsed/>
    <w:rsid w:val="003471F4"/>
    <w:rPr>
      <w:sz w:val="16"/>
      <w:szCs w:val="16"/>
    </w:rPr>
  </w:style>
  <w:style w:type="paragraph" w:styleId="CommentText">
    <w:name w:val="annotation text"/>
    <w:basedOn w:val="Normal"/>
    <w:link w:val="CommentTextChar"/>
    <w:uiPriority w:val="99"/>
    <w:semiHidden/>
    <w:unhideWhenUsed/>
    <w:rsid w:val="003471F4"/>
    <w:pPr>
      <w:spacing w:line="240" w:lineRule="auto"/>
    </w:pPr>
    <w:rPr>
      <w:sz w:val="20"/>
      <w:szCs w:val="20"/>
    </w:rPr>
  </w:style>
  <w:style w:type="character" w:customStyle="1" w:styleId="CommentTextChar">
    <w:name w:val="Comment Text Char"/>
    <w:basedOn w:val="DefaultParagraphFont"/>
    <w:link w:val="CommentText"/>
    <w:uiPriority w:val="99"/>
    <w:semiHidden/>
    <w:rsid w:val="003471F4"/>
    <w:rPr>
      <w:sz w:val="20"/>
      <w:szCs w:val="20"/>
    </w:rPr>
  </w:style>
  <w:style w:type="paragraph" w:styleId="CommentSubject">
    <w:name w:val="annotation subject"/>
    <w:basedOn w:val="CommentText"/>
    <w:next w:val="CommentText"/>
    <w:link w:val="CommentSubjectChar"/>
    <w:uiPriority w:val="99"/>
    <w:semiHidden/>
    <w:unhideWhenUsed/>
    <w:rsid w:val="003471F4"/>
    <w:rPr>
      <w:b/>
      <w:bCs/>
    </w:rPr>
  </w:style>
  <w:style w:type="character" w:customStyle="1" w:styleId="CommentSubjectChar">
    <w:name w:val="Comment Subject Char"/>
    <w:basedOn w:val="CommentTextChar"/>
    <w:link w:val="CommentSubject"/>
    <w:uiPriority w:val="99"/>
    <w:semiHidden/>
    <w:rsid w:val="003471F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5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26"/>
  </w:style>
  <w:style w:type="paragraph" w:styleId="Footer">
    <w:name w:val="footer"/>
    <w:basedOn w:val="Normal"/>
    <w:link w:val="FooterChar"/>
    <w:uiPriority w:val="99"/>
    <w:unhideWhenUsed/>
    <w:rsid w:val="00765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26"/>
  </w:style>
  <w:style w:type="paragraph" w:styleId="BalloonText">
    <w:name w:val="Balloon Text"/>
    <w:basedOn w:val="Normal"/>
    <w:link w:val="BalloonTextChar"/>
    <w:uiPriority w:val="99"/>
    <w:semiHidden/>
    <w:unhideWhenUsed/>
    <w:rsid w:val="00765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E26"/>
    <w:rPr>
      <w:rFonts w:ascii="Tahoma" w:hAnsi="Tahoma" w:cs="Tahoma"/>
      <w:sz w:val="16"/>
      <w:szCs w:val="16"/>
    </w:rPr>
  </w:style>
  <w:style w:type="paragraph" w:customStyle="1" w:styleId="F9E977197262459AB16AE09F8A4F0155">
    <w:name w:val="F9E977197262459AB16AE09F8A4F0155"/>
    <w:rsid w:val="00765E26"/>
    <w:rPr>
      <w:rFonts w:eastAsiaTheme="minorEastAsia"/>
      <w:lang w:eastAsia="ja-JP"/>
    </w:rPr>
  </w:style>
  <w:style w:type="paragraph" w:styleId="ListParagraph">
    <w:name w:val="List Paragraph"/>
    <w:basedOn w:val="Normal"/>
    <w:uiPriority w:val="34"/>
    <w:qFormat/>
    <w:rsid w:val="009529AF"/>
    <w:pPr>
      <w:ind w:left="720"/>
      <w:contextualSpacing/>
    </w:pPr>
  </w:style>
  <w:style w:type="character" w:styleId="CommentReference">
    <w:name w:val="annotation reference"/>
    <w:basedOn w:val="DefaultParagraphFont"/>
    <w:uiPriority w:val="99"/>
    <w:semiHidden/>
    <w:unhideWhenUsed/>
    <w:rsid w:val="003471F4"/>
    <w:rPr>
      <w:sz w:val="16"/>
      <w:szCs w:val="16"/>
    </w:rPr>
  </w:style>
  <w:style w:type="paragraph" w:styleId="CommentText">
    <w:name w:val="annotation text"/>
    <w:basedOn w:val="Normal"/>
    <w:link w:val="CommentTextChar"/>
    <w:uiPriority w:val="99"/>
    <w:semiHidden/>
    <w:unhideWhenUsed/>
    <w:rsid w:val="003471F4"/>
    <w:pPr>
      <w:spacing w:line="240" w:lineRule="auto"/>
    </w:pPr>
    <w:rPr>
      <w:sz w:val="20"/>
      <w:szCs w:val="20"/>
    </w:rPr>
  </w:style>
  <w:style w:type="character" w:customStyle="1" w:styleId="CommentTextChar">
    <w:name w:val="Comment Text Char"/>
    <w:basedOn w:val="DefaultParagraphFont"/>
    <w:link w:val="CommentText"/>
    <w:uiPriority w:val="99"/>
    <w:semiHidden/>
    <w:rsid w:val="003471F4"/>
    <w:rPr>
      <w:sz w:val="20"/>
      <w:szCs w:val="20"/>
    </w:rPr>
  </w:style>
  <w:style w:type="paragraph" w:styleId="CommentSubject">
    <w:name w:val="annotation subject"/>
    <w:basedOn w:val="CommentText"/>
    <w:next w:val="CommentText"/>
    <w:link w:val="CommentSubjectChar"/>
    <w:uiPriority w:val="99"/>
    <w:semiHidden/>
    <w:unhideWhenUsed/>
    <w:rsid w:val="003471F4"/>
    <w:rPr>
      <w:b/>
      <w:bCs/>
    </w:rPr>
  </w:style>
  <w:style w:type="character" w:customStyle="1" w:styleId="CommentSubjectChar">
    <w:name w:val="Comment Subject Char"/>
    <w:basedOn w:val="CommentTextChar"/>
    <w:link w:val="CommentSubject"/>
    <w:uiPriority w:val="99"/>
    <w:semiHidden/>
    <w:rsid w:val="003471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24297">
      <w:bodyDiv w:val="1"/>
      <w:marLeft w:val="0"/>
      <w:marRight w:val="0"/>
      <w:marTop w:val="0"/>
      <w:marBottom w:val="0"/>
      <w:divBdr>
        <w:top w:val="none" w:sz="0" w:space="0" w:color="auto"/>
        <w:left w:val="none" w:sz="0" w:space="0" w:color="auto"/>
        <w:bottom w:val="none" w:sz="0" w:space="0" w:color="auto"/>
        <w:right w:val="none" w:sz="0" w:space="0" w:color="auto"/>
      </w:divBdr>
    </w:div>
    <w:div w:id="231937529">
      <w:bodyDiv w:val="1"/>
      <w:marLeft w:val="0"/>
      <w:marRight w:val="0"/>
      <w:marTop w:val="0"/>
      <w:marBottom w:val="0"/>
      <w:divBdr>
        <w:top w:val="none" w:sz="0" w:space="0" w:color="auto"/>
        <w:left w:val="none" w:sz="0" w:space="0" w:color="auto"/>
        <w:bottom w:val="none" w:sz="0" w:space="0" w:color="auto"/>
        <w:right w:val="none" w:sz="0" w:space="0" w:color="auto"/>
      </w:divBdr>
    </w:div>
    <w:div w:id="276714321">
      <w:bodyDiv w:val="1"/>
      <w:marLeft w:val="0"/>
      <w:marRight w:val="0"/>
      <w:marTop w:val="0"/>
      <w:marBottom w:val="0"/>
      <w:divBdr>
        <w:top w:val="none" w:sz="0" w:space="0" w:color="auto"/>
        <w:left w:val="none" w:sz="0" w:space="0" w:color="auto"/>
        <w:bottom w:val="none" w:sz="0" w:space="0" w:color="auto"/>
        <w:right w:val="none" w:sz="0" w:space="0" w:color="auto"/>
      </w:divBdr>
    </w:div>
    <w:div w:id="597636321">
      <w:bodyDiv w:val="1"/>
      <w:marLeft w:val="0"/>
      <w:marRight w:val="0"/>
      <w:marTop w:val="0"/>
      <w:marBottom w:val="0"/>
      <w:divBdr>
        <w:top w:val="none" w:sz="0" w:space="0" w:color="auto"/>
        <w:left w:val="none" w:sz="0" w:space="0" w:color="auto"/>
        <w:bottom w:val="none" w:sz="0" w:space="0" w:color="auto"/>
        <w:right w:val="none" w:sz="0" w:space="0" w:color="auto"/>
      </w:divBdr>
    </w:div>
    <w:div w:id="1189880274">
      <w:bodyDiv w:val="1"/>
      <w:marLeft w:val="0"/>
      <w:marRight w:val="0"/>
      <w:marTop w:val="0"/>
      <w:marBottom w:val="0"/>
      <w:divBdr>
        <w:top w:val="none" w:sz="0" w:space="0" w:color="auto"/>
        <w:left w:val="none" w:sz="0" w:space="0" w:color="auto"/>
        <w:bottom w:val="none" w:sz="0" w:space="0" w:color="auto"/>
        <w:right w:val="none" w:sz="0" w:space="0" w:color="auto"/>
      </w:divBdr>
    </w:div>
    <w:div w:id="1275669842">
      <w:bodyDiv w:val="1"/>
      <w:marLeft w:val="0"/>
      <w:marRight w:val="0"/>
      <w:marTop w:val="0"/>
      <w:marBottom w:val="0"/>
      <w:divBdr>
        <w:top w:val="none" w:sz="0" w:space="0" w:color="auto"/>
        <w:left w:val="none" w:sz="0" w:space="0" w:color="auto"/>
        <w:bottom w:val="none" w:sz="0" w:space="0" w:color="auto"/>
        <w:right w:val="none" w:sz="0" w:space="0" w:color="auto"/>
      </w:divBdr>
    </w:div>
    <w:div w:id="1351447198">
      <w:bodyDiv w:val="1"/>
      <w:marLeft w:val="0"/>
      <w:marRight w:val="0"/>
      <w:marTop w:val="0"/>
      <w:marBottom w:val="0"/>
      <w:divBdr>
        <w:top w:val="none" w:sz="0" w:space="0" w:color="auto"/>
        <w:left w:val="none" w:sz="0" w:space="0" w:color="auto"/>
        <w:bottom w:val="none" w:sz="0" w:space="0" w:color="auto"/>
        <w:right w:val="none" w:sz="0" w:space="0" w:color="auto"/>
      </w:divBdr>
    </w:div>
    <w:div w:id="1480153542">
      <w:bodyDiv w:val="1"/>
      <w:marLeft w:val="0"/>
      <w:marRight w:val="0"/>
      <w:marTop w:val="0"/>
      <w:marBottom w:val="0"/>
      <w:divBdr>
        <w:top w:val="none" w:sz="0" w:space="0" w:color="auto"/>
        <w:left w:val="none" w:sz="0" w:space="0" w:color="auto"/>
        <w:bottom w:val="none" w:sz="0" w:space="0" w:color="auto"/>
        <w:right w:val="none" w:sz="0" w:space="0" w:color="auto"/>
      </w:divBdr>
    </w:div>
    <w:div w:id="203156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file:///\\Home1\home\KhanS\Readiness%20to%20Change%20Project\Stakeholder%20Panel%20round%201\Stakeholder%20ratings%20Round%201%20-%20combin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ome1\home\KhanS\Readiness%20to%20Change%20Project\Stakeholder%20Panel%20round%201\Stakeholder%20ratings%20Round%201%20-%20combin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ome1\home\KhanS\Readiness%20to%20Change%20Project\Stakeholder%20Panel%20round%201\Stakeholder%20ratings%20Round%201%20-%20combin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ome1\home\KhanS\Readiness%20to%20Change%20Project\Stakeholder%20Panel%20round%201\Stakeholder%20ratings%20Round%201%20-%20combin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8658119048029"/>
          <c:y val="8.8317944600562026E-2"/>
          <c:w val="0.82113555212305045"/>
          <c:h val="0.53028294076381988"/>
        </c:manualLayout>
      </c:layout>
      <c:barChart>
        <c:barDir val="col"/>
        <c:grouping val="clustered"/>
        <c:varyColors val="0"/>
        <c:ser>
          <c:idx val="0"/>
          <c:order val="0"/>
          <c:tx>
            <c:strRef>
              <c:f>Sheet1!$A$2</c:f>
              <c:strCache>
                <c:ptCount val="1"/>
                <c:pt idx="0">
                  <c:v>Takes little time to complete</c:v>
                </c:pt>
              </c:strCache>
            </c:strRef>
          </c:tx>
          <c:invertIfNegative val="0"/>
          <c:cat>
            <c:strRef>
              <c:f>Sheet1!$B$1:$J$1</c:f>
              <c:strCache>
                <c:ptCount val="9"/>
                <c:pt idx="0">
                  <c:v>Measure 1</c:v>
                </c:pt>
                <c:pt idx="1">
                  <c:v>Measure 2</c:v>
                </c:pt>
                <c:pt idx="2">
                  <c:v>Measure 3</c:v>
                </c:pt>
                <c:pt idx="3">
                  <c:v>Measure 4</c:v>
                </c:pt>
                <c:pt idx="4">
                  <c:v>Measure 5</c:v>
                </c:pt>
                <c:pt idx="5">
                  <c:v>Measure 6</c:v>
                </c:pt>
                <c:pt idx="6">
                  <c:v>Measure 7</c:v>
                </c:pt>
                <c:pt idx="7">
                  <c:v>Measure 8</c:v>
                </c:pt>
                <c:pt idx="8">
                  <c:v>Measure 9</c:v>
                </c:pt>
              </c:strCache>
            </c:strRef>
          </c:cat>
          <c:val>
            <c:numRef>
              <c:f>Sheet1!$B$2:$J$2</c:f>
              <c:numCache>
                <c:formatCode>General</c:formatCode>
                <c:ptCount val="9"/>
                <c:pt idx="0">
                  <c:v>5</c:v>
                </c:pt>
                <c:pt idx="1">
                  <c:v>5</c:v>
                </c:pt>
                <c:pt idx="2">
                  <c:v>6</c:v>
                </c:pt>
                <c:pt idx="3">
                  <c:v>5</c:v>
                </c:pt>
                <c:pt idx="4">
                  <c:v>5</c:v>
                </c:pt>
                <c:pt idx="5">
                  <c:v>6</c:v>
                </c:pt>
                <c:pt idx="6">
                  <c:v>6</c:v>
                </c:pt>
                <c:pt idx="7">
                  <c:v>5</c:v>
                </c:pt>
                <c:pt idx="8">
                  <c:v>5</c:v>
                </c:pt>
              </c:numCache>
            </c:numRef>
          </c:val>
        </c:ser>
        <c:dLbls>
          <c:showLegendKey val="0"/>
          <c:showVal val="0"/>
          <c:showCatName val="0"/>
          <c:showSerName val="0"/>
          <c:showPercent val="0"/>
          <c:showBubbleSize val="0"/>
        </c:dLbls>
        <c:gapWidth val="150"/>
        <c:axId val="58468992"/>
        <c:axId val="64878848"/>
      </c:barChart>
      <c:catAx>
        <c:axId val="58468992"/>
        <c:scaling>
          <c:orientation val="minMax"/>
        </c:scaling>
        <c:delete val="0"/>
        <c:axPos val="b"/>
        <c:majorTickMark val="out"/>
        <c:minorTickMark val="none"/>
        <c:tickLblPos val="nextTo"/>
        <c:txPr>
          <a:bodyPr/>
          <a:lstStyle/>
          <a:p>
            <a:pPr>
              <a:defRPr sz="900"/>
            </a:pPr>
            <a:endParaRPr lang="en-US"/>
          </a:p>
        </c:txPr>
        <c:crossAx val="64878848"/>
        <c:crosses val="autoZero"/>
        <c:auto val="1"/>
        <c:lblAlgn val="ctr"/>
        <c:lblOffset val="100"/>
        <c:noMultiLvlLbl val="0"/>
      </c:catAx>
      <c:valAx>
        <c:axId val="64878848"/>
        <c:scaling>
          <c:orientation val="minMax"/>
          <c:max val="7"/>
          <c:min val="1"/>
        </c:scaling>
        <c:delete val="0"/>
        <c:axPos val="l"/>
        <c:title>
          <c:tx>
            <c:rich>
              <a:bodyPr rot="-5400000" vert="horz"/>
              <a:lstStyle/>
              <a:p>
                <a:pPr>
                  <a:defRPr sz="900"/>
                </a:pPr>
                <a:r>
                  <a:rPr lang="en-US" sz="900"/>
                  <a:t>Median</a:t>
                </a:r>
                <a:r>
                  <a:rPr lang="en-US" sz="900" baseline="0"/>
                  <a:t> Score</a:t>
                </a:r>
                <a:endParaRPr lang="en-US" sz="900"/>
              </a:p>
            </c:rich>
          </c:tx>
          <c:layout>
            <c:manualLayout>
              <c:xMode val="edge"/>
              <c:yMode val="edge"/>
              <c:x val="1.1919305220838929E-3"/>
              <c:y val="0.16825738011170929"/>
            </c:manualLayout>
          </c:layout>
          <c:overlay val="0"/>
        </c:title>
        <c:numFmt formatCode="General" sourceLinked="1"/>
        <c:majorTickMark val="out"/>
        <c:minorTickMark val="none"/>
        <c:tickLblPos val="nextTo"/>
        <c:txPr>
          <a:bodyPr/>
          <a:lstStyle/>
          <a:p>
            <a:pPr>
              <a:defRPr sz="900"/>
            </a:pPr>
            <a:endParaRPr lang="en-US"/>
          </a:p>
        </c:txPr>
        <c:crossAx val="5846899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38711789201871"/>
          <c:y val="9.4991364421416258E-2"/>
          <c:w val="0.80604650415738455"/>
          <c:h val="0.5710054210369494"/>
        </c:manualLayout>
      </c:layout>
      <c:barChart>
        <c:barDir val="col"/>
        <c:grouping val="clustered"/>
        <c:varyColors val="0"/>
        <c:ser>
          <c:idx val="0"/>
          <c:order val="0"/>
          <c:tx>
            <c:strRef>
              <c:f>Sheet1!$A$8</c:f>
              <c:strCache>
                <c:ptCount val="1"/>
                <c:pt idx="0">
                  <c:v>Is not resource-intensive</c:v>
                </c:pt>
              </c:strCache>
            </c:strRef>
          </c:tx>
          <c:invertIfNegative val="0"/>
          <c:cat>
            <c:strRef>
              <c:f>Sheet1!$B$7:$J$7</c:f>
              <c:strCache>
                <c:ptCount val="9"/>
                <c:pt idx="0">
                  <c:v>Measure 1</c:v>
                </c:pt>
                <c:pt idx="1">
                  <c:v>Measure 2</c:v>
                </c:pt>
                <c:pt idx="2">
                  <c:v>Measure 3</c:v>
                </c:pt>
                <c:pt idx="3">
                  <c:v>Measure 4</c:v>
                </c:pt>
                <c:pt idx="4">
                  <c:v>Measure 5</c:v>
                </c:pt>
                <c:pt idx="5">
                  <c:v>Measure 6</c:v>
                </c:pt>
                <c:pt idx="6">
                  <c:v>Measure 7</c:v>
                </c:pt>
                <c:pt idx="7">
                  <c:v>Measure 8</c:v>
                </c:pt>
                <c:pt idx="8">
                  <c:v>Measure 9</c:v>
                </c:pt>
              </c:strCache>
            </c:strRef>
          </c:cat>
          <c:val>
            <c:numRef>
              <c:f>Sheet1!$B$8:$J$8</c:f>
              <c:numCache>
                <c:formatCode>General</c:formatCode>
                <c:ptCount val="9"/>
                <c:pt idx="0">
                  <c:v>4</c:v>
                </c:pt>
                <c:pt idx="1">
                  <c:v>5</c:v>
                </c:pt>
                <c:pt idx="2">
                  <c:v>6</c:v>
                </c:pt>
                <c:pt idx="3">
                  <c:v>6</c:v>
                </c:pt>
                <c:pt idx="4">
                  <c:v>5</c:v>
                </c:pt>
                <c:pt idx="5">
                  <c:v>6</c:v>
                </c:pt>
                <c:pt idx="6">
                  <c:v>6</c:v>
                </c:pt>
                <c:pt idx="7">
                  <c:v>5</c:v>
                </c:pt>
                <c:pt idx="8">
                  <c:v>5</c:v>
                </c:pt>
              </c:numCache>
            </c:numRef>
          </c:val>
        </c:ser>
        <c:dLbls>
          <c:showLegendKey val="0"/>
          <c:showVal val="0"/>
          <c:showCatName val="0"/>
          <c:showSerName val="0"/>
          <c:showPercent val="0"/>
          <c:showBubbleSize val="0"/>
        </c:dLbls>
        <c:gapWidth val="150"/>
        <c:axId val="80274560"/>
        <c:axId val="80276096"/>
      </c:barChart>
      <c:catAx>
        <c:axId val="80274560"/>
        <c:scaling>
          <c:orientation val="minMax"/>
        </c:scaling>
        <c:delete val="0"/>
        <c:axPos val="b"/>
        <c:majorTickMark val="out"/>
        <c:minorTickMark val="none"/>
        <c:tickLblPos val="nextTo"/>
        <c:txPr>
          <a:bodyPr/>
          <a:lstStyle/>
          <a:p>
            <a:pPr>
              <a:defRPr sz="900"/>
            </a:pPr>
            <a:endParaRPr lang="en-US"/>
          </a:p>
        </c:txPr>
        <c:crossAx val="80276096"/>
        <c:crosses val="autoZero"/>
        <c:auto val="1"/>
        <c:lblAlgn val="ctr"/>
        <c:lblOffset val="100"/>
        <c:noMultiLvlLbl val="0"/>
      </c:catAx>
      <c:valAx>
        <c:axId val="80276096"/>
        <c:scaling>
          <c:orientation val="minMax"/>
          <c:min val="1"/>
        </c:scaling>
        <c:delete val="0"/>
        <c:axPos val="l"/>
        <c:title>
          <c:tx>
            <c:rich>
              <a:bodyPr rot="-5400000" vert="horz"/>
              <a:lstStyle/>
              <a:p>
                <a:pPr>
                  <a:defRPr sz="900"/>
                </a:pPr>
                <a:r>
                  <a:rPr lang="en-US" sz="900"/>
                  <a:t>Median</a:t>
                </a:r>
                <a:r>
                  <a:rPr lang="en-US" sz="900" baseline="0"/>
                  <a:t> Score</a:t>
                </a:r>
                <a:endParaRPr lang="en-US" sz="900"/>
              </a:p>
            </c:rich>
          </c:tx>
          <c:layout>
            <c:manualLayout>
              <c:xMode val="edge"/>
              <c:yMode val="edge"/>
              <c:x val="1.5394914405185058E-2"/>
              <c:y val="0.16227680089211649"/>
            </c:manualLayout>
          </c:layout>
          <c:overlay val="0"/>
        </c:title>
        <c:numFmt formatCode="General" sourceLinked="1"/>
        <c:majorTickMark val="out"/>
        <c:minorTickMark val="none"/>
        <c:tickLblPos val="nextTo"/>
        <c:txPr>
          <a:bodyPr/>
          <a:lstStyle/>
          <a:p>
            <a:pPr>
              <a:defRPr sz="900"/>
            </a:pPr>
            <a:endParaRPr lang="en-US"/>
          </a:p>
        </c:txPr>
        <c:crossAx val="8027456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52817164457853"/>
          <c:y val="8.3491461100569278E-2"/>
          <c:w val="0.80878499239180568"/>
          <c:h val="0.5558844689409892"/>
        </c:manualLayout>
      </c:layout>
      <c:barChart>
        <c:barDir val="col"/>
        <c:grouping val="clustered"/>
        <c:varyColors val="0"/>
        <c:ser>
          <c:idx val="0"/>
          <c:order val="0"/>
          <c:tx>
            <c:strRef>
              <c:f>Sheet1!$A$14</c:f>
              <c:strCache>
                <c:ptCount val="1"/>
                <c:pt idx="0">
                  <c:v>Easy to understand how to use</c:v>
                </c:pt>
              </c:strCache>
            </c:strRef>
          </c:tx>
          <c:invertIfNegative val="0"/>
          <c:cat>
            <c:strRef>
              <c:f>Sheet1!$B$13:$J$13</c:f>
              <c:strCache>
                <c:ptCount val="9"/>
                <c:pt idx="0">
                  <c:v>Measure 1</c:v>
                </c:pt>
                <c:pt idx="1">
                  <c:v>Measure 2</c:v>
                </c:pt>
                <c:pt idx="2">
                  <c:v>Measure 3</c:v>
                </c:pt>
                <c:pt idx="3">
                  <c:v>Measure 4</c:v>
                </c:pt>
                <c:pt idx="4">
                  <c:v>Measure 5</c:v>
                </c:pt>
                <c:pt idx="5">
                  <c:v>Measure 6</c:v>
                </c:pt>
                <c:pt idx="6">
                  <c:v>Measure 7</c:v>
                </c:pt>
                <c:pt idx="7">
                  <c:v>Measure 8</c:v>
                </c:pt>
                <c:pt idx="8">
                  <c:v>Measure 9</c:v>
                </c:pt>
              </c:strCache>
            </c:strRef>
          </c:cat>
          <c:val>
            <c:numRef>
              <c:f>Sheet1!$B$14:$J$14</c:f>
              <c:numCache>
                <c:formatCode>General</c:formatCode>
                <c:ptCount val="9"/>
                <c:pt idx="0">
                  <c:v>5</c:v>
                </c:pt>
                <c:pt idx="1">
                  <c:v>5</c:v>
                </c:pt>
                <c:pt idx="2">
                  <c:v>6</c:v>
                </c:pt>
                <c:pt idx="3">
                  <c:v>6</c:v>
                </c:pt>
                <c:pt idx="4">
                  <c:v>2</c:v>
                </c:pt>
                <c:pt idx="5">
                  <c:v>3</c:v>
                </c:pt>
                <c:pt idx="6">
                  <c:v>6</c:v>
                </c:pt>
                <c:pt idx="7">
                  <c:v>5.5</c:v>
                </c:pt>
                <c:pt idx="8">
                  <c:v>5.5</c:v>
                </c:pt>
              </c:numCache>
            </c:numRef>
          </c:val>
        </c:ser>
        <c:dLbls>
          <c:showLegendKey val="0"/>
          <c:showVal val="0"/>
          <c:showCatName val="0"/>
          <c:showSerName val="0"/>
          <c:showPercent val="0"/>
          <c:showBubbleSize val="0"/>
        </c:dLbls>
        <c:gapWidth val="150"/>
        <c:axId val="26862336"/>
        <c:axId val="26863872"/>
      </c:barChart>
      <c:catAx>
        <c:axId val="26862336"/>
        <c:scaling>
          <c:orientation val="minMax"/>
        </c:scaling>
        <c:delete val="0"/>
        <c:axPos val="b"/>
        <c:majorTickMark val="out"/>
        <c:minorTickMark val="none"/>
        <c:tickLblPos val="nextTo"/>
        <c:txPr>
          <a:bodyPr/>
          <a:lstStyle/>
          <a:p>
            <a:pPr>
              <a:defRPr sz="900"/>
            </a:pPr>
            <a:endParaRPr lang="en-US"/>
          </a:p>
        </c:txPr>
        <c:crossAx val="26863872"/>
        <c:crosses val="autoZero"/>
        <c:auto val="1"/>
        <c:lblAlgn val="ctr"/>
        <c:lblOffset val="100"/>
        <c:noMultiLvlLbl val="0"/>
      </c:catAx>
      <c:valAx>
        <c:axId val="26863872"/>
        <c:scaling>
          <c:orientation val="minMax"/>
          <c:min val="1"/>
        </c:scaling>
        <c:delete val="0"/>
        <c:axPos val="l"/>
        <c:title>
          <c:tx>
            <c:rich>
              <a:bodyPr rot="-5400000" vert="horz"/>
              <a:lstStyle/>
              <a:p>
                <a:pPr>
                  <a:defRPr sz="900"/>
                </a:pPr>
                <a:r>
                  <a:rPr lang="en-US" sz="900"/>
                  <a:t>Median</a:t>
                </a:r>
                <a:r>
                  <a:rPr lang="en-US" sz="900" baseline="0"/>
                  <a:t> Score</a:t>
                </a:r>
                <a:endParaRPr lang="en-US" sz="900"/>
              </a:p>
            </c:rich>
          </c:tx>
          <c:layout>
            <c:manualLayout>
              <c:xMode val="edge"/>
              <c:yMode val="edge"/>
              <c:x val="1.5177548939379136E-2"/>
              <c:y val="0.17425331321250878"/>
            </c:manualLayout>
          </c:layout>
          <c:overlay val="0"/>
        </c:title>
        <c:numFmt formatCode="General" sourceLinked="1"/>
        <c:majorTickMark val="out"/>
        <c:minorTickMark val="none"/>
        <c:tickLblPos val="nextTo"/>
        <c:txPr>
          <a:bodyPr/>
          <a:lstStyle/>
          <a:p>
            <a:pPr>
              <a:defRPr sz="900"/>
            </a:pPr>
            <a:endParaRPr lang="en-US"/>
          </a:p>
        </c:txPr>
        <c:crossAx val="2686233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2190565480218"/>
          <c:y val="0.10629054669874047"/>
          <c:w val="0.80878499239180568"/>
          <c:h val="0.55588473431828034"/>
        </c:manualLayout>
      </c:layout>
      <c:barChart>
        <c:barDir val="col"/>
        <c:grouping val="clustered"/>
        <c:varyColors val="0"/>
        <c:ser>
          <c:idx val="0"/>
          <c:order val="0"/>
          <c:tx>
            <c:strRef>
              <c:f>Sheet1!$A$20</c:f>
              <c:strCache>
                <c:ptCount val="1"/>
                <c:pt idx="0">
                  <c:v>Is relevant for healthcare organizations</c:v>
                </c:pt>
              </c:strCache>
            </c:strRef>
          </c:tx>
          <c:invertIfNegative val="0"/>
          <c:cat>
            <c:strRef>
              <c:f>Sheet1!$B$19:$J$19</c:f>
              <c:strCache>
                <c:ptCount val="9"/>
                <c:pt idx="0">
                  <c:v>Measure 1</c:v>
                </c:pt>
                <c:pt idx="1">
                  <c:v>Measure 2</c:v>
                </c:pt>
                <c:pt idx="2">
                  <c:v>Measure 3</c:v>
                </c:pt>
                <c:pt idx="3">
                  <c:v>Measure 4</c:v>
                </c:pt>
                <c:pt idx="4">
                  <c:v>Measure 5</c:v>
                </c:pt>
                <c:pt idx="5">
                  <c:v>Measure 6</c:v>
                </c:pt>
                <c:pt idx="6">
                  <c:v>Measure 7</c:v>
                </c:pt>
                <c:pt idx="7">
                  <c:v>Measure 8</c:v>
                </c:pt>
                <c:pt idx="8">
                  <c:v>Measure 9</c:v>
                </c:pt>
              </c:strCache>
            </c:strRef>
          </c:cat>
          <c:val>
            <c:numRef>
              <c:f>Sheet1!$B$20:$J$20</c:f>
              <c:numCache>
                <c:formatCode>General</c:formatCode>
                <c:ptCount val="9"/>
                <c:pt idx="0">
                  <c:v>5</c:v>
                </c:pt>
                <c:pt idx="1">
                  <c:v>5</c:v>
                </c:pt>
                <c:pt idx="2">
                  <c:v>4.5</c:v>
                </c:pt>
                <c:pt idx="3">
                  <c:v>5</c:v>
                </c:pt>
                <c:pt idx="4">
                  <c:v>3</c:v>
                </c:pt>
                <c:pt idx="5">
                  <c:v>5</c:v>
                </c:pt>
                <c:pt idx="6">
                  <c:v>6</c:v>
                </c:pt>
                <c:pt idx="7">
                  <c:v>5</c:v>
                </c:pt>
                <c:pt idx="8">
                  <c:v>5</c:v>
                </c:pt>
              </c:numCache>
            </c:numRef>
          </c:val>
        </c:ser>
        <c:dLbls>
          <c:showLegendKey val="0"/>
          <c:showVal val="0"/>
          <c:showCatName val="0"/>
          <c:showSerName val="0"/>
          <c:showPercent val="0"/>
          <c:showBubbleSize val="0"/>
        </c:dLbls>
        <c:gapWidth val="150"/>
        <c:axId val="42842368"/>
        <c:axId val="42856448"/>
      </c:barChart>
      <c:catAx>
        <c:axId val="42842368"/>
        <c:scaling>
          <c:orientation val="minMax"/>
        </c:scaling>
        <c:delete val="0"/>
        <c:axPos val="b"/>
        <c:majorTickMark val="out"/>
        <c:minorTickMark val="none"/>
        <c:tickLblPos val="nextTo"/>
        <c:txPr>
          <a:bodyPr/>
          <a:lstStyle/>
          <a:p>
            <a:pPr>
              <a:defRPr sz="900"/>
            </a:pPr>
            <a:endParaRPr lang="en-US"/>
          </a:p>
        </c:txPr>
        <c:crossAx val="42856448"/>
        <c:crosses val="autoZero"/>
        <c:auto val="1"/>
        <c:lblAlgn val="ctr"/>
        <c:lblOffset val="100"/>
        <c:noMultiLvlLbl val="0"/>
      </c:catAx>
      <c:valAx>
        <c:axId val="42856448"/>
        <c:scaling>
          <c:orientation val="minMax"/>
          <c:min val="1"/>
        </c:scaling>
        <c:delete val="0"/>
        <c:axPos val="l"/>
        <c:title>
          <c:tx>
            <c:rich>
              <a:bodyPr rot="-5400000" vert="horz"/>
              <a:lstStyle/>
              <a:p>
                <a:pPr>
                  <a:defRPr sz="900"/>
                </a:pPr>
                <a:r>
                  <a:rPr lang="en-US" sz="900"/>
                  <a:t>Median Score</a:t>
                </a:r>
              </a:p>
            </c:rich>
          </c:tx>
          <c:layout>
            <c:manualLayout>
              <c:xMode val="edge"/>
              <c:yMode val="edge"/>
              <c:x val="1.8971936174223918E-2"/>
              <c:y val="0.14389337955146506"/>
            </c:manualLayout>
          </c:layout>
          <c:overlay val="0"/>
        </c:title>
        <c:numFmt formatCode="General" sourceLinked="1"/>
        <c:majorTickMark val="out"/>
        <c:minorTickMark val="none"/>
        <c:tickLblPos val="nextTo"/>
        <c:txPr>
          <a:bodyPr/>
          <a:lstStyle/>
          <a:p>
            <a:pPr>
              <a:defRPr sz="900"/>
            </a:pPr>
            <a:endParaRPr lang="en-US"/>
          </a:p>
        </c:txPr>
        <c:crossAx val="4284236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006262245388338"/>
          <c:y val="8.2212257100149483E-2"/>
          <c:w val="0.79361033607319731"/>
          <c:h val="0.56264784595069817"/>
        </c:manualLayout>
      </c:layout>
      <c:barChart>
        <c:barDir val="col"/>
        <c:grouping val="clustered"/>
        <c:varyColors val="0"/>
        <c:ser>
          <c:idx val="0"/>
          <c:order val="0"/>
          <c:invertIfNegative val="0"/>
          <c:cat>
            <c:strRef>
              <c:f>Sheet2!$B$1:$J$1</c:f>
              <c:strCache>
                <c:ptCount val="9"/>
                <c:pt idx="0">
                  <c:v>Measure 1</c:v>
                </c:pt>
                <c:pt idx="1">
                  <c:v>Measure 2</c:v>
                </c:pt>
                <c:pt idx="2">
                  <c:v>Measure 3</c:v>
                </c:pt>
                <c:pt idx="3">
                  <c:v>Measure 4</c:v>
                </c:pt>
                <c:pt idx="4">
                  <c:v>Measure 5</c:v>
                </c:pt>
                <c:pt idx="5">
                  <c:v>Measure 6</c:v>
                </c:pt>
                <c:pt idx="6">
                  <c:v>Measure 7</c:v>
                </c:pt>
                <c:pt idx="7">
                  <c:v>Measure 8</c:v>
                </c:pt>
                <c:pt idx="8">
                  <c:v>Measure 9</c:v>
                </c:pt>
              </c:strCache>
            </c:strRef>
          </c:cat>
          <c:val>
            <c:numRef>
              <c:f>Sheet2!$B$2:$J$2</c:f>
              <c:numCache>
                <c:formatCode>General</c:formatCode>
                <c:ptCount val="9"/>
                <c:pt idx="0">
                  <c:v>6</c:v>
                </c:pt>
                <c:pt idx="1">
                  <c:v>6</c:v>
                </c:pt>
                <c:pt idx="2">
                  <c:v>6</c:v>
                </c:pt>
                <c:pt idx="3">
                  <c:v>7</c:v>
                </c:pt>
                <c:pt idx="4">
                  <c:v>3</c:v>
                </c:pt>
                <c:pt idx="5">
                  <c:v>5</c:v>
                </c:pt>
                <c:pt idx="6">
                  <c:v>8</c:v>
                </c:pt>
                <c:pt idx="7">
                  <c:v>5</c:v>
                </c:pt>
                <c:pt idx="8">
                  <c:v>6</c:v>
                </c:pt>
              </c:numCache>
            </c:numRef>
          </c:val>
        </c:ser>
        <c:dLbls>
          <c:showLegendKey val="0"/>
          <c:showVal val="0"/>
          <c:showCatName val="0"/>
          <c:showSerName val="0"/>
          <c:showPercent val="0"/>
          <c:showBubbleSize val="0"/>
        </c:dLbls>
        <c:gapWidth val="150"/>
        <c:axId val="43007360"/>
        <c:axId val="64492672"/>
      </c:barChart>
      <c:catAx>
        <c:axId val="43007360"/>
        <c:scaling>
          <c:orientation val="minMax"/>
        </c:scaling>
        <c:delete val="0"/>
        <c:axPos val="b"/>
        <c:majorTickMark val="out"/>
        <c:minorTickMark val="none"/>
        <c:tickLblPos val="nextTo"/>
        <c:txPr>
          <a:bodyPr/>
          <a:lstStyle/>
          <a:p>
            <a:pPr>
              <a:defRPr sz="900"/>
            </a:pPr>
            <a:endParaRPr lang="en-US"/>
          </a:p>
        </c:txPr>
        <c:crossAx val="64492672"/>
        <c:crosses val="autoZero"/>
        <c:auto val="1"/>
        <c:lblAlgn val="ctr"/>
        <c:lblOffset val="100"/>
        <c:noMultiLvlLbl val="0"/>
      </c:catAx>
      <c:valAx>
        <c:axId val="64492672"/>
        <c:scaling>
          <c:orientation val="minMax"/>
          <c:min val="0"/>
        </c:scaling>
        <c:delete val="0"/>
        <c:axPos val="l"/>
        <c:title>
          <c:tx>
            <c:rich>
              <a:bodyPr rot="-5400000" vert="horz"/>
              <a:lstStyle/>
              <a:p>
                <a:pPr>
                  <a:defRPr sz="900"/>
                </a:pPr>
                <a:r>
                  <a:rPr lang="en-US" sz="900"/>
                  <a:t>Median</a:t>
                </a:r>
                <a:r>
                  <a:rPr lang="en-US" sz="900" baseline="0"/>
                  <a:t> Score</a:t>
                </a:r>
                <a:endParaRPr lang="en-US" sz="900"/>
              </a:p>
            </c:rich>
          </c:tx>
          <c:layout>
            <c:manualLayout>
              <c:xMode val="edge"/>
              <c:yMode val="edge"/>
              <c:x val="2.2534011719460432E-2"/>
              <c:y val="0.14930322611018917"/>
            </c:manualLayout>
          </c:layout>
          <c:overlay val="0"/>
        </c:title>
        <c:numFmt formatCode="General" sourceLinked="1"/>
        <c:majorTickMark val="out"/>
        <c:minorTickMark val="none"/>
        <c:tickLblPos val="nextTo"/>
        <c:txPr>
          <a:bodyPr/>
          <a:lstStyle/>
          <a:p>
            <a:pPr>
              <a:defRPr sz="900"/>
            </a:pPr>
            <a:endParaRPr lang="en-US"/>
          </a:p>
        </c:txPr>
        <c:crossAx val="4300736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97884670356797"/>
          <c:y val="7.9193252783057291E-2"/>
          <c:w val="0.85052086310993302"/>
          <c:h val="0.67672447194100738"/>
        </c:manualLayout>
      </c:layout>
      <c:barChart>
        <c:barDir val="col"/>
        <c:grouping val="clustered"/>
        <c:varyColors val="0"/>
        <c:ser>
          <c:idx val="0"/>
          <c:order val="0"/>
          <c:invertIfNegative val="0"/>
          <c:cat>
            <c:strRef>
              <c:f>Sheet2!$M$1:$P$1</c:f>
              <c:strCache>
                <c:ptCount val="4"/>
                <c:pt idx="0">
                  <c:v>Scenario #1 (measure for purchase)</c:v>
                </c:pt>
                <c:pt idx="1">
                  <c:v>Scenario #2 (embedded in paper)</c:v>
                </c:pt>
                <c:pt idx="2">
                  <c:v>Scenario #3 (included toolkit)</c:v>
                </c:pt>
                <c:pt idx="3">
                  <c:v>Scenario #4 (standalone document)</c:v>
                </c:pt>
              </c:strCache>
            </c:strRef>
          </c:cat>
          <c:val>
            <c:numRef>
              <c:f>Sheet2!$M$2:$P$2</c:f>
              <c:numCache>
                <c:formatCode>General</c:formatCode>
                <c:ptCount val="4"/>
                <c:pt idx="0">
                  <c:v>3</c:v>
                </c:pt>
                <c:pt idx="1">
                  <c:v>8</c:v>
                </c:pt>
                <c:pt idx="2">
                  <c:v>9</c:v>
                </c:pt>
                <c:pt idx="3">
                  <c:v>8</c:v>
                </c:pt>
              </c:numCache>
            </c:numRef>
          </c:val>
        </c:ser>
        <c:dLbls>
          <c:showLegendKey val="0"/>
          <c:showVal val="0"/>
          <c:showCatName val="0"/>
          <c:showSerName val="0"/>
          <c:showPercent val="0"/>
          <c:showBubbleSize val="0"/>
        </c:dLbls>
        <c:gapWidth val="150"/>
        <c:axId val="64512768"/>
        <c:axId val="64514304"/>
      </c:barChart>
      <c:catAx>
        <c:axId val="64512768"/>
        <c:scaling>
          <c:orientation val="minMax"/>
        </c:scaling>
        <c:delete val="0"/>
        <c:axPos val="b"/>
        <c:majorTickMark val="out"/>
        <c:minorTickMark val="none"/>
        <c:tickLblPos val="nextTo"/>
        <c:txPr>
          <a:bodyPr/>
          <a:lstStyle/>
          <a:p>
            <a:pPr>
              <a:defRPr sz="900"/>
            </a:pPr>
            <a:endParaRPr lang="en-US"/>
          </a:p>
        </c:txPr>
        <c:crossAx val="64514304"/>
        <c:crosses val="autoZero"/>
        <c:auto val="1"/>
        <c:lblAlgn val="ctr"/>
        <c:lblOffset val="100"/>
        <c:noMultiLvlLbl val="0"/>
      </c:catAx>
      <c:valAx>
        <c:axId val="64514304"/>
        <c:scaling>
          <c:orientation val="minMax"/>
        </c:scaling>
        <c:delete val="0"/>
        <c:axPos val="l"/>
        <c:title>
          <c:tx>
            <c:rich>
              <a:bodyPr rot="-5400000" vert="horz"/>
              <a:lstStyle/>
              <a:p>
                <a:pPr>
                  <a:defRPr/>
                </a:pPr>
                <a:r>
                  <a:rPr lang="en-US"/>
                  <a:t>Median Score</a:t>
                </a:r>
              </a:p>
            </c:rich>
          </c:tx>
          <c:layout>
            <c:manualLayout>
              <c:xMode val="edge"/>
              <c:yMode val="edge"/>
              <c:x val="7.6628352490421452E-3"/>
              <c:y val="0.1734970359308535"/>
            </c:manualLayout>
          </c:layout>
          <c:overlay val="0"/>
        </c:title>
        <c:numFmt formatCode="General" sourceLinked="1"/>
        <c:majorTickMark val="out"/>
        <c:minorTickMark val="none"/>
        <c:tickLblPos val="nextTo"/>
        <c:txPr>
          <a:bodyPr/>
          <a:lstStyle/>
          <a:p>
            <a:pPr>
              <a:defRPr sz="900"/>
            </a:pPr>
            <a:endParaRPr lang="en-US"/>
          </a:p>
        </c:txPr>
        <c:crossAx val="64512768"/>
        <c:crosses val="autoZero"/>
        <c:crossBetween val="between"/>
        <c:majorUnit val="2"/>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49CCD5E42F4CB5B0CFEDB2439248D6"/>
        <w:category>
          <w:name w:val="General"/>
          <w:gallery w:val="placeholder"/>
        </w:category>
        <w:types>
          <w:type w:val="bbPlcHdr"/>
        </w:types>
        <w:behaviors>
          <w:behavior w:val="content"/>
        </w:behaviors>
        <w:guid w:val="{43B73E44-4815-4A58-8FCB-B7E77341BC3F}"/>
      </w:docPartPr>
      <w:docPartBody>
        <w:p w:rsidR="00691A4A" w:rsidRDefault="00691A4A" w:rsidP="00691A4A">
          <w:pPr>
            <w:pStyle w:val="5749CCD5E42F4CB5B0CFEDB2439248D6"/>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691A4A"/>
    <w:rsid w:val="00691A4A"/>
    <w:rsid w:val="008A0366"/>
    <w:rsid w:val="00CA348D"/>
    <w:rsid w:val="00EB66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6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D151D22737475693CF7F466BDC5845">
    <w:name w:val="47D151D22737475693CF7F466BDC5845"/>
    <w:rsid w:val="00691A4A"/>
  </w:style>
  <w:style w:type="paragraph" w:customStyle="1" w:styleId="5749CCD5E42F4CB5B0CFEDB2439248D6">
    <w:name w:val="5749CCD5E42F4CB5B0CFEDB2439248D6"/>
    <w:rsid w:val="00691A4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Contact: Caitlyn Timmings (timmingsc@smh.ca)</dc:creator>
  <cp:lastModifiedBy>Caitlyn Timmings</cp:lastModifiedBy>
  <cp:revision>2</cp:revision>
  <cp:lastPrinted>2014-05-06T14:16:00Z</cp:lastPrinted>
  <dcterms:created xsi:type="dcterms:W3CDTF">2016-02-09T20:44:00Z</dcterms:created>
  <dcterms:modified xsi:type="dcterms:W3CDTF">2016-02-09T20:44:00Z</dcterms:modified>
</cp:coreProperties>
</file>