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4D3" w:rsidRDefault="000D44D3" w:rsidP="000D44D3">
      <w:pPr>
        <w:pStyle w:val="Normal1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bCs/>
          <w:sz w:val="24"/>
          <w:szCs w:val="24"/>
        </w:rPr>
        <w:t>E-APPENDIX 1.</w:t>
      </w:r>
      <w:proofErr w:type="gramEnd"/>
      <w:r>
        <w:rPr>
          <w:rFonts w:ascii="Times New Roman" w:hAnsi="Times New Roman"/>
          <w:sz w:val="24"/>
          <w:szCs w:val="24"/>
        </w:rPr>
        <w:t xml:space="preserve"> Example of a syndrome card</w:t>
      </w:r>
    </w:p>
    <w:p w:rsidR="000D44D3" w:rsidRDefault="000D44D3" w:rsidP="000D44D3">
      <w:pPr>
        <w:pStyle w:val="Heading2"/>
        <w:spacing w:before="0" w:line="240" w:lineRule="auto"/>
      </w:pPr>
      <w:r>
        <w:rPr>
          <w:rFonts w:ascii="Times New Roman" w:hAnsi="Times New Roman" w:cs="Times New Roman"/>
          <w:szCs w:val="32"/>
        </w:rPr>
        <w:t>GASTROINTESTINAL BLEEDING (GIB)</w:t>
      </w:r>
    </w:p>
    <w:p w:rsidR="000D44D3" w:rsidRDefault="000D44D3" w:rsidP="000D44D3">
      <w:pPr>
        <w:spacing w:line="240" w:lineRule="auto"/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(Last updated 06/08/2015; Author: Benjamin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Bonneton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MD; Reviewers: Martin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Duenser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MD; Neill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Adhikari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, MD)</w:t>
      </w:r>
    </w:p>
    <w:p w:rsidR="000D44D3" w:rsidRDefault="000D44D3" w:rsidP="000D44D3"/>
    <w:p w:rsidR="000D44D3" w:rsidRDefault="000D44D3" w:rsidP="000D4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1) IMMEDIATE CONSIDERATIONS</w:t>
      </w:r>
    </w:p>
    <w:p w:rsidR="000D44D3" w:rsidRDefault="000D44D3" w:rsidP="000D4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FINDINGS / DIAGNOSTIC INTERVENTIONS</w:t>
      </w:r>
    </w:p>
    <w:p w:rsidR="000D44D3" w:rsidRDefault="000D44D3" w:rsidP="000D44D3">
      <w:pPr>
        <w:numPr>
          <w:ilvl w:val="0"/>
          <w:numId w:val="3"/>
        </w:numPr>
        <w:spacing w:after="0"/>
        <w:ind w:left="180" w:hanging="1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Upper GIB:</w:t>
      </w:r>
    </w:p>
    <w:p w:rsidR="000D44D3" w:rsidRDefault="000D44D3" w:rsidP="000D44D3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History:</w:t>
      </w:r>
      <w:r>
        <w:rPr>
          <w:rFonts w:ascii="Times New Roman" w:hAnsi="Times New Roman" w:cs="Times New Roman"/>
          <w:sz w:val="24"/>
          <w:szCs w:val="24"/>
        </w:rPr>
        <w:t xml:space="preserve"> cirrhosis, alcohol abuse, malignancy, aspirin/NSAIDs use, repeated vomiting (Mallory-Weiss tear), radiation</w:t>
      </w:r>
    </w:p>
    <w:p w:rsidR="000D44D3" w:rsidRDefault="000D44D3" w:rsidP="000D44D3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Physical Findings:</w:t>
      </w:r>
      <w:r>
        <w:rPr>
          <w:rFonts w:ascii="Times New Roman" w:hAnsi="Times New Roman" w:cs="Times New Roman"/>
          <w:sz w:val="24"/>
          <w:szCs w:val="24"/>
        </w:rPr>
        <w:t xml:space="preserve"> check vital signs for evidence of shock(pulse/heart rate/BP/peripheries), hematemesis (red blood/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/coffee ground vomiting),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hematochezia</w:t>
      </w:r>
      <w:proofErr w:type="spellEnd"/>
      <w:r>
        <w:rPr>
          <w:rFonts w:ascii="Times New Roman" w:hAnsi="Times New Roman" w:cs="Times New Roman"/>
          <w:sz w:val="24"/>
          <w:szCs w:val="24"/>
        </w:rPr>
        <w:t>, melena, abdominal pain</w:t>
      </w:r>
    </w:p>
    <w:p w:rsidR="000D44D3" w:rsidRDefault="000D44D3" w:rsidP="000D44D3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 nasogastric tube and diagnostic lavage(rarely done)</w:t>
      </w:r>
    </w:p>
    <w:p w:rsidR="000D44D3" w:rsidRDefault="000D44D3" w:rsidP="000D44D3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Underlying Causes: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Esophageal causes-</w:t>
      </w:r>
      <w:r>
        <w:rPr>
          <w:rFonts w:ascii="Times New Roman" w:hAnsi="Times New Roman" w:cs="Times New Roman"/>
          <w:sz w:val="24"/>
          <w:szCs w:val="24"/>
        </w:rPr>
        <w:t xml:space="preserve"> esophageal varices/lesions, esophageal tear, esophagitis</w:t>
      </w:r>
    </w:p>
    <w:p w:rsidR="000D44D3" w:rsidRDefault="000D44D3" w:rsidP="000D44D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Gastric causes</w:t>
      </w:r>
      <w:r>
        <w:rPr>
          <w:rFonts w:ascii="Times New Roman" w:hAnsi="Times New Roman" w:cs="Times New Roman"/>
          <w:sz w:val="24"/>
          <w:szCs w:val="24"/>
        </w:rPr>
        <w:t xml:space="preserve">-erosive gastritis or peptic ulcer disease, portal hypertensive </w:t>
      </w:r>
      <w:proofErr w:type="spellStart"/>
      <w:r>
        <w:rPr>
          <w:rFonts w:ascii="Times New Roman" w:hAnsi="Times New Roman" w:cs="Times New Roman"/>
          <w:sz w:val="24"/>
          <w:szCs w:val="24"/>
        </w:rPr>
        <w:t>gastropathy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gastric tumors, gastric vascular abnormalities, </w:t>
      </w:r>
      <w:proofErr w:type="spellStart"/>
      <w:r>
        <w:rPr>
          <w:rFonts w:ascii="Times New Roman" w:hAnsi="Times New Roman" w:cs="Times New Roman"/>
          <w:sz w:val="24"/>
          <w:szCs w:val="24"/>
        </w:rPr>
        <w:t>aortoenteric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fistulas,</w:t>
      </w:r>
    </w:p>
    <w:p w:rsidR="000D44D3" w:rsidRDefault="000D44D3" w:rsidP="000D44D3">
      <w:pPr>
        <w:numPr>
          <w:ilvl w:val="0"/>
          <w:numId w:val="4"/>
        </w:numPr>
        <w:spacing w:after="0"/>
        <w:ind w:left="180" w:hanging="1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Lower GIB:</w:t>
      </w:r>
    </w:p>
    <w:p w:rsidR="000D44D3" w:rsidRDefault="000D44D3" w:rsidP="000D44D3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History: </w:t>
      </w:r>
      <w:r>
        <w:rPr>
          <w:rFonts w:ascii="Times New Roman" w:hAnsi="Times New Roman" w:cs="Times New Roman"/>
          <w:sz w:val="24"/>
          <w:szCs w:val="24"/>
        </w:rPr>
        <w:t>malignancy, NSAID use, diarrhea or constipation, abdominal or rectal pain, weight loss</w:t>
      </w:r>
    </w:p>
    <w:p w:rsidR="000D44D3" w:rsidRDefault="000D44D3" w:rsidP="000D44D3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Physical Findings:</w:t>
      </w:r>
      <w:r>
        <w:rPr>
          <w:rFonts w:ascii="Times New Roman" w:hAnsi="Times New Roman" w:cs="Times New Roman"/>
          <w:sz w:val="24"/>
          <w:szCs w:val="24"/>
        </w:rPr>
        <w:t xml:space="preserve"> melena (rectal examination!),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hematochezia</w:t>
      </w:r>
      <w:proofErr w:type="spellEnd"/>
      <w:r>
        <w:rPr>
          <w:rFonts w:ascii="Times New Roman" w:hAnsi="Times New Roman" w:cs="Times New Roman"/>
          <w:sz w:val="24"/>
          <w:szCs w:val="24"/>
        </w:rPr>
        <w:t>. abdominal pain or mass</w:t>
      </w:r>
    </w:p>
    <w:p w:rsidR="000D44D3" w:rsidRDefault="000D44D3" w:rsidP="000D44D3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Underlying Causes:</w:t>
      </w:r>
      <w:r>
        <w:rPr>
          <w:rFonts w:ascii="Times New Roman" w:hAnsi="Times New Roman" w:cs="Times New Roman"/>
          <w:sz w:val="24"/>
          <w:szCs w:val="24"/>
        </w:rPr>
        <w:t xml:space="preserve"> GI tumors, vascular abnormalities/lesions, inflammatory bowel disease, diverticulosis, colitis, hemorrhoids, rectal varices</w:t>
      </w:r>
    </w:p>
    <w:p w:rsidR="000D44D3" w:rsidRDefault="000D44D3" w:rsidP="000D44D3">
      <w:pPr>
        <w:numPr>
          <w:ilvl w:val="0"/>
          <w:numId w:val="5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Labs:</w:t>
      </w:r>
      <w:r>
        <w:rPr>
          <w:rFonts w:ascii="Times New Roman" w:hAnsi="Times New Roman" w:cs="Times New Roman"/>
          <w:sz w:val="24"/>
          <w:szCs w:val="24"/>
        </w:rPr>
        <w:t xml:space="preserve"> complete blood count, coagulation (INR/PTT), blood type, </w:t>
      </w:r>
      <w:proofErr w:type="spellStart"/>
      <w:r>
        <w:rPr>
          <w:rFonts w:ascii="Times New Roman" w:hAnsi="Times New Roman" w:cs="Times New Roman"/>
          <w:sz w:val="24"/>
          <w:szCs w:val="24"/>
        </w:rPr>
        <w:t>crossmatch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LFTs</w:t>
      </w:r>
    </w:p>
    <w:p w:rsidR="000D44D3" w:rsidRDefault="000D44D3" w:rsidP="000D44D3">
      <w:pPr>
        <w:numPr>
          <w:ilvl w:val="0"/>
          <w:numId w:val="5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Monitoring:</w:t>
      </w:r>
      <w:r>
        <w:rPr>
          <w:rFonts w:ascii="Times New Roman" w:hAnsi="Times New Roman" w:cs="Times New Roman"/>
          <w:sz w:val="24"/>
          <w:szCs w:val="24"/>
        </w:rPr>
        <w:t xml:space="preserve"> hemodynamic and respiratory status</w:t>
      </w:r>
    </w:p>
    <w:p w:rsidR="000D44D3" w:rsidRDefault="000D44D3" w:rsidP="000D44D3">
      <w:pPr>
        <w:numPr>
          <w:ilvl w:val="0"/>
          <w:numId w:val="5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Imaging Studies:</w:t>
      </w:r>
      <w:r>
        <w:rPr>
          <w:rFonts w:ascii="Times New Roman" w:hAnsi="Times New Roman" w:cs="Times New Roman"/>
          <w:sz w:val="24"/>
          <w:szCs w:val="24"/>
        </w:rPr>
        <w:t xml:space="preserve"> endoscopy (esophagogastroduodenoscopy, colonoscopy), computer tomography angiography or digital subtraction angiography (lower GIB)</w:t>
      </w:r>
    </w:p>
    <w:p w:rsidR="000D44D3" w:rsidRDefault="000D44D3" w:rsidP="000D44D3">
      <w:pPr>
        <w:rPr>
          <w:rFonts w:ascii="Times New Roman" w:hAnsi="Times New Roman" w:cs="Times New Roman"/>
          <w:sz w:val="24"/>
          <w:szCs w:val="24"/>
        </w:rPr>
      </w:pPr>
    </w:p>
    <w:p w:rsidR="000D44D3" w:rsidRDefault="000D44D3" w:rsidP="000D4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THERAPEUTIC INTERVENTIONS</w:t>
      </w:r>
    </w:p>
    <w:p w:rsidR="000D44D3" w:rsidRDefault="000D44D3" w:rsidP="000D44D3">
      <w:pPr>
        <w:numPr>
          <w:ilvl w:val="0"/>
          <w:numId w:val="6"/>
        </w:numPr>
        <w:spacing w:after="0"/>
        <w:ind w:left="180" w:hanging="1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General:</w:t>
      </w:r>
    </w:p>
    <w:p w:rsidR="000D44D3" w:rsidRDefault="000D44D3" w:rsidP="000D44D3">
      <w:pPr>
        <w:numPr>
          <w:ilvl w:val="1"/>
          <w:numId w:val="6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Resuscitation</w:t>
      </w:r>
      <w:r>
        <w:rPr>
          <w:rFonts w:ascii="Times New Roman" w:hAnsi="Times New Roman" w:cs="Times New Roman"/>
          <w:sz w:val="24"/>
          <w:szCs w:val="24"/>
        </w:rPr>
        <w:t xml:space="preserve"> and early consultation of gastroenterology or general surgery for patients in shock</w:t>
      </w:r>
    </w:p>
    <w:p w:rsidR="000D44D3" w:rsidRDefault="000D44D3" w:rsidP="000D44D3">
      <w:pPr>
        <w:numPr>
          <w:ilvl w:val="1"/>
          <w:numId w:val="6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Transfusion</w:t>
      </w:r>
    </w:p>
    <w:p w:rsidR="000D44D3" w:rsidRDefault="000D44D3" w:rsidP="000D44D3">
      <w:pPr>
        <w:numPr>
          <w:ilvl w:val="2"/>
          <w:numId w:val="6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Correct anemia, (consider RBC transfusion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Hb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7g/</w:t>
      </w:r>
      <w:proofErr w:type="spellStart"/>
      <w:r>
        <w:rPr>
          <w:rFonts w:ascii="Times New Roman" w:hAnsi="Times New Roman" w:cs="Times New Roman"/>
          <w:sz w:val="24"/>
          <w:szCs w:val="24"/>
        </w:rPr>
        <w:t>dL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D44D3" w:rsidRDefault="000D44D3" w:rsidP="000D44D3">
      <w:pPr>
        <w:numPr>
          <w:ilvl w:val="2"/>
          <w:numId w:val="6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Correct thrombocytopenia (platelets &lt; 50,000)</w:t>
      </w:r>
    </w:p>
    <w:p w:rsidR="000D44D3" w:rsidRDefault="000D44D3" w:rsidP="000D44D3">
      <w:pPr>
        <w:numPr>
          <w:ilvl w:val="2"/>
          <w:numId w:val="6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Correct any coagulopathy (INR &gt;1.5, PTT &gt;50 sec) </w:t>
      </w:r>
    </w:p>
    <w:p w:rsidR="000D44D3" w:rsidRDefault="000D44D3" w:rsidP="000D44D3">
      <w:pPr>
        <w:numPr>
          <w:ilvl w:val="1"/>
          <w:numId w:val="7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sz w:val="24"/>
          <w:szCs w:val="24"/>
        </w:rPr>
        <w:t>intubation</w:t>
      </w:r>
      <w:r>
        <w:rPr>
          <w:rFonts w:ascii="Times New Roman" w:hAnsi="Times New Roman" w:cs="Times New Roman"/>
          <w:sz w:val="24"/>
          <w:szCs w:val="24"/>
        </w:rPr>
        <w:t xml:space="preserve"> if aspiration risk, respiratory failure, severe hemodynamic instability, or borderline respiratory or hemodynamic status and planned endoscopy</w:t>
      </w:r>
    </w:p>
    <w:p w:rsidR="000D44D3" w:rsidRDefault="000D44D3" w:rsidP="000D44D3">
      <w:pPr>
        <w:numPr>
          <w:ilvl w:val="0"/>
          <w:numId w:val="8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Medications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D44D3" w:rsidRDefault="000D44D3" w:rsidP="000D44D3">
      <w:pPr>
        <w:numPr>
          <w:ilvl w:val="1"/>
          <w:numId w:val="8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Peptic ulcer: high dose proton pump inhibitor (omeprazole or pantoprazole) IV</w:t>
      </w:r>
    </w:p>
    <w:p w:rsidR="000D44D3" w:rsidRDefault="000D44D3" w:rsidP="000D44D3">
      <w:pPr>
        <w:numPr>
          <w:ilvl w:val="1"/>
          <w:numId w:val="8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Varices: vasoactive drug therapy (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terlipressin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</w:rPr>
        <w:t>octreotide</w:t>
      </w:r>
      <w:proofErr w:type="spellEnd"/>
      <w:r>
        <w:rPr>
          <w:rFonts w:ascii="Times New Roman" w:hAnsi="Times New Roman" w:cs="Times New Roman"/>
          <w:sz w:val="24"/>
          <w:szCs w:val="24"/>
        </w:rPr>
        <w:t>/somatostatin) IV</w:t>
      </w:r>
    </w:p>
    <w:p w:rsidR="000D44D3" w:rsidRDefault="000D44D3" w:rsidP="000D44D3">
      <w:pPr>
        <w:numPr>
          <w:ilvl w:val="1"/>
          <w:numId w:val="8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Antibiotic prophylaxis in any patient with cirrhosis and GI hemorrhage:            </w:t>
      </w:r>
    </w:p>
    <w:p w:rsidR="000D44D3" w:rsidRDefault="000D44D3" w:rsidP="000D44D3">
      <w:pPr>
        <w:numPr>
          <w:ilvl w:val="2"/>
          <w:numId w:val="8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hyperlink r:id="rId6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orfloxacin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or </w:t>
      </w:r>
      <w:hyperlink r:id="rId7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ciprofloxacin</w:t>
        </w:r>
      </w:hyperlink>
    </w:p>
    <w:p w:rsidR="000D44D3" w:rsidRDefault="000D44D3" w:rsidP="000D44D3">
      <w:pPr>
        <w:numPr>
          <w:ilvl w:val="2"/>
          <w:numId w:val="8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</w:t>
      </w:r>
      <w:hyperlink r:id="rId8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ceftriaxone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in patients with advanced cirrhosis</w:t>
      </w:r>
    </w:p>
    <w:p w:rsidR="000D44D3" w:rsidRDefault="000D44D3" w:rsidP="000D44D3">
      <w:pPr>
        <w:numPr>
          <w:ilvl w:val="0"/>
          <w:numId w:val="8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Early endoscopic intervention (&lt;24h):</w:t>
      </w:r>
    </w:p>
    <w:p w:rsidR="000D44D3" w:rsidRDefault="000D44D3" w:rsidP="000D44D3">
      <w:pPr>
        <w:numPr>
          <w:ilvl w:val="1"/>
          <w:numId w:val="9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UGIB: Consider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prokinetic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agents (erythromycin/metoclopramide) if suspected fresh blood or clot in the stomach, in patients who are likely to have a large amount of blood in their stomach, such as those with severe bleeding. (30-90 minutes prior to endoscopy) </w:t>
      </w:r>
    </w:p>
    <w:p w:rsidR="000D44D3" w:rsidRDefault="000D44D3" w:rsidP="000D44D3">
      <w:pPr>
        <w:numPr>
          <w:ilvl w:val="1"/>
          <w:numId w:val="9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Clipping/injection/cautery/band ligation therapy +/- combination</w:t>
      </w:r>
    </w:p>
    <w:p w:rsidR="000D44D3" w:rsidRDefault="000D44D3" w:rsidP="000D44D3">
      <w:pPr>
        <w:numPr>
          <w:ilvl w:val="1"/>
          <w:numId w:val="9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If endoscopic hemostasis not successful or feasible:</w:t>
      </w:r>
    </w:p>
    <w:p w:rsidR="000D44D3" w:rsidRDefault="000D44D3" w:rsidP="000D44D3">
      <w:pPr>
        <w:numPr>
          <w:ilvl w:val="2"/>
          <w:numId w:val="9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LGIB: angiography to localize bleeding</w:t>
      </w:r>
    </w:p>
    <w:p w:rsidR="000D44D3" w:rsidRDefault="000D44D3" w:rsidP="000D44D3">
      <w:pPr>
        <w:numPr>
          <w:ilvl w:val="2"/>
          <w:numId w:val="9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Esophageal varices: balloon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tamponade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Sengstaken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-Blackmore/Minnesota tubes) and/or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transjugular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intrahepatic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portosystemic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(TIPS) stent shunts </w:t>
      </w:r>
    </w:p>
    <w:p w:rsidR="000D44D3" w:rsidRDefault="000D44D3" w:rsidP="000D44D3">
      <w:pPr>
        <w:numPr>
          <w:ilvl w:val="2"/>
          <w:numId w:val="9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UGIB: Consider emergent interventional radiology (embolization) or surgery</w:t>
      </w:r>
    </w:p>
    <w:p w:rsidR="000D44D3" w:rsidRDefault="000D44D3" w:rsidP="000D44D3">
      <w:pPr>
        <w:rPr>
          <w:rFonts w:ascii="Times New Roman" w:hAnsi="Times New Roman" w:cs="Times New Roman"/>
          <w:sz w:val="24"/>
          <w:szCs w:val="24"/>
        </w:rPr>
      </w:pPr>
    </w:p>
    <w:p w:rsidR="000D44D3" w:rsidRDefault="000D44D3" w:rsidP="000D4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2) MANAGEMENT AFTER STABILIZATION</w:t>
      </w:r>
    </w:p>
    <w:p w:rsidR="000D44D3" w:rsidRDefault="000D44D3" w:rsidP="000D44D3">
      <w:pPr>
        <w:numPr>
          <w:ilvl w:val="0"/>
          <w:numId w:val="10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Further Labs:</w:t>
      </w:r>
      <w:r>
        <w:rPr>
          <w:rFonts w:ascii="Times New Roman" w:hAnsi="Times New Roman" w:cs="Times New Roman"/>
          <w:sz w:val="24"/>
          <w:szCs w:val="24"/>
        </w:rPr>
        <w:t xml:space="preserve"> repeat blood count and coagulation testing, blood gas including lactate, consider Helicobacter pylori testing in patients with erosive gastritis or peptic ulcer disease</w:t>
      </w:r>
    </w:p>
    <w:p w:rsidR="000D44D3" w:rsidRDefault="000D44D3" w:rsidP="000D44D3">
      <w:pPr>
        <w:numPr>
          <w:ilvl w:val="0"/>
          <w:numId w:val="10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Monitoring:</w:t>
      </w:r>
      <w:r>
        <w:rPr>
          <w:rFonts w:ascii="Times New Roman" w:hAnsi="Times New Roman" w:cs="Times New Roman"/>
          <w:sz w:val="24"/>
          <w:szCs w:val="24"/>
        </w:rPr>
        <w:t xml:space="preserve"> hemodynamic and respiratory status, urine output: resolution of shock!</w:t>
      </w:r>
    </w:p>
    <w:p w:rsidR="000D44D3" w:rsidRDefault="000D44D3" w:rsidP="000D44D3">
      <w:pPr>
        <w:numPr>
          <w:ilvl w:val="0"/>
          <w:numId w:val="10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Further Interventions/Treatments:</w:t>
      </w:r>
    </w:p>
    <w:p w:rsidR="000D44D3" w:rsidRDefault="000D44D3" w:rsidP="000D44D3">
      <w:pPr>
        <w:numPr>
          <w:ilvl w:val="1"/>
          <w:numId w:val="10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epeat endoscopic therapy </w:t>
      </w:r>
      <w:r>
        <w:rPr>
          <w:rFonts w:ascii="Times New Roman" w:hAnsi="Times New Roman" w:cs="Times New Roman"/>
          <w:sz w:val="24"/>
          <w:szCs w:val="24"/>
        </w:rPr>
        <w:t>if needed</w:t>
      </w:r>
    </w:p>
    <w:p w:rsidR="000D44D3" w:rsidRDefault="000D44D3" w:rsidP="000D44D3">
      <w:pPr>
        <w:numPr>
          <w:ilvl w:val="1"/>
          <w:numId w:val="10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Peptic ulcer:</w:t>
      </w:r>
      <w:r>
        <w:rPr>
          <w:rFonts w:ascii="Times New Roman" w:hAnsi="Times New Roman" w:cs="Times New Roman"/>
          <w:sz w:val="24"/>
          <w:szCs w:val="24"/>
        </w:rPr>
        <w:t xml:space="preserve"> high-dose intravenous proton pump inhibitor during 72h, consider empirical eradication therapy for suspected Helicobacter pylori infection (e.g. in duodenal ulcer disease)</w:t>
      </w:r>
    </w:p>
    <w:p w:rsidR="000D44D3" w:rsidRDefault="000D44D3" w:rsidP="000D44D3">
      <w:pPr>
        <w:numPr>
          <w:ilvl w:val="1"/>
          <w:numId w:val="10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Varices:</w:t>
      </w:r>
      <w:r>
        <w:rPr>
          <w:rFonts w:ascii="Times New Roman" w:hAnsi="Times New Roman" w:cs="Times New Roman"/>
          <w:sz w:val="24"/>
          <w:szCs w:val="24"/>
        </w:rPr>
        <w:t xml:space="preserve"> vasoactive drug therapy (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terlipressin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</w:rPr>
        <w:t>octreotide</w:t>
      </w:r>
      <w:proofErr w:type="spellEnd"/>
      <w:r>
        <w:rPr>
          <w:rFonts w:ascii="Times New Roman" w:hAnsi="Times New Roman" w:cs="Times New Roman"/>
          <w:sz w:val="24"/>
          <w:szCs w:val="24"/>
        </w:rPr>
        <w:t>/somatostatin) for 3-5 days</w:t>
      </w:r>
    </w:p>
    <w:p w:rsidR="000D44D3" w:rsidRDefault="000D44D3" w:rsidP="000D44D3">
      <w:pPr>
        <w:numPr>
          <w:ilvl w:val="1"/>
          <w:numId w:val="10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If cirrhosis:</w:t>
      </w:r>
      <w:r>
        <w:rPr>
          <w:rFonts w:ascii="Times New Roman" w:hAnsi="Times New Roman" w:cs="Times New Roman"/>
          <w:sz w:val="24"/>
          <w:szCs w:val="24"/>
        </w:rPr>
        <w:t xml:space="preserve"> prophylactic antibiotics and lactulose (via nasogastric tube and/or enema). </w:t>
      </w:r>
    </w:p>
    <w:p w:rsidR="000D44D3" w:rsidRDefault="000D44D3" w:rsidP="000D44D3">
      <w:pPr>
        <w:numPr>
          <w:ilvl w:val="1"/>
          <w:numId w:val="10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Control body temperature, coagulopathies and thrombocytopenia </w:t>
      </w:r>
      <w:r>
        <w:rPr>
          <w:rFonts w:ascii="Times New Roman" w:hAnsi="Times New Roman" w:cs="Times New Roman"/>
          <w:sz w:val="24"/>
          <w:szCs w:val="24"/>
        </w:rPr>
        <w:t>after resuscitation/transfusion</w:t>
      </w:r>
    </w:p>
    <w:p w:rsidR="000D44D3" w:rsidRDefault="000D44D3" w:rsidP="000D44D3">
      <w:pPr>
        <w:numPr>
          <w:ilvl w:val="2"/>
          <w:numId w:val="10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Restrictive red blood cell transfusion (hemoglobin &gt;7 g/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 lower in younger subjects)</w:t>
      </w:r>
      <w:r>
        <w:rPr>
          <w:rFonts w:ascii="Times New Roman" w:hAnsi="Times New Roman" w:cs="Times New Roman"/>
          <w:sz w:val="24"/>
          <w:szCs w:val="24"/>
        </w:rPr>
        <w:t xml:space="preserve"> after shock resolution or if no shock</w:t>
      </w:r>
    </w:p>
    <w:p w:rsidR="000D44D3" w:rsidRDefault="000D44D3" w:rsidP="000D44D3">
      <w:pPr>
        <w:rPr>
          <w:rFonts w:ascii="Times New Roman" w:hAnsi="Times New Roman" w:cs="Times New Roman"/>
          <w:sz w:val="24"/>
          <w:szCs w:val="24"/>
        </w:rPr>
      </w:pPr>
    </w:p>
    <w:p w:rsidR="000D44D3" w:rsidRDefault="000D44D3" w:rsidP="000D44D3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3) REFERENCES &amp; ACKNOWLEDGMENTS</w:t>
      </w:r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-Scottish Intercollegiate Guidelines Network (SIGN). Management of acute upper and lower gastrointestinal bleeding. </w:t>
      </w:r>
      <w:proofErr w:type="gramStart"/>
      <w:r>
        <w:rPr>
          <w:rFonts w:ascii="Times New Roman" w:hAnsi="Times New Roman" w:cs="Times New Roman"/>
          <w:sz w:val="20"/>
          <w:szCs w:val="20"/>
        </w:rPr>
        <w:t>A national clinical guideline.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Edinburgh (Scotland): Scottish Intercollegiate Guidelines Network (SIGN); 2008 Sep. 57 p. </w:t>
      </w:r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</w:rPr>
        <w:t>Tham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TC, James C, Kelly M. Predicting outcome of acute non-</w:t>
      </w:r>
      <w:proofErr w:type="spellStart"/>
      <w:r>
        <w:rPr>
          <w:rFonts w:ascii="Times New Roman" w:hAnsi="Times New Roman" w:cs="Times New Roman"/>
          <w:sz w:val="20"/>
          <w:szCs w:val="20"/>
        </w:rPr>
        <w:t>variceal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upper gastrointestinal </w:t>
      </w:r>
      <w:proofErr w:type="spellStart"/>
      <w:r>
        <w:rPr>
          <w:rFonts w:ascii="Times New Roman" w:hAnsi="Times New Roman" w:cs="Times New Roman"/>
          <w:sz w:val="20"/>
          <w:szCs w:val="20"/>
        </w:rPr>
        <w:t>haemorrhage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without endoscopy using the clinical </w:t>
      </w:r>
      <w:proofErr w:type="spellStart"/>
      <w:r>
        <w:rPr>
          <w:rFonts w:ascii="Times New Roman" w:hAnsi="Times New Roman" w:cs="Times New Roman"/>
          <w:sz w:val="20"/>
          <w:szCs w:val="20"/>
        </w:rPr>
        <w:t>Rockall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Score. Postgrad Med J. 2006 Nov</w:t>
      </w:r>
      <w:proofErr w:type="gramStart"/>
      <w:r>
        <w:rPr>
          <w:rFonts w:ascii="Times New Roman" w:hAnsi="Times New Roman" w:cs="Times New Roman"/>
          <w:sz w:val="20"/>
          <w:szCs w:val="20"/>
        </w:rPr>
        <w:t>;82</w:t>
      </w:r>
      <w:proofErr w:type="gramEnd"/>
      <w:r>
        <w:rPr>
          <w:rFonts w:ascii="Times New Roman" w:hAnsi="Times New Roman" w:cs="Times New Roman"/>
          <w:sz w:val="20"/>
          <w:szCs w:val="20"/>
        </w:rPr>
        <w:t>(973):757-9</w:t>
      </w:r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</w:rPr>
        <w:t>Rockall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TA, Logan RF, Devlin HB, Northfield TC.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Risk assessment after acute upper gastrointestinal </w:t>
      </w:r>
      <w:proofErr w:type="spellStart"/>
      <w:r>
        <w:rPr>
          <w:rFonts w:ascii="Times New Roman" w:hAnsi="Times New Roman" w:cs="Times New Roman"/>
          <w:sz w:val="20"/>
          <w:szCs w:val="20"/>
        </w:rPr>
        <w:t>haemorrhage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Gut.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1996 Mar</w:t>
      </w:r>
      <w:proofErr w:type="gramStart"/>
      <w:r>
        <w:rPr>
          <w:rFonts w:ascii="Times New Roman" w:hAnsi="Times New Roman" w:cs="Times New Roman"/>
          <w:sz w:val="20"/>
          <w:szCs w:val="20"/>
        </w:rPr>
        <w:t>;38</w:t>
      </w:r>
      <w:proofErr w:type="gramEnd"/>
      <w:r>
        <w:rPr>
          <w:rFonts w:ascii="Times New Roman" w:hAnsi="Times New Roman" w:cs="Times New Roman"/>
          <w:sz w:val="20"/>
          <w:szCs w:val="20"/>
        </w:rPr>
        <w:t>(3):316-21.</w:t>
      </w:r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</w:rPr>
        <w:t>Sreedharan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A, Martin J, </w:t>
      </w:r>
      <w:proofErr w:type="spellStart"/>
      <w:r>
        <w:rPr>
          <w:rFonts w:ascii="Times New Roman" w:hAnsi="Times New Roman" w:cs="Times New Roman"/>
          <w:sz w:val="20"/>
          <w:szCs w:val="20"/>
        </w:rPr>
        <w:t>Leontiadis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GI, et al. Proton pump inhibitor treatment initiated prior to endoscopic diagnosis in upper gastrointestinal bleeding. Cochrane Database </w:t>
      </w:r>
      <w:proofErr w:type="spellStart"/>
      <w:r>
        <w:rPr>
          <w:rFonts w:ascii="Times New Roman" w:hAnsi="Times New Roman" w:cs="Times New Roman"/>
          <w:sz w:val="20"/>
          <w:szCs w:val="20"/>
        </w:rPr>
        <w:t>Syst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Rev 2010;</w:t>
      </w:r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hyperlink r:id="rId9" w:history="1"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The Role of Endoscopy in the Management of Acute Non-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Variceal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Upper GI Bleeding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Gastrointest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Endosc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2012:75:1132-1138</w:t>
      </w:r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-Transfusion Strategies for Acute Upper Gastrointestinal Bleeding. Villanueva C. N </w:t>
      </w:r>
      <w:proofErr w:type="spellStart"/>
      <w:r>
        <w:rPr>
          <w:rFonts w:ascii="Times New Roman" w:hAnsi="Times New Roman" w:cs="Times New Roman"/>
          <w:sz w:val="20"/>
          <w:szCs w:val="20"/>
        </w:rPr>
        <w:t>Engl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 Med 2013; 368:11-21 </w:t>
      </w:r>
      <w:hyperlink r:id="rId10" w:history="1"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January 3, 2013</w:t>
        </w:r>
      </w:hyperlink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  <w:lang w:val="es-NI"/>
        </w:rPr>
      </w:pPr>
      <w:r>
        <w:rPr>
          <w:rFonts w:ascii="Times New Roman" w:hAnsi="Times New Roman" w:cs="Times New Roman"/>
          <w:sz w:val="20"/>
          <w:szCs w:val="20"/>
        </w:rPr>
        <w:t xml:space="preserve">-Prevention and management of </w:t>
      </w:r>
      <w:proofErr w:type="spellStart"/>
      <w:r>
        <w:rPr>
          <w:rFonts w:ascii="Times New Roman" w:hAnsi="Times New Roman" w:cs="Times New Roman"/>
          <w:sz w:val="20"/>
          <w:szCs w:val="20"/>
        </w:rPr>
        <w:t>gastroesophageal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varices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variceal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hemorrhage in cirrhosis. </w:t>
      </w:r>
      <w:proofErr w:type="spellStart"/>
      <w:r>
        <w:rPr>
          <w:rFonts w:ascii="Times New Roman" w:hAnsi="Times New Roman" w:cs="Times New Roman"/>
          <w:sz w:val="20"/>
          <w:szCs w:val="20"/>
          <w:lang w:val="es-NI"/>
        </w:rPr>
        <w:t>Garcia-Tsao</w:t>
      </w:r>
      <w:proofErr w:type="spellEnd"/>
      <w:r>
        <w:rPr>
          <w:rFonts w:ascii="Times New Roman" w:hAnsi="Times New Roman" w:cs="Times New Roman"/>
          <w:sz w:val="20"/>
          <w:szCs w:val="20"/>
          <w:lang w:val="es-NI"/>
        </w:rPr>
        <w:t xml:space="preserve"> G. </w:t>
      </w:r>
      <w:proofErr w:type="spellStart"/>
      <w:r>
        <w:rPr>
          <w:rFonts w:ascii="Times New Roman" w:hAnsi="Times New Roman" w:cs="Times New Roman"/>
          <w:sz w:val="20"/>
          <w:szCs w:val="20"/>
          <w:lang w:val="es-NI"/>
        </w:rPr>
        <w:t>Hepatology</w:t>
      </w:r>
      <w:proofErr w:type="spellEnd"/>
      <w:r>
        <w:rPr>
          <w:rFonts w:ascii="Times New Roman" w:hAnsi="Times New Roman" w:cs="Times New Roman"/>
          <w:sz w:val="20"/>
          <w:szCs w:val="20"/>
          <w:lang w:val="es-NI"/>
        </w:rPr>
        <w:t xml:space="preserve"> 2007; 46:922.</w:t>
      </w:r>
    </w:p>
    <w:p w:rsidR="000D44D3" w:rsidRDefault="000D44D3" w:rsidP="000D44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NI"/>
        </w:rPr>
        <w:t xml:space="preserve">- </w:t>
      </w:r>
      <w:hyperlink r:id="rId11" w:history="1"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val="es-NI"/>
          </w:rPr>
          <w:t xml:space="preserve">Villanueva C, 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val="es-NI"/>
          </w:rPr>
          <w:t>Colomo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val="es-NI"/>
          </w:rPr>
          <w:t xml:space="preserve"> A, Bosch A, et al. </w:t>
        </w:r>
        <w:proofErr w:type="gram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Transfusion strategies for acute upper gastrointestinal bleeding.</w:t>
        </w:r>
        <w:proofErr w:type="gram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N 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Engl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J Med 2013; 368:11.</w:t>
        </w:r>
      </w:hyperlink>
    </w:p>
    <w:p w:rsidR="000D44D3" w:rsidRDefault="000D44D3" w:rsidP="000D44D3">
      <w:r>
        <w:rPr>
          <w:rFonts w:ascii="Times New Roman" w:hAnsi="Times New Roman" w:cs="Times New Roman"/>
          <w:sz w:val="20"/>
          <w:szCs w:val="20"/>
        </w:rPr>
        <w:t xml:space="preserve">- </w:t>
      </w:r>
      <w:hyperlink r:id="rId12" w:history="1"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Garcia-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Tsao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G, 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Sanyal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AJ, Grace ND, et al. Prevention and management of 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gastroesophageal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varices and 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variceal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hemorrhage in cirrhosis. </w:t>
        </w:r>
        <w:proofErr w:type="spellStart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Hepatology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 2007; 46:922.</w:t>
        </w:r>
      </w:hyperlink>
    </w:p>
    <w:p w:rsidR="000D44D3" w:rsidRDefault="000D44D3" w:rsidP="000D44D3">
      <w:pPr>
        <w:pStyle w:val="Normal1"/>
        <w:rPr>
          <w:rFonts w:ascii="Times New Roman" w:hAnsi="Times New Roman"/>
          <w:b/>
          <w:bCs/>
          <w:sz w:val="24"/>
          <w:szCs w:val="24"/>
        </w:rPr>
      </w:pPr>
    </w:p>
    <w:p w:rsidR="0001460C" w:rsidRDefault="005F0E42"/>
    <w:sectPr w:rsidR="0001460C" w:rsidSect="00477C2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DB7"/>
    <w:multiLevelType w:val="multilevel"/>
    <w:tmpl w:val="467A053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Symbol"/>
      </w:rPr>
    </w:lvl>
  </w:abstractNum>
  <w:abstractNum w:abstractNumId="1">
    <w:nsid w:val="19020C64"/>
    <w:multiLevelType w:val="multilevel"/>
    <w:tmpl w:val="FB7A14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Symbol"/>
      </w:rPr>
    </w:lvl>
  </w:abstractNum>
  <w:abstractNum w:abstractNumId="2">
    <w:nsid w:val="1DD07736"/>
    <w:multiLevelType w:val="multilevel"/>
    <w:tmpl w:val="2748474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Symbol"/>
      </w:rPr>
    </w:lvl>
  </w:abstractNum>
  <w:abstractNum w:abstractNumId="3">
    <w:nsid w:val="26D321F0"/>
    <w:multiLevelType w:val="multilevel"/>
    <w:tmpl w:val="84367A04"/>
    <w:styleLink w:val="CERTAIN3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bullet"/>
      <w:lvlRestart w:val="0"/>
      <w:suff w:val="nothing"/>
      <w:lvlText w:val=""/>
      <w:lvlJc w:val="left"/>
      <w:pPr>
        <w:ind w:left="432" w:hanging="144"/>
      </w:pPr>
      <w:rPr>
        <w:rFonts w:ascii="Symbol" w:hAnsi="Symbol" w:hint="default"/>
      </w:rPr>
    </w:lvl>
    <w:lvl w:ilvl="2">
      <w:start w:val="1"/>
      <w:numFmt w:val="bullet"/>
      <w:lvlRestart w:val="0"/>
      <w:suff w:val="nothing"/>
      <w:lvlText w:val=""/>
      <w:lvlJc w:val="left"/>
      <w:pPr>
        <w:ind w:left="720" w:hanging="144"/>
      </w:pPr>
      <w:rPr>
        <w:rFonts w:ascii="Wingdings" w:hAnsi="Wingdings" w:hint="default"/>
        <w:vertAlign w:val="baseline"/>
      </w:rPr>
    </w:lvl>
    <w:lvl w:ilvl="3">
      <w:start w:val="1"/>
      <w:numFmt w:val="bullet"/>
      <w:lvlRestart w:val="0"/>
      <w:suff w:val="nothing"/>
      <w:lvlText w:val=""/>
      <w:lvlJc w:val="left"/>
      <w:pPr>
        <w:ind w:left="1008" w:hanging="144"/>
      </w:pPr>
      <w:rPr>
        <w:rFonts w:ascii="Wingdings" w:hAnsi="Wingdings" w:hint="default"/>
      </w:rPr>
    </w:lvl>
    <w:lvl w:ilvl="4">
      <w:start w:val="1"/>
      <w:numFmt w:val="bullet"/>
      <w:lvlRestart w:val="0"/>
      <w:suff w:val="nothing"/>
      <w:lvlText w:val="o"/>
      <w:lvlJc w:val="left"/>
      <w:pPr>
        <w:ind w:left="1296" w:hanging="144"/>
      </w:pPr>
      <w:rPr>
        <w:rFonts w:ascii="Courier New" w:hAnsi="Courier New" w:hint="default"/>
      </w:rPr>
    </w:lvl>
    <w:lvl w:ilvl="5">
      <w:start w:val="1"/>
      <w:numFmt w:val="bullet"/>
      <w:lvlRestart w:val="0"/>
      <w:suff w:val="nothing"/>
      <w:lvlText w:val=""/>
      <w:lvlJc w:val="left"/>
      <w:pPr>
        <w:ind w:left="1584" w:hanging="14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3BFC7C97"/>
    <w:multiLevelType w:val="multilevel"/>
    <w:tmpl w:val="74CC57A8"/>
    <w:styleLink w:val="CERTAIN2"/>
    <w:lvl w:ilvl="0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  <w:sz w:val="24"/>
      </w:rPr>
    </w:lvl>
    <w:lvl w:ilvl="1">
      <w:start w:val="1"/>
      <w:numFmt w:val="bullet"/>
      <w:lvlRestart w:val="0"/>
      <w:suff w:val="nothing"/>
      <w:lvlText w:val=""/>
      <w:lvlJc w:val="left"/>
      <w:pPr>
        <w:ind w:left="720" w:hanging="144"/>
      </w:pPr>
      <w:rPr>
        <w:rFonts w:ascii="Symbol" w:hAnsi="Symbol" w:hint="default"/>
      </w:rPr>
    </w:lvl>
    <w:lvl w:ilvl="2">
      <w:start w:val="1"/>
      <w:numFmt w:val="bullet"/>
      <w:lvlRestart w:val="0"/>
      <w:suff w:val="nothing"/>
      <w:lvlText w:val=""/>
      <w:lvlJc w:val="left"/>
      <w:pPr>
        <w:ind w:left="1008" w:hanging="144"/>
      </w:pPr>
      <w:rPr>
        <w:rFonts w:ascii="Wingdings" w:hAnsi="Wingdings" w:hint="default"/>
        <w:vertAlign w:val="baseline"/>
      </w:rPr>
    </w:lvl>
    <w:lvl w:ilvl="3">
      <w:start w:val="1"/>
      <w:numFmt w:val="bullet"/>
      <w:lvlRestart w:val="0"/>
      <w:suff w:val="nothing"/>
      <w:lvlText w:val=""/>
      <w:lvlJc w:val="left"/>
      <w:pPr>
        <w:ind w:left="1296" w:hanging="144"/>
      </w:pPr>
      <w:rPr>
        <w:rFonts w:ascii="Wingdings" w:hAnsi="Wingdings" w:hint="default"/>
      </w:rPr>
    </w:lvl>
    <w:lvl w:ilvl="4">
      <w:start w:val="1"/>
      <w:numFmt w:val="bullet"/>
      <w:lvlRestart w:val="0"/>
      <w:suff w:val="nothing"/>
      <w:lvlText w:val="o"/>
      <w:lvlJc w:val="left"/>
      <w:pPr>
        <w:ind w:left="1584" w:hanging="144"/>
      </w:pPr>
      <w:rPr>
        <w:rFonts w:ascii="Courier New" w:hAnsi="Courier New" w:hint="default"/>
      </w:rPr>
    </w:lvl>
    <w:lvl w:ilvl="5">
      <w:start w:val="1"/>
      <w:numFmt w:val="bullet"/>
      <w:lvlRestart w:val="0"/>
      <w:suff w:val="nothing"/>
      <w:lvlText w:val=""/>
      <w:lvlJc w:val="left"/>
      <w:pPr>
        <w:ind w:left="1872" w:hanging="14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>
    <w:nsid w:val="4F4E2BC4"/>
    <w:multiLevelType w:val="multilevel"/>
    <w:tmpl w:val="8F52D91E"/>
    <w:lvl w:ilvl="0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2160" w:firstLine="396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880" w:firstLine="540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4320" w:firstLine="828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5040" w:firstLine="972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6480" w:firstLine="1260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7200" w:firstLine="14040"/>
      </w:pPr>
      <w:rPr>
        <w:rFonts w:ascii="Arial" w:eastAsia="Arial" w:hAnsi="Arial" w:cs="Symbol"/>
      </w:rPr>
    </w:lvl>
  </w:abstractNum>
  <w:abstractNum w:abstractNumId="6">
    <w:nsid w:val="4FAA64AE"/>
    <w:multiLevelType w:val="multilevel"/>
    <w:tmpl w:val="562EB1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Symbol"/>
      </w:rPr>
    </w:lvl>
  </w:abstractNum>
  <w:abstractNum w:abstractNumId="7">
    <w:nsid w:val="59834AEF"/>
    <w:multiLevelType w:val="multilevel"/>
    <w:tmpl w:val="05E808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Symbol"/>
      </w:rPr>
    </w:lvl>
  </w:abstractNum>
  <w:abstractNum w:abstractNumId="8">
    <w:nsid w:val="62895E05"/>
    <w:multiLevelType w:val="multilevel"/>
    <w:tmpl w:val="8014F1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Symbol"/>
      </w:rPr>
    </w:lvl>
  </w:abstractNum>
  <w:abstractNum w:abstractNumId="9">
    <w:nsid w:val="6B113344"/>
    <w:multiLevelType w:val="multilevel"/>
    <w:tmpl w:val="CB762CC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Symbol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Symbol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Symbo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Symbol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Symbol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Symbo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Symbol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Symbol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Symbol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D3"/>
    <w:rsid w:val="000D44D3"/>
    <w:rsid w:val="005F0E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4D3"/>
    <w:pPr>
      <w:spacing w:after="200" w:line="276" w:lineRule="auto"/>
    </w:pPr>
    <w:rPr>
      <w:rFonts w:ascii="Calibri" w:eastAsia="MS PGothic" w:hAnsi="Calibri" w:cs="MS PGothic"/>
      <w:color w:val="000000"/>
      <w:sz w:val="22"/>
      <w:szCs w:val="22"/>
      <w:lang w:eastAsia="ja-JP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C2EB2"/>
    <w:pPr>
      <w:keepNext/>
      <w:keepLines/>
      <w:spacing w:before="200"/>
      <w:outlineLvl w:val="1"/>
    </w:pPr>
    <w:rPr>
      <w:rFonts w:eastAsiaTheme="majorEastAsia" w:cstheme="majorBidi"/>
      <w:b/>
      <w:bCs/>
      <w:caps/>
      <w:sz w:val="32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ERTAIN2">
    <w:name w:val="CERTAIN2"/>
    <w:rsid w:val="00647B41"/>
    <w:pPr>
      <w:numPr>
        <w:numId w:val="1"/>
      </w:numPr>
    </w:pPr>
  </w:style>
  <w:style w:type="numbering" w:customStyle="1" w:styleId="CERTAIN3">
    <w:name w:val="CERTAIN3"/>
    <w:rsid w:val="0074461A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C2EB2"/>
    <w:rPr>
      <w:rFonts w:ascii="Times New Roman" w:eastAsiaTheme="majorEastAsia" w:hAnsi="Times New Roman" w:cstheme="majorBidi"/>
      <w:b/>
      <w:bCs/>
      <w:caps/>
      <w:sz w:val="32"/>
      <w:szCs w:val="26"/>
      <w:u w:val="single"/>
    </w:rPr>
  </w:style>
  <w:style w:type="paragraph" w:customStyle="1" w:styleId="Myheading2">
    <w:name w:val="My heading2"/>
    <w:basedOn w:val="Heading2"/>
    <w:qFormat/>
    <w:rsid w:val="00697C24"/>
    <w:pPr>
      <w:spacing w:before="0"/>
    </w:pPr>
  </w:style>
  <w:style w:type="character" w:styleId="Hyperlink">
    <w:name w:val="Hyperlink"/>
    <w:basedOn w:val="DefaultParagraphFont"/>
    <w:uiPriority w:val="99"/>
    <w:unhideWhenUsed/>
    <w:rsid w:val="000D44D3"/>
    <w:rPr>
      <w:color w:val="0000FF"/>
      <w:u w:val="single"/>
    </w:rPr>
  </w:style>
  <w:style w:type="paragraph" w:customStyle="1" w:styleId="Normal1">
    <w:name w:val="Normal1"/>
    <w:basedOn w:val="Normal"/>
    <w:uiPriority w:val="99"/>
    <w:semiHidden/>
    <w:rsid w:val="000D44D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4D3"/>
    <w:pPr>
      <w:spacing w:after="200" w:line="276" w:lineRule="auto"/>
    </w:pPr>
    <w:rPr>
      <w:rFonts w:ascii="Calibri" w:eastAsia="MS PGothic" w:hAnsi="Calibri" w:cs="MS PGothic"/>
      <w:color w:val="000000"/>
      <w:sz w:val="22"/>
      <w:szCs w:val="22"/>
      <w:lang w:eastAsia="ja-JP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C2EB2"/>
    <w:pPr>
      <w:keepNext/>
      <w:keepLines/>
      <w:spacing w:before="200"/>
      <w:outlineLvl w:val="1"/>
    </w:pPr>
    <w:rPr>
      <w:rFonts w:eastAsiaTheme="majorEastAsia" w:cstheme="majorBidi"/>
      <w:b/>
      <w:bCs/>
      <w:caps/>
      <w:sz w:val="32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ERTAIN2">
    <w:name w:val="CERTAIN2"/>
    <w:rsid w:val="00647B41"/>
    <w:pPr>
      <w:numPr>
        <w:numId w:val="1"/>
      </w:numPr>
    </w:pPr>
  </w:style>
  <w:style w:type="numbering" w:customStyle="1" w:styleId="CERTAIN3">
    <w:name w:val="CERTAIN3"/>
    <w:rsid w:val="0074461A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C2EB2"/>
    <w:rPr>
      <w:rFonts w:ascii="Times New Roman" w:eastAsiaTheme="majorEastAsia" w:hAnsi="Times New Roman" w:cstheme="majorBidi"/>
      <w:b/>
      <w:bCs/>
      <w:caps/>
      <w:sz w:val="32"/>
      <w:szCs w:val="26"/>
      <w:u w:val="single"/>
    </w:rPr>
  </w:style>
  <w:style w:type="paragraph" w:customStyle="1" w:styleId="Myheading2">
    <w:name w:val="My heading2"/>
    <w:basedOn w:val="Heading2"/>
    <w:qFormat/>
    <w:rsid w:val="00697C24"/>
    <w:pPr>
      <w:spacing w:before="0"/>
    </w:pPr>
  </w:style>
  <w:style w:type="character" w:styleId="Hyperlink">
    <w:name w:val="Hyperlink"/>
    <w:basedOn w:val="DefaultParagraphFont"/>
    <w:uiPriority w:val="99"/>
    <w:unhideWhenUsed/>
    <w:rsid w:val="000D44D3"/>
    <w:rPr>
      <w:color w:val="0000FF"/>
      <w:u w:val="single"/>
    </w:rPr>
  </w:style>
  <w:style w:type="paragraph" w:customStyle="1" w:styleId="Normal1">
    <w:name w:val="Normal1"/>
    <w:basedOn w:val="Normal"/>
    <w:uiPriority w:val="99"/>
    <w:semiHidden/>
    <w:rsid w:val="000D44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/contents/ceftriaxone-drug-information?source=see_lin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ptodate.com/contents/ciprofloxacin-drug-information?source=see_link" TargetMode="External"/><Relationship Id="rId12" Type="http://schemas.openxmlformats.org/officeDocument/2006/relationships/hyperlink" Target="http://www.uptodate.com/contents/general-principles-of-the-management-of-variceal-hemorrhage/abstract/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ptodate.com/contents/norfloxacin-drug-information?source=see_link" TargetMode="External"/><Relationship Id="rId11" Type="http://schemas.openxmlformats.org/officeDocument/2006/relationships/hyperlink" Target="http://www.uptodate.com/contents/indications-and-hemoglobin-thresholds-for-red-blood-cell-transfusion-in-the-adult/abstract/4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ejm.org/toc/nejm/368/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ge.org/WorkArea/linkit.aspx?LinkIdentifier=id&amp;ItemID=151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5176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Schmickl</dc:creator>
  <cp:lastModifiedBy>Amelia K Barwise</cp:lastModifiedBy>
  <cp:revision>2</cp:revision>
  <dcterms:created xsi:type="dcterms:W3CDTF">2016-09-06T15:02:00Z</dcterms:created>
  <dcterms:modified xsi:type="dcterms:W3CDTF">2016-09-06T15:02:00Z</dcterms:modified>
</cp:coreProperties>
</file>