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F4" w:rsidRPr="0039321E" w:rsidRDefault="00F339F4" w:rsidP="00F339F4">
      <w:pPr>
        <w:rPr>
          <w:rFonts w:ascii="Times New Roman" w:hAnsi="Times New Roman"/>
          <w:sz w:val="24"/>
        </w:rPr>
      </w:pPr>
      <w:bookmarkStart w:id="0" w:name="_GoBack"/>
      <w:bookmarkEnd w:id="0"/>
      <w:proofErr w:type="gramStart"/>
      <w:r w:rsidRPr="0039321E">
        <w:rPr>
          <w:rFonts w:ascii="Times New Roman" w:hAnsi="Times New Roman"/>
          <w:b/>
          <w:bCs/>
          <w:sz w:val="24"/>
        </w:rPr>
        <w:t>E-APPENDIX 2.</w:t>
      </w:r>
      <w:proofErr w:type="gramEnd"/>
      <w:r w:rsidRPr="0039321E">
        <w:rPr>
          <w:rFonts w:ascii="Times New Roman" w:hAnsi="Times New Roman"/>
          <w:b/>
          <w:bCs/>
          <w:sz w:val="24"/>
        </w:rPr>
        <w:t xml:space="preserve"> </w:t>
      </w:r>
      <w:r w:rsidRPr="0039321E">
        <w:rPr>
          <w:rFonts w:ascii="Times New Roman" w:hAnsi="Times New Roman"/>
          <w:sz w:val="24"/>
        </w:rPr>
        <w:t xml:space="preserve">Example of </w:t>
      </w:r>
      <w:r>
        <w:rPr>
          <w:rFonts w:ascii="Times New Roman" w:hAnsi="Times New Roman"/>
          <w:sz w:val="24"/>
        </w:rPr>
        <w:t>a medication c</w:t>
      </w:r>
      <w:r w:rsidRPr="0039321E">
        <w:rPr>
          <w:rFonts w:ascii="Times New Roman" w:hAnsi="Times New Roman"/>
          <w:sz w:val="24"/>
        </w:rPr>
        <w:t>ard</w:t>
      </w:r>
    </w:p>
    <w:p w:rsidR="00F339F4" w:rsidRDefault="00F339F4" w:rsidP="00F339F4">
      <w:pPr>
        <w:pStyle w:val="Heading2"/>
        <w:spacing w:before="0" w:line="240" w:lineRule="auto"/>
      </w:pPr>
      <w:r>
        <w:rPr>
          <w:rFonts w:ascii="Times New Roman" w:hAnsi="Times New Roman" w:cs="Times New Roman"/>
          <w:szCs w:val="32"/>
        </w:rPr>
        <w:t>OMEPRAZOLE</w:t>
      </w:r>
    </w:p>
    <w:p w:rsidR="00F339F4" w:rsidRDefault="00F339F4" w:rsidP="00F339F4">
      <w:pPr>
        <w:spacing w:line="240" w:lineRule="auto"/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(Last update: 9/28/2015; Author: Sandhya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Samavedam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, MD; Reviewers: Brian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Erstad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, Pharm D)</w:t>
      </w:r>
    </w:p>
    <w:p w:rsidR="00F339F4" w:rsidRDefault="00F339F4" w:rsidP="00F339F4"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1) INDICATIONS</w:t>
      </w:r>
    </w:p>
    <w:p w:rsidR="00F339F4" w:rsidRDefault="00F339F4" w:rsidP="00F339F4">
      <w:r>
        <w:rPr>
          <w:rFonts w:ascii="Times New Roman" w:hAnsi="Times New Roman" w:cs="Times New Roman"/>
          <w:b/>
          <w:bCs/>
          <w:sz w:val="24"/>
          <w:szCs w:val="24"/>
        </w:rPr>
        <w:t>ADULTS</w:t>
      </w:r>
    </w:p>
    <w:p w:rsidR="00F339F4" w:rsidRDefault="00F339F4" w:rsidP="00F339F4">
      <w:pPr>
        <w:numPr>
          <w:ilvl w:val="0"/>
          <w:numId w:val="3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Acute Gastrointestinal bleeding from peptic ulcer disease:</w:t>
      </w:r>
    </w:p>
    <w:p w:rsidR="00F339F4" w:rsidRDefault="00F339F4" w:rsidP="00F339F4">
      <w:pPr>
        <w:numPr>
          <w:ilvl w:val="1"/>
          <w:numId w:val="3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IV: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an initial bolus of 80 mg followed by 8 mg/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hr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infusion for the first 72 hours, followed by oral administration of omeprazole. IV FORM NOT AVAILABLE IN USA</w:t>
      </w:r>
    </w:p>
    <w:p w:rsidR="00F339F4" w:rsidRDefault="00F339F4" w:rsidP="00F339F4">
      <w:pPr>
        <w:numPr>
          <w:ilvl w:val="1"/>
          <w:numId w:val="3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ORAL</w:t>
      </w:r>
      <w:r>
        <w:rPr>
          <w:rFonts w:ascii="Times New Roman" w:hAnsi="Times New Roman" w:cs="Times New Roman"/>
          <w:sz w:val="24"/>
          <w:szCs w:val="24"/>
        </w:rPr>
        <w:t>: see below</w:t>
      </w:r>
    </w:p>
    <w:p w:rsidR="00F339F4" w:rsidRDefault="00F339F4" w:rsidP="00F339F4">
      <w:pPr>
        <w:numPr>
          <w:ilvl w:val="0"/>
          <w:numId w:val="3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Duodenal Ulcer, GERD:</w:t>
      </w:r>
    </w:p>
    <w:p w:rsidR="00F339F4" w:rsidRDefault="00F339F4" w:rsidP="00F339F4">
      <w:pPr>
        <w:numPr>
          <w:ilvl w:val="1"/>
          <w:numId w:val="3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ORAL:</w:t>
      </w:r>
      <w:r>
        <w:rPr>
          <w:rFonts w:ascii="Times New Roman" w:hAnsi="Times New Roman" w:cs="Times New Roman"/>
          <w:sz w:val="24"/>
          <w:szCs w:val="24"/>
        </w:rPr>
        <w:t xml:space="preserve"> 20 mg daily for 4-8 weeks.</w:t>
      </w:r>
    </w:p>
    <w:p w:rsidR="00F339F4" w:rsidRDefault="00F339F4" w:rsidP="00F339F4">
      <w:pPr>
        <w:numPr>
          <w:ilvl w:val="0"/>
          <w:numId w:val="3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Gastric Ulcer, Barrett's Esophagus:</w:t>
      </w:r>
    </w:p>
    <w:p w:rsidR="00F339F4" w:rsidRDefault="00F339F4" w:rsidP="00F339F4">
      <w:pPr>
        <w:numPr>
          <w:ilvl w:val="1"/>
          <w:numId w:val="3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ORAL:</w:t>
      </w:r>
      <w:r>
        <w:rPr>
          <w:rFonts w:ascii="Times New Roman" w:hAnsi="Times New Roman" w:cs="Times New Roman"/>
          <w:sz w:val="24"/>
          <w:szCs w:val="24"/>
        </w:rPr>
        <w:t xml:space="preserve"> 40 mg daily for 4-8 weeks.</w:t>
      </w:r>
    </w:p>
    <w:p w:rsidR="00F339F4" w:rsidRDefault="00F339F4" w:rsidP="00F339F4">
      <w:pPr>
        <w:numPr>
          <w:ilvl w:val="0"/>
          <w:numId w:val="3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Erosive Esophagitis:</w:t>
      </w:r>
    </w:p>
    <w:p w:rsidR="00F339F4" w:rsidRDefault="00F339F4" w:rsidP="00F339F4">
      <w:pPr>
        <w:numPr>
          <w:ilvl w:val="1"/>
          <w:numId w:val="3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ORAL:</w:t>
      </w:r>
      <w:r>
        <w:rPr>
          <w:rFonts w:ascii="Times New Roman" w:hAnsi="Times New Roman" w:cs="Times New Roman"/>
          <w:sz w:val="24"/>
          <w:szCs w:val="24"/>
        </w:rPr>
        <w:t xml:space="preserve"> Initial: 20 mg daily for 4-8 weeks followed by 20 mg/day for a year</w:t>
      </w:r>
    </w:p>
    <w:p w:rsidR="00F339F4" w:rsidRDefault="00F339F4" w:rsidP="00F339F4">
      <w:pPr>
        <w:numPr>
          <w:ilvl w:val="0"/>
          <w:numId w:val="3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Stress Ulcer Prophylaxis</w:t>
      </w:r>
    </w:p>
    <w:p w:rsidR="00F339F4" w:rsidRDefault="00F339F4" w:rsidP="00F339F4">
      <w:pPr>
        <w:numPr>
          <w:ilvl w:val="1"/>
          <w:numId w:val="3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ORAL: </w:t>
      </w:r>
      <w:r>
        <w:rPr>
          <w:rFonts w:ascii="Times New Roman" w:hAnsi="Times New Roman" w:cs="Times New Roman"/>
          <w:sz w:val="24"/>
          <w:szCs w:val="24"/>
        </w:rPr>
        <w:t>20 mg 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 mg BID daily</w:t>
      </w:r>
    </w:p>
    <w:p w:rsidR="00F339F4" w:rsidRDefault="00F339F4" w:rsidP="00F339F4">
      <w:pPr>
        <w:numPr>
          <w:ilvl w:val="0"/>
          <w:numId w:val="3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H. Pylori:</w:t>
      </w:r>
    </w:p>
    <w:p w:rsidR="00F339F4" w:rsidRDefault="00F339F4" w:rsidP="00F339F4">
      <w:pPr>
        <w:numPr>
          <w:ilvl w:val="1"/>
          <w:numId w:val="3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ORAL:</w:t>
      </w:r>
      <w:r>
        <w:rPr>
          <w:rFonts w:ascii="Times New Roman" w:hAnsi="Times New Roman" w:cs="Times New Roman"/>
          <w:sz w:val="24"/>
          <w:szCs w:val="24"/>
        </w:rPr>
        <w:t xml:space="preserve"> 40 mg daily for 14 days along with other drugs</w:t>
      </w:r>
    </w:p>
    <w:p w:rsidR="00F339F4" w:rsidRDefault="00F339F4" w:rsidP="00F339F4"/>
    <w:p w:rsidR="00F339F4" w:rsidRDefault="00F339F4" w:rsidP="00F339F4">
      <w:r>
        <w:rPr>
          <w:rFonts w:ascii="Times New Roman" w:hAnsi="Times New Roman" w:cs="Times New Roman"/>
          <w:b/>
          <w:bCs/>
          <w:sz w:val="24"/>
          <w:szCs w:val="24"/>
        </w:rPr>
        <w:t>PEDIATRICS</w:t>
      </w:r>
    </w:p>
    <w:p w:rsidR="00F339F4" w:rsidRDefault="00F339F4" w:rsidP="00F339F4">
      <w:pPr>
        <w:numPr>
          <w:ilvl w:val="0"/>
          <w:numId w:val="4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Erosive Esophagitis:</w:t>
      </w:r>
    </w:p>
    <w:p w:rsidR="00F339F4" w:rsidRDefault="00F339F4" w:rsidP="00F339F4">
      <w:pPr>
        <w:numPr>
          <w:ilvl w:val="1"/>
          <w:numId w:val="4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ORAL:</w:t>
      </w:r>
      <w:r>
        <w:rPr>
          <w:rFonts w:ascii="Times New Roman" w:hAnsi="Times New Roman" w:cs="Times New Roman"/>
          <w:sz w:val="24"/>
          <w:szCs w:val="24"/>
        </w:rPr>
        <w:t xml:space="preserve"> 0.5 to 3.5mg/kg/day</w:t>
      </w:r>
    </w:p>
    <w:p w:rsidR="00F339F4" w:rsidRDefault="00F339F4" w:rsidP="00F339F4">
      <w:pPr>
        <w:numPr>
          <w:ilvl w:val="0"/>
          <w:numId w:val="4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GERD:</w:t>
      </w:r>
    </w:p>
    <w:p w:rsidR="00F339F4" w:rsidRDefault="00F339F4" w:rsidP="00F339F4">
      <w:pPr>
        <w:numPr>
          <w:ilvl w:val="1"/>
          <w:numId w:val="4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ORAL:</w:t>
      </w:r>
      <w:r>
        <w:rPr>
          <w:rFonts w:ascii="Times New Roman" w:hAnsi="Times New Roman" w:cs="Times New Roman"/>
          <w:sz w:val="24"/>
          <w:szCs w:val="24"/>
        </w:rPr>
        <w:t xml:space="preserve"> 0.7mg/kg/day for infants, 5 mg orally daily for children between 1-2 years; 10-20mg daily for 2 and above</w:t>
      </w:r>
    </w:p>
    <w:p w:rsidR="00F339F4" w:rsidRDefault="00F339F4" w:rsidP="00F339F4">
      <w:pPr>
        <w:numPr>
          <w:ilvl w:val="0"/>
          <w:numId w:val="4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Peptic Ulcer:</w:t>
      </w:r>
    </w:p>
    <w:p w:rsidR="00F339F4" w:rsidRDefault="00F339F4" w:rsidP="00F339F4">
      <w:pPr>
        <w:numPr>
          <w:ilvl w:val="1"/>
          <w:numId w:val="4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ORAL:</w:t>
      </w:r>
      <w:r>
        <w:rPr>
          <w:rFonts w:ascii="Times New Roman" w:hAnsi="Times New Roman" w:cs="Times New Roman"/>
          <w:sz w:val="24"/>
          <w:szCs w:val="24"/>
        </w:rPr>
        <w:t xml:space="preserve"> same as erosive esophagitis</w:t>
      </w:r>
    </w:p>
    <w:p w:rsidR="00F339F4" w:rsidRDefault="00F339F4" w:rsidP="00F339F4">
      <w:pPr>
        <w:numPr>
          <w:ilvl w:val="0"/>
          <w:numId w:val="4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H. Pylori eradication:</w:t>
      </w:r>
    </w:p>
    <w:p w:rsidR="00F339F4" w:rsidRDefault="00F339F4" w:rsidP="00F339F4">
      <w:pPr>
        <w:numPr>
          <w:ilvl w:val="1"/>
          <w:numId w:val="4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ORAL:</w:t>
      </w:r>
    </w:p>
    <w:p w:rsidR="00F339F4" w:rsidRDefault="00F339F4" w:rsidP="00F339F4">
      <w:pPr>
        <w:numPr>
          <w:ilvl w:val="2"/>
          <w:numId w:val="4"/>
        </w:numPr>
        <w:spacing w:after="0"/>
        <w:ind w:left="54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Children: 1-2mg/kg/day, maximum 20mg daily</w:t>
      </w:r>
    </w:p>
    <w:p w:rsidR="00F339F4" w:rsidRDefault="00F339F4" w:rsidP="00F339F4">
      <w:pPr>
        <w:numPr>
          <w:ilvl w:val="0"/>
          <w:numId w:val="4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Hypersecretion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of acid:</w:t>
      </w:r>
    </w:p>
    <w:p w:rsidR="00F339F4" w:rsidRDefault="00F339F4" w:rsidP="00F339F4">
      <w:pPr>
        <w:numPr>
          <w:ilvl w:val="1"/>
          <w:numId w:val="4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ORAL:</w:t>
      </w:r>
      <w:r>
        <w:rPr>
          <w:rFonts w:ascii="Times New Roman" w:hAnsi="Times New Roman" w:cs="Times New Roman"/>
          <w:sz w:val="24"/>
          <w:szCs w:val="24"/>
        </w:rPr>
        <w:t xml:space="preserve"> 0.7-2.75mg/kg/day</w:t>
      </w:r>
    </w:p>
    <w:p w:rsidR="00F339F4" w:rsidRDefault="00F339F4" w:rsidP="00F339F4"/>
    <w:p w:rsidR="00F339F4" w:rsidRDefault="00F339F4" w:rsidP="00F339F4"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2) CAUTIONS</w:t>
      </w:r>
    </w:p>
    <w:p w:rsidR="00F339F4" w:rsidRDefault="00F339F4" w:rsidP="00F339F4">
      <w:pPr>
        <w:numPr>
          <w:ilvl w:val="0"/>
          <w:numId w:val="5"/>
        </w:numPr>
        <w:spacing w:after="0"/>
        <w:ind w:left="180" w:hanging="1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Main side effects:</w:t>
      </w:r>
    </w:p>
    <w:p w:rsidR="00F339F4" w:rsidRDefault="00F339F4" w:rsidP="00F339F4">
      <w:pPr>
        <w:numPr>
          <w:ilvl w:val="1"/>
          <w:numId w:val="5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Osteopenia related bone fractures</w:t>
      </w:r>
    </w:p>
    <w:p w:rsidR="00F339F4" w:rsidRDefault="00F339F4" w:rsidP="00F339F4">
      <w:pPr>
        <w:numPr>
          <w:ilvl w:val="1"/>
          <w:numId w:val="5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Atrophic Gastritis</w:t>
      </w:r>
    </w:p>
    <w:p w:rsidR="00F339F4" w:rsidRDefault="00F339F4" w:rsidP="00F339F4">
      <w:pPr>
        <w:numPr>
          <w:ilvl w:val="1"/>
          <w:numId w:val="5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Clostridium Difficile</w:t>
      </w:r>
    </w:p>
    <w:p w:rsidR="00F339F4" w:rsidRDefault="00F339F4" w:rsidP="00F339F4">
      <w:pPr>
        <w:numPr>
          <w:ilvl w:val="1"/>
          <w:numId w:val="5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Interstitial Nephritis</w:t>
      </w:r>
    </w:p>
    <w:p w:rsidR="00F339F4" w:rsidRDefault="00F339F4" w:rsidP="00F339F4">
      <w:pPr>
        <w:numPr>
          <w:ilvl w:val="1"/>
          <w:numId w:val="5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B12 deficiency</w:t>
      </w:r>
    </w:p>
    <w:p w:rsidR="00F339F4" w:rsidRDefault="00F339F4" w:rsidP="00F339F4">
      <w:pPr>
        <w:numPr>
          <w:ilvl w:val="1"/>
          <w:numId w:val="5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Diarrhea and constipation with long term use among children</w:t>
      </w:r>
    </w:p>
    <w:p w:rsidR="00F339F4" w:rsidRDefault="00F339F4" w:rsidP="00F339F4">
      <w:pPr>
        <w:numPr>
          <w:ilvl w:val="0"/>
          <w:numId w:val="5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Dose adjustment:</w:t>
      </w:r>
    </w:p>
    <w:p w:rsidR="00F339F4" w:rsidRDefault="00F339F4" w:rsidP="00F339F4">
      <w:pPr>
        <w:numPr>
          <w:ilvl w:val="1"/>
          <w:numId w:val="5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Renal problems: None</w:t>
      </w:r>
    </w:p>
    <w:p w:rsidR="00F339F4" w:rsidRDefault="00F339F4" w:rsidP="00F339F4">
      <w:pPr>
        <w:numPr>
          <w:ilvl w:val="1"/>
          <w:numId w:val="5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Hepatic insufficiency: May need dose adjustments</w:t>
      </w:r>
    </w:p>
    <w:p w:rsidR="00F339F4" w:rsidRDefault="00F339F4" w:rsidP="00F339F4"/>
    <w:p w:rsidR="00F339F4" w:rsidRDefault="00F339F4" w:rsidP="00F339F4"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3) AVAILABLE FORMS/ROUTES</w:t>
      </w:r>
    </w:p>
    <w:p w:rsidR="00F339F4" w:rsidRDefault="00F339F4" w:rsidP="00F339F4">
      <w:pPr>
        <w:numPr>
          <w:ilvl w:val="0"/>
          <w:numId w:val="6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ORAL:</w:t>
      </w:r>
    </w:p>
    <w:p w:rsidR="00F339F4" w:rsidRDefault="00F339F4" w:rsidP="00F339F4">
      <w:pPr>
        <w:numPr>
          <w:ilvl w:val="1"/>
          <w:numId w:val="6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Tablet or capsule 10 mg, 20 mg or 40 mg</w:t>
      </w:r>
    </w:p>
    <w:p w:rsidR="00F339F4" w:rsidRDefault="00F339F4" w:rsidP="00F339F4">
      <w:pPr>
        <w:numPr>
          <w:ilvl w:val="1"/>
          <w:numId w:val="6"/>
        </w:numPr>
        <w:spacing w:after="0"/>
        <w:ind w:left="36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Oral Suspension: 90 mL, 150 mL, 300 mL</w:t>
      </w:r>
    </w:p>
    <w:p w:rsidR="00F339F4" w:rsidRDefault="00F339F4" w:rsidP="00F339F4">
      <w:pPr>
        <w:numPr>
          <w:ilvl w:val="0"/>
          <w:numId w:val="6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IV: </w:t>
      </w:r>
      <w:r>
        <w:rPr>
          <w:rFonts w:ascii="Times New Roman" w:hAnsi="Times New Roman" w:cs="Times New Roman"/>
          <w:sz w:val="24"/>
          <w:szCs w:val="24"/>
        </w:rPr>
        <w:t>infusion bag</w:t>
      </w:r>
    </w:p>
    <w:p w:rsidR="00F339F4" w:rsidRDefault="00F339F4" w:rsidP="00F339F4"/>
    <w:p w:rsidR="00F339F4" w:rsidRDefault="00F339F4" w:rsidP="00F339F4"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4) ORDER ENTRY (COMMONLY USED DOSES)</w:t>
      </w:r>
    </w:p>
    <w:p w:rsidR="00F339F4" w:rsidRDefault="00F339F4" w:rsidP="00F339F4">
      <w:pPr>
        <w:numPr>
          <w:ilvl w:val="0"/>
          <w:numId w:val="7"/>
        </w:numPr>
        <w:spacing w:after="0"/>
        <w:ind w:left="180" w:hanging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ORAL:</w:t>
      </w:r>
      <w:r>
        <w:rPr>
          <w:rFonts w:ascii="Times New Roman" w:hAnsi="Times New Roman" w:cs="Times New Roman"/>
          <w:sz w:val="24"/>
          <w:szCs w:val="24"/>
        </w:rPr>
        <w:t xml:space="preserve"> 20 mg, 40 mg</w:t>
      </w:r>
    </w:p>
    <w:p w:rsidR="00F339F4" w:rsidRDefault="00F339F4" w:rsidP="00F339F4"/>
    <w:p w:rsidR="00F339F4" w:rsidRDefault="00F339F4" w:rsidP="00F339F4"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5) REFERENCES</w:t>
      </w:r>
    </w:p>
    <w:p w:rsidR="00F339F4" w:rsidRDefault="00F339F4" w:rsidP="00F339F4"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highlight w:val="white"/>
        </w:rPr>
        <w:t xml:space="preserve">AstraZeneca Pharmaceuticals. </w:t>
      </w:r>
      <w:proofErr w:type="gramStart"/>
      <w:r>
        <w:rPr>
          <w:rFonts w:ascii="Times New Roman" w:hAnsi="Times New Roman" w:cs="Times New Roman"/>
          <w:highlight w:val="white"/>
        </w:rPr>
        <w:t>Prilosec Prescribing Information Website.</w:t>
      </w:r>
      <w:proofErr w:type="gramEnd"/>
      <w:r w:rsidR="00912A01">
        <w:fldChar w:fldCharType="begin"/>
      </w:r>
      <w:r w:rsidR="00912A01">
        <w:instrText xml:space="preserve"> HYPERLINK "http://h" </w:instrText>
      </w:r>
      <w:r w:rsidR="00912A01">
        <w:fldChar w:fldCharType="separate"/>
      </w:r>
      <w:r>
        <w:rPr>
          <w:rStyle w:val="Hyperlink"/>
          <w:rFonts w:ascii="Times New Roman" w:hAnsi="Times New Roman" w:cs="Times New Roman"/>
          <w:color w:val="auto"/>
          <w:highlight w:val="white"/>
        </w:rPr>
        <w:t xml:space="preserve"> </w:t>
      </w:r>
      <w:r w:rsidR="00912A01">
        <w:rPr>
          <w:rStyle w:val="Hyperlink"/>
          <w:rFonts w:ascii="Times New Roman" w:hAnsi="Times New Roman" w:cs="Times New Roman"/>
          <w:color w:val="auto"/>
          <w:highlight w:val="white"/>
        </w:rPr>
        <w:fldChar w:fldCharType="end"/>
      </w:r>
      <w:hyperlink r:id="rId6" w:history="1">
        <w:r>
          <w:rPr>
            <w:rStyle w:val="Hyperlink"/>
            <w:rFonts w:ascii="Times New Roman" w:hAnsi="Times New Roman" w:cs="Times New Roman"/>
            <w:color w:val="1155CC"/>
            <w:highlight w:val="white"/>
          </w:rPr>
          <w:t>http://www1.astrazeneca-us.com/pi/Prilosec.pdf</w:t>
        </w:r>
      </w:hyperlink>
      <w:r>
        <w:rPr>
          <w:rFonts w:ascii="Times New Roman" w:hAnsi="Times New Roman" w:cs="Times New Roman"/>
          <w:highlight w:val="white"/>
        </w:rPr>
        <w:t xml:space="preserve">. March, 2014. </w:t>
      </w:r>
      <w:proofErr w:type="gramStart"/>
      <w:r>
        <w:rPr>
          <w:rFonts w:ascii="Times New Roman" w:hAnsi="Times New Roman" w:cs="Times New Roman"/>
          <w:highlight w:val="white"/>
        </w:rPr>
        <w:t>Accessed June 7</w:t>
      </w:r>
      <w:r>
        <w:rPr>
          <w:rFonts w:ascii="Times New Roman" w:hAnsi="Times New Roman" w:cs="Times New Roman"/>
          <w:highlight w:val="white"/>
          <w:vertAlign w:val="superscript"/>
        </w:rPr>
        <w:t>th</w:t>
      </w:r>
      <w:r>
        <w:rPr>
          <w:rFonts w:ascii="Times New Roman" w:hAnsi="Times New Roman" w:cs="Times New Roman"/>
          <w:highlight w:val="white"/>
        </w:rPr>
        <w:t>, 2015.</w:t>
      </w:r>
      <w:proofErr w:type="gramEnd"/>
    </w:p>
    <w:p w:rsidR="00F339F4" w:rsidRDefault="00F339F4" w:rsidP="00F339F4">
      <w:r>
        <w:rPr>
          <w:rFonts w:ascii="Times New Roman" w:hAnsi="Times New Roman" w:cs="Times New Roman"/>
        </w:rPr>
        <w:t>-Proton Pump Inhibitors. Use in Adults website.</w:t>
      </w:r>
      <w:hyperlink r:id="rId7" w:history="1">
        <w:r>
          <w:rPr>
            <w:rStyle w:val="Hyperlink"/>
            <w:rFonts w:ascii="Times New Roman" w:hAnsi="Times New Roman" w:cs="Times New Roman"/>
            <w:color w:val="auto"/>
          </w:rPr>
          <w:t xml:space="preserve"> </w:t>
        </w:r>
      </w:hyperlink>
      <w:hyperlink r:id="rId8" w:history="1">
        <w:r>
          <w:rPr>
            <w:rStyle w:val="Hyperlink"/>
            <w:rFonts w:ascii="Times New Roman" w:hAnsi="Times New Roman" w:cs="Times New Roman"/>
            <w:color w:val="1155CC"/>
          </w:rPr>
          <w:t>http://www.cms.gov/Medicare-Medicaid-Coordination/Fraud-Prevention/Medicaid-Integrity-Education/Pharmacy-Education-Materials/Downloads/ppi-adult-factsheet.pdf</w:t>
        </w:r>
      </w:hyperlink>
      <w:r>
        <w:rPr>
          <w:rFonts w:ascii="Times New Roman" w:hAnsi="Times New Roman" w:cs="Times New Roman"/>
        </w:rPr>
        <w:t xml:space="preserve">. August, 2013. </w:t>
      </w:r>
      <w:proofErr w:type="gramStart"/>
      <w:r>
        <w:rPr>
          <w:rFonts w:ascii="Times New Roman" w:hAnsi="Times New Roman" w:cs="Times New Roman"/>
          <w:highlight w:val="white"/>
        </w:rPr>
        <w:t>Accessed June 7</w:t>
      </w:r>
      <w:r>
        <w:rPr>
          <w:rFonts w:ascii="Times New Roman" w:hAnsi="Times New Roman" w:cs="Times New Roman"/>
          <w:highlight w:val="white"/>
          <w:vertAlign w:val="superscript"/>
        </w:rPr>
        <w:t>th</w:t>
      </w:r>
      <w:r>
        <w:rPr>
          <w:rFonts w:ascii="Times New Roman" w:hAnsi="Times New Roman" w:cs="Times New Roman"/>
          <w:highlight w:val="white"/>
        </w:rPr>
        <w:t>, 2015.</w:t>
      </w:r>
      <w:proofErr w:type="gramEnd"/>
    </w:p>
    <w:p w:rsidR="00F339F4" w:rsidRDefault="00F339F4" w:rsidP="00F339F4">
      <w:r>
        <w:rPr>
          <w:rFonts w:ascii="Times New Roman" w:hAnsi="Times New Roman" w:cs="Times New Roman"/>
          <w:highlight w:val="white"/>
        </w:rPr>
        <w:t xml:space="preserve">-Israel </w:t>
      </w:r>
      <w:proofErr w:type="gramStart"/>
      <w:r>
        <w:rPr>
          <w:rFonts w:ascii="Times New Roman" w:hAnsi="Times New Roman" w:cs="Times New Roman"/>
          <w:highlight w:val="white"/>
        </w:rPr>
        <w:t>DM.,</w:t>
      </w:r>
      <w:proofErr w:type="gramEnd"/>
      <w:r>
        <w:rPr>
          <w:rFonts w:ascii="Times New Roman" w:hAnsi="Times New Roman" w:cs="Times New Roman"/>
          <w:highlight w:val="white"/>
        </w:rPr>
        <w:t xml:space="preserve"> Hassall, E</w:t>
      </w:r>
      <w:r>
        <w:rPr>
          <w:rFonts w:ascii="Times New Roman" w:hAnsi="Times New Roman" w:cs="Times New Roman"/>
        </w:rPr>
        <w:t xml:space="preserve">. Omeprazole and Other Proton Pump Inhibitors: Pharmacology, Efficacy, and Safety, with Special Reference to Use in Children. </w:t>
      </w:r>
      <w:r>
        <w:rPr>
          <w:rFonts w:ascii="Times New Roman" w:hAnsi="Times New Roman" w:cs="Times New Roman"/>
          <w:i/>
          <w:iCs/>
          <w:color w:val="444444"/>
          <w:highlight w:val="white"/>
        </w:rPr>
        <w:t xml:space="preserve">J </w:t>
      </w:r>
      <w:proofErr w:type="spellStart"/>
      <w:r>
        <w:rPr>
          <w:rFonts w:ascii="Times New Roman" w:hAnsi="Times New Roman" w:cs="Times New Roman"/>
          <w:i/>
          <w:iCs/>
          <w:color w:val="444444"/>
          <w:highlight w:val="white"/>
        </w:rPr>
        <w:t>pediatr</w:t>
      </w:r>
      <w:proofErr w:type="spellEnd"/>
      <w:r>
        <w:rPr>
          <w:rFonts w:ascii="Times New Roman" w:hAnsi="Times New Roman" w:cs="Times New Roman"/>
          <w:i/>
          <w:iCs/>
          <w:color w:val="44444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444444"/>
          <w:highlight w:val="white"/>
        </w:rPr>
        <w:t>gastroenterol</w:t>
      </w:r>
      <w:proofErr w:type="spellEnd"/>
      <w:r>
        <w:rPr>
          <w:rFonts w:ascii="Times New Roman" w:hAnsi="Times New Roman" w:cs="Times New Roman"/>
          <w:i/>
          <w:iCs/>
          <w:color w:val="44444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444444"/>
          <w:highlight w:val="white"/>
        </w:rPr>
        <w:t>nutr</w:t>
      </w:r>
      <w:proofErr w:type="spellEnd"/>
      <w:r>
        <w:rPr>
          <w:rFonts w:ascii="Times New Roman" w:hAnsi="Times New Roman" w:cs="Times New Roman"/>
          <w:color w:val="444444"/>
          <w:highlight w:val="white"/>
        </w:rPr>
        <w:t>, 1998, 27(5): 568-579</w:t>
      </w:r>
    </w:p>
    <w:p w:rsidR="00F339F4" w:rsidRDefault="00F339F4" w:rsidP="00F339F4">
      <w:r>
        <w:rPr>
          <w:rFonts w:ascii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highlight w:val="white"/>
        </w:rPr>
        <w:t>Fuccio</w:t>
      </w:r>
      <w:proofErr w:type="spellEnd"/>
      <w:r>
        <w:rPr>
          <w:rFonts w:ascii="Times New Roman" w:hAnsi="Times New Roman" w:cs="Times New Roman"/>
          <w:highlight w:val="white"/>
        </w:rPr>
        <w:t xml:space="preserve"> L, </w:t>
      </w:r>
      <w:proofErr w:type="spellStart"/>
      <w:r>
        <w:rPr>
          <w:rFonts w:ascii="Times New Roman" w:hAnsi="Times New Roman" w:cs="Times New Roman"/>
          <w:highlight w:val="white"/>
        </w:rPr>
        <w:t>Minardi</w:t>
      </w:r>
      <w:proofErr w:type="spellEnd"/>
      <w:r>
        <w:rPr>
          <w:rFonts w:ascii="Times New Roman" w:hAnsi="Times New Roman" w:cs="Times New Roman"/>
          <w:highlight w:val="white"/>
        </w:rPr>
        <w:t xml:space="preserve"> M et al. </w:t>
      </w:r>
      <w:hyperlink r:id="rId9" w:history="1">
        <w:r>
          <w:rPr>
            <w:rStyle w:val="Hyperlink"/>
            <w:rFonts w:ascii="Times New Roman" w:hAnsi="Times New Roman" w:cs="Times New Roman"/>
            <w:color w:val="1155CC"/>
          </w:rPr>
          <w:t>Meta-analysis: duration of first-line proton-pump inhibitor–based triple therapy for Helicobacter pylori eradication.</w:t>
        </w:r>
      </w:hyperlink>
      <w:r>
        <w:rPr>
          <w:rFonts w:ascii="Times New Roman" w:hAnsi="Times New Roman" w:cs="Times New Roman"/>
          <w:highlight w:val="white"/>
        </w:rPr>
        <w:t xml:space="preserve">  </w:t>
      </w:r>
      <w:proofErr w:type="gramStart"/>
      <w:r>
        <w:rPr>
          <w:rFonts w:ascii="Times New Roman" w:hAnsi="Times New Roman" w:cs="Times New Roman"/>
          <w:i/>
          <w:iCs/>
          <w:highlight w:val="white"/>
        </w:rPr>
        <w:t xml:space="preserve">Ann of </w:t>
      </w:r>
      <w:proofErr w:type="spellStart"/>
      <w:r>
        <w:rPr>
          <w:rFonts w:ascii="Times New Roman" w:hAnsi="Times New Roman" w:cs="Times New Roman"/>
          <w:i/>
          <w:iCs/>
          <w:highlight w:val="white"/>
        </w:rPr>
        <w:t>int</w:t>
      </w:r>
      <w:proofErr w:type="spellEnd"/>
      <w:r>
        <w:rPr>
          <w:rFonts w:ascii="Times New Roman" w:hAnsi="Times New Roman" w:cs="Times New Roman"/>
          <w:i/>
          <w:iCs/>
          <w:highlight w:val="white"/>
        </w:rPr>
        <w:t xml:space="preserve"> med</w:t>
      </w:r>
      <w:r>
        <w:rPr>
          <w:rFonts w:ascii="Times New Roman" w:hAnsi="Times New Roman" w:cs="Times New Roman"/>
          <w:highlight w:val="white"/>
        </w:rPr>
        <w:t>. 2007.</w:t>
      </w:r>
      <w:proofErr w:type="gramEnd"/>
      <w:r>
        <w:rPr>
          <w:rFonts w:ascii="Times New Roman" w:hAnsi="Times New Roman" w:cs="Times New Roman"/>
          <w:highlight w:val="white"/>
        </w:rPr>
        <w:t xml:space="preserve"> 147(8): 553-562.</w:t>
      </w:r>
    </w:p>
    <w:p w:rsidR="00F339F4" w:rsidRDefault="00F339F4" w:rsidP="00F339F4"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</w:rPr>
        <w:t xml:space="preserve">Zimmermann AE, Walters JK, </w:t>
      </w:r>
      <w:proofErr w:type="spellStart"/>
      <w:r>
        <w:rPr>
          <w:rFonts w:ascii="Times New Roman" w:hAnsi="Times New Roman" w:cs="Times New Roman"/>
        </w:rPr>
        <w:t>Katona</w:t>
      </w:r>
      <w:proofErr w:type="spellEnd"/>
      <w:r>
        <w:rPr>
          <w:rFonts w:ascii="Times New Roman" w:hAnsi="Times New Roman" w:cs="Times New Roman"/>
        </w:rPr>
        <w:t xml:space="preserve"> BG, et al. </w:t>
      </w:r>
      <w:proofErr w:type="gramStart"/>
      <w:r>
        <w:rPr>
          <w:rFonts w:ascii="Times New Roman" w:hAnsi="Times New Roman" w:cs="Times New Roman"/>
        </w:rPr>
        <w:t>A Review of Omeprazole Use in the Treatment of Acid-Related Disorders in Children.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Clin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Ther</w:t>
      </w:r>
      <w:proofErr w:type="spellEnd"/>
      <w:r>
        <w:rPr>
          <w:rFonts w:ascii="Times New Roman" w:hAnsi="Times New Roman" w:cs="Times New Roman"/>
        </w:rPr>
        <w:t>, 2001, 23(5): 660-79.</w:t>
      </w:r>
    </w:p>
    <w:p w:rsidR="0001460C" w:rsidRDefault="00F339F4">
      <w:r>
        <w:rPr>
          <w:rFonts w:ascii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</w:rPr>
        <w:t>Lightdale</w:t>
      </w:r>
      <w:proofErr w:type="spellEnd"/>
      <w:r>
        <w:rPr>
          <w:rFonts w:ascii="Times New Roman" w:hAnsi="Times New Roman" w:cs="Times New Roman"/>
        </w:rPr>
        <w:t xml:space="preserve"> JR, </w:t>
      </w:r>
      <w:proofErr w:type="spellStart"/>
      <w:r>
        <w:rPr>
          <w:rFonts w:ascii="Times New Roman" w:hAnsi="Times New Roman" w:cs="Times New Roman"/>
        </w:rPr>
        <w:t>Gremse</w:t>
      </w:r>
      <w:proofErr w:type="spellEnd"/>
      <w:r>
        <w:rPr>
          <w:rFonts w:ascii="Times New Roman" w:hAnsi="Times New Roman" w:cs="Times New Roman"/>
        </w:rPr>
        <w:t xml:space="preserve"> DA. </w:t>
      </w:r>
      <w:proofErr w:type="spellStart"/>
      <w:r>
        <w:rPr>
          <w:rFonts w:ascii="Times New Roman" w:hAnsi="Times New Roman" w:cs="Times New Roman"/>
        </w:rPr>
        <w:t>Gastroesophageal</w:t>
      </w:r>
      <w:proofErr w:type="spellEnd"/>
      <w:r>
        <w:rPr>
          <w:rFonts w:ascii="Times New Roman" w:hAnsi="Times New Roman" w:cs="Times New Roman"/>
        </w:rPr>
        <w:t xml:space="preserve"> Reflux: Management Guidance for the Pediatrician. </w:t>
      </w:r>
      <w:r>
        <w:rPr>
          <w:rFonts w:ascii="Times New Roman" w:hAnsi="Times New Roman" w:cs="Times New Roman"/>
          <w:i/>
          <w:iCs/>
        </w:rPr>
        <w:t>Pediatrics</w:t>
      </w:r>
      <w:r>
        <w:rPr>
          <w:rFonts w:ascii="Times New Roman" w:hAnsi="Times New Roman" w:cs="Times New Roman"/>
        </w:rPr>
        <w:t>, 2013, 131(5):e1684-95.</w:t>
      </w:r>
    </w:p>
    <w:sectPr w:rsidR="0001460C" w:rsidSect="00477C2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4F5"/>
    <w:multiLevelType w:val="multilevel"/>
    <w:tmpl w:val="6ABE97FE"/>
    <w:lvl w:ilvl="0">
      <w:start w:val="1"/>
      <w:numFmt w:val="bullet"/>
      <w:lvlText w:val="●"/>
      <w:lvlJc w:val="left"/>
      <w:pPr>
        <w:ind w:left="720" w:firstLine="1080"/>
      </w:pPr>
    </w:lvl>
    <w:lvl w:ilvl="1">
      <w:start w:val="1"/>
      <w:numFmt w:val="bullet"/>
      <w:lvlText w:val="○"/>
      <w:lvlJc w:val="left"/>
      <w:pPr>
        <w:ind w:left="1440" w:firstLine="2520"/>
      </w:pPr>
    </w:lvl>
    <w:lvl w:ilvl="2">
      <w:start w:val="1"/>
      <w:numFmt w:val="bullet"/>
      <w:lvlText w:val="■"/>
      <w:lvlJc w:val="left"/>
      <w:pPr>
        <w:ind w:left="2160" w:firstLine="3960"/>
      </w:pPr>
    </w:lvl>
    <w:lvl w:ilvl="3">
      <w:start w:val="1"/>
      <w:numFmt w:val="bullet"/>
      <w:lvlText w:val="●"/>
      <w:lvlJc w:val="left"/>
      <w:pPr>
        <w:ind w:left="2880" w:firstLine="5400"/>
      </w:pPr>
    </w:lvl>
    <w:lvl w:ilvl="4">
      <w:start w:val="1"/>
      <w:numFmt w:val="bullet"/>
      <w:lvlText w:val="○"/>
      <w:lvlJc w:val="left"/>
      <w:pPr>
        <w:ind w:left="3600" w:firstLine="6840"/>
      </w:pPr>
    </w:lvl>
    <w:lvl w:ilvl="5">
      <w:start w:val="1"/>
      <w:numFmt w:val="bullet"/>
      <w:lvlText w:val="■"/>
      <w:lvlJc w:val="left"/>
      <w:pPr>
        <w:ind w:left="4320" w:firstLine="8280"/>
      </w:pPr>
    </w:lvl>
    <w:lvl w:ilvl="6">
      <w:start w:val="1"/>
      <w:numFmt w:val="bullet"/>
      <w:lvlText w:val="●"/>
      <w:lvlJc w:val="left"/>
      <w:pPr>
        <w:ind w:left="5040" w:firstLine="9720"/>
      </w:pPr>
    </w:lvl>
    <w:lvl w:ilvl="7">
      <w:start w:val="1"/>
      <w:numFmt w:val="bullet"/>
      <w:lvlText w:val="○"/>
      <w:lvlJc w:val="left"/>
      <w:pPr>
        <w:ind w:left="5760" w:firstLine="11160"/>
      </w:pPr>
    </w:lvl>
    <w:lvl w:ilvl="8">
      <w:start w:val="1"/>
      <w:numFmt w:val="bullet"/>
      <w:lvlText w:val="■"/>
      <w:lvlJc w:val="left"/>
      <w:pPr>
        <w:ind w:left="6480" w:firstLine="12600"/>
      </w:pPr>
    </w:lvl>
  </w:abstractNum>
  <w:abstractNum w:abstractNumId="1">
    <w:nsid w:val="26D321F0"/>
    <w:multiLevelType w:val="multilevel"/>
    <w:tmpl w:val="84367A04"/>
    <w:styleLink w:val="CERTAIN3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bullet"/>
      <w:lvlRestart w:val="0"/>
      <w:suff w:val="nothing"/>
      <w:lvlText w:val=""/>
      <w:lvlJc w:val="left"/>
      <w:pPr>
        <w:ind w:left="432" w:hanging="144"/>
      </w:pPr>
      <w:rPr>
        <w:rFonts w:ascii="Symbol" w:hAnsi="Symbol" w:hint="default"/>
      </w:rPr>
    </w:lvl>
    <w:lvl w:ilvl="2">
      <w:start w:val="1"/>
      <w:numFmt w:val="bullet"/>
      <w:lvlRestart w:val="0"/>
      <w:suff w:val="nothing"/>
      <w:lvlText w:val=""/>
      <w:lvlJc w:val="left"/>
      <w:pPr>
        <w:ind w:left="720" w:hanging="144"/>
      </w:pPr>
      <w:rPr>
        <w:rFonts w:ascii="Wingdings" w:hAnsi="Wingdings" w:hint="default"/>
        <w:vertAlign w:val="baseline"/>
      </w:rPr>
    </w:lvl>
    <w:lvl w:ilvl="3">
      <w:start w:val="1"/>
      <w:numFmt w:val="bullet"/>
      <w:lvlRestart w:val="0"/>
      <w:suff w:val="nothing"/>
      <w:lvlText w:val=""/>
      <w:lvlJc w:val="left"/>
      <w:pPr>
        <w:ind w:left="1008" w:hanging="144"/>
      </w:pPr>
      <w:rPr>
        <w:rFonts w:ascii="Wingdings" w:hAnsi="Wingdings" w:hint="default"/>
      </w:rPr>
    </w:lvl>
    <w:lvl w:ilvl="4">
      <w:start w:val="1"/>
      <w:numFmt w:val="bullet"/>
      <w:lvlRestart w:val="0"/>
      <w:suff w:val="nothing"/>
      <w:lvlText w:val="o"/>
      <w:lvlJc w:val="left"/>
      <w:pPr>
        <w:ind w:left="1296" w:hanging="144"/>
      </w:pPr>
      <w:rPr>
        <w:rFonts w:ascii="Courier New" w:hAnsi="Courier New" w:hint="default"/>
      </w:rPr>
    </w:lvl>
    <w:lvl w:ilvl="5">
      <w:start w:val="1"/>
      <w:numFmt w:val="bullet"/>
      <w:lvlRestart w:val="0"/>
      <w:suff w:val="nothing"/>
      <w:lvlText w:val=""/>
      <w:lvlJc w:val="left"/>
      <w:pPr>
        <w:ind w:left="1584" w:hanging="14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>
    <w:nsid w:val="3BFC7C97"/>
    <w:multiLevelType w:val="multilevel"/>
    <w:tmpl w:val="74CC57A8"/>
    <w:styleLink w:val="CERTAIN2"/>
    <w:lvl w:ilvl="0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  <w:sz w:val="24"/>
      </w:rPr>
    </w:lvl>
    <w:lvl w:ilvl="1">
      <w:start w:val="1"/>
      <w:numFmt w:val="bullet"/>
      <w:lvlRestart w:val="0"/>
      <w:suff w:val="nothing"/>
      <w:lvlText w:val=""/>
      <w:lvlJc w:val="left"/>
      <w:pPr>
        <w:ind w:left="720" w:hanging="144"/>
      </w:pPr>
      <w:rPr>
        <w:rFonts w:ascii="Symbol" w:hAnsi="Symbol" w:hint="default"/>
      </w:rPr>
    </w:lvl>
    <w:lvl w:ilvl="2">
      <w:start w:val="1"/>
      <w:numFmt w:val="bullet"/>
      <w:lvlRestart w:val="0"/>
      <w:suff w:val="nothing"/>
      <w:lvlText w:val=""/>
      <w:lvlJc w:val="left"/>
      <w:pPr>
        <w:ind w:left="1008" w:hanging="144"/>
      </w:pPr>
      <w:rPr>
        <w:rFonts w:ascii="Wingdings" w:hAnsi="Wingdings" w:hint="default"/>
        <w:vertAlign w:val="baseline"/>
      </w:rPr>
    </w:lvl>
    <w:lvl w:ilvl="3">
      <w:start w:val="1"/>
      <w:numFmt w:val="bullet"/>
      <w:lvlRestart w:val="0"/>
      <w:suff w:val="nothing"/>
      <w:lvlText w:val=""/>
      <w:lvlJc w:val="left"/>
      <w:pPr>
        <w:ind w:left="1296" w:hanging="144"/>
      </w:pPr>
      <w:rPr>
        <w:rFonts w:ascii="Wingdings" w:hAnsi="Wingdings" w:hint="default"/>
      </w:rPr>
    </w:lvl>
    <w:lvl w:ilvl="4">
      <w:start w:val="1"/>
      <w:numFmt w:val="bullet"/>
      <w:lvlRestart w:val="0"/>
      <w:suff w:val="nothing"/>
      <w:lvlText w:val="o"/>
      <w:lvlJc w:val="left"/>
      <w:pPr>
        <w:ind w:left="1584" w:hanging="144"/>
      </w:pPr>
      <w:rPr>
        <w:rFonts w:ascii="Courier New" w:hAnsi="Courier New" w:hint="default"/>
      </w:rPr>
    </w:lvl>
    <w:lvl w:ilvl="5">
      <w:start w:val="1"/>
      <w:numFmt w:val="bullet"/>
      <w:lvlRestart w:val="0"/>
      <w:suff w:val="nothing"/>
      <w:lvlText w:val=""/>
      <w:lvlJc w:val="left"/>
      <w:pPr>
        <w:ind w:left="1872" w:hanging="14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">
    <w:nsid w:val="3E23789E"/>
    <w:multiLevelType w:val="multilevel"/>
    <w:tmpl w:val="1D2CA42C"/>
    <w:lvl w:ilvl="0">
      <w:start w:val="1"/>
      <w:numFmt w:val="bullet"/>
      <w:lvlText w:val="●"/>
      <w:lvlJc w:val="left"/>
      <w:pPr>
        <w:ind w:left="720" w:firstLine="1080"/>
      </w:pPr>
    </w:lvl>
    <w:lvl w:ilvl="1">
      <w:start w:val="1"/>
      <w:numFmt w:val="bullet"/>
      <w:lvlText w:val="○"/>
      <w:lvlJc w:val="left"/>
      <w:pPr>
        <w:ind w:left="1440" w:firstLine="2520"/>
      </w:pPr>
    </w:lvl>
    <w:lvl w:ilvl="2">
      <w:start w:val="1"/>
      <w:numFmt w:val="bullet"/>
      <w:lvlText w:val="■"/>
      <w:lvlJc w:val="left"/>
      <w:pPr>
        <w:ind w:left="2160" w:firstLine="3960"/>
      </w:pPr>
    </w:lvl>
    <w:lvl w:ilvl="3">
      <w:start w:val="1"/>
      <w:numFmt w:val="bullet"/>
      <w:lvlText w:val="●"/>
      <w:lvlJc w:val="left"/>
      <w:pPr>
        <w:ind w:left="2880" w:firstLine="5400"/>
      </w:pPr>
    </w:lvl>
    <w:lvl w:ilvl="4">
      <w:start w:val="1"/>
      <w:numFmt w:val="bullet"/>
      <w:lvlText w:val="○"/>
      <w:lvlJc w:val="left"/>
      <w:pPr>
        <w:ind w:left="3600" w:firstLine="6840"/>
      </w:pPr>
    </w:lvl>
    <w:lvl w:ilvl="5">
      <w:start w:val="1"/>
      <w:numFmt w:val="bullet"/>
      <w:lvlText w:val="■"/>
      <w:lvlJc w:val="left"/>
      <w:pPr>
        <w:ind w:left="4320" w:firstLine="8280"/>
      </w:pPr>
    </w:lvl>
    <w:lvl w:ilvl="6">
      <w:start w:val="1"/>
      <w:numFmt w:val="bullet"/>
      <w:lvlText w:val="●"/>
      <w:lvlJc w:val="left"/>
      <w:pPr>
        <w:ind w:left="5040" w:firstLine="9720"/>
      </w:pPr>
    </w:lvl>
    <w:lvl w:ilvl="7">
      <w:start w:val="1"/>
      <w:numFmt w:val="bullet"/>
      <w:lvlText w:val="○"/>
      <w:lvlJc w:val="left"/>
      <w:pPr>
        <w:ind w:left="5760" w:firstLine="11160"/>
      </w:pPr>
    </w:lvl>
    <w:lvl w:ilvl="8">
      <w:start w:val="1"/>
      <w:numFmt w:val="bullet"/>
      <w:lvlText w:val="■"/>
      <w:lvlJc w:val="left"/>
      <w:pPr>
        <w:ind w:left="6480" w:firstLine="12600"/>
      </w:pPr>
    </w:lvl>
  </w:abstractNum>
  <w:abstractNum w:abstractNumId="4">
    <w:nsid w:val="4A6B3922"/>
    <w:multiLevelType w:val="multilevel"/>
    <w:tmpl w:val="199CCC7C"/>
    <w:lvl w:ilvl="0">
      <w:start w:val="1"/>
      <w:numFmt w:val="bullet"/>
      <w:lvlText w:val="●"/>
      <w:lvlJc w:val="left"/>
      <w:pPr>
        <w:ind w:left="720" w:firstLine="1080"/>
      </w:pPr>
    </w:lvl>
    <w:lvl w:ilvl="1">
      <w:start w:val="1"/>
      <w:numFmt w:val="bullet"/>
      <w:lvlText w:val="○"/>
      <w:lvlJc w:val="left"/>
      <w:pPr>
        <w:ind w:left="1440" w:firstLine="2520"/>
      </w:pPr>
    </w:lvl>
    <w:lvl w:ilvl="2">
      <w:start w:val="1"/>
      <w:numFmt w:val="bullet"/>
      <w:lvlText w:val="■"/>
      <w:lvlJc w:val="left"/>
      <w:pPr>
        <w:ind w:left="2160" w:firstLine="3960"/>
      </w:pPr>
    </w:lvl>
    <w:lvl w:ilvl="3">
      <w:start w:val="1"/>
      <w:numFmt w:val="bullet"/>
      <w:lvlText w:val="●"/>
      <w:lvlJc w:val="left"/>
      <w:pPr>
        <w:ind w:left="2880" w:firstLine="5400"/>
      </w:pPr>
    </w:lvl>
    <w:lvl w:ilvl="4">
      <w:start w:val="1"/>
      <w:numFmt w:val="bullet"/>
      <w:lvlText w:val="○"/>
      <w:lvlJc w:val="left"/>
      <w:pPr>
        <w:ind w:left="3600" w:firstLine="6840"/>
      </w:pPr>
    </w:lvl>
    <w:lvl w:ilvl="5">
      <w:start w:val="1"/>
      <w:numFmt w:val="bullet"/>
      <w:lvlText w:val="■"/>
      <w:lvlJc w:val="left"/>
      <w:pPr>
        <w:ind w:left="4320" w:firstLine="8280"/>
      </w:pPr>
    </w:lvl>
    <w:lvl w:ilvl="6">
      <w:start w:val="1"/>
      <w:numFmt w:val="bullet"/>
      <w:lvlText w:val="●"/>
      <w:lvlJc w:val="left"/>
      <w:pPr>
        <w:ind w:left="5040" w:firstLine="9720"/>
      </w:pPr>
    </w:lvl>
    <w:lvl w:ilvl="7">
      <w:start w:val="1"/>
      <w:numFmt w:val="bullet"/>
      <w:lvlText w:val="○"/>
      <w:lvlJc w:val="left"/>
      <w:pPr>
        <w:ind w:left="5760" w:firstLine="11160"/>
      </w:pPr>
    </w:lvl>
    <w:lvl w:ilvl="8">
      <w:start w:val="1"/>
      <w:numFmt w:val="bullet"/>
      <w:lvlText w:val="■"/>
      <w:lvlJc w:val="left"/>
      <w:pPr>
        <w:ind w:left="6480" w:firstLine="12600"/>
      </w:pPr>
    </w:lvl>
  </w:abstractNum>
  <w:abstractNum w:abstractNumId="5">
    <w:nsid w:val="584814E3"/>
    <w:multiLevelType w:val="multilevel"/>
    <w:tmpl w:val="1C2C028C"/>
    <w:lvl w:ilvl="0">
      <w:start w:val="1"/>
      <w:numFmt w:val="bullet"/>
      <w:lvlText w:val="●"/>
      <w:lvlJc w:val="left"/>
      <w:pPr>
        <w:ind w:left="720" w:firstLine="1080"/>
      </w:pPr>
    </w:lvl>
    <w:lvl w:ilvl="1">
      <w:start w:val="1"/>
      <w:numFmt w:val="bullet"/>
      <w:lvlText w:val="○"/>
      <w:lvlJc w:val="left"/>
      <w:pPr>
        <w:ind w:left="1440" w:firstLine="2520"/>
      </w:pPr>
    </w:lvl>
    <w:lvl w:ilvl="2">
      <w:start w:val="1"/>
      <w:numFmt w:val="bullet"/>
      <w:lvlText w:val="■"/>
      <w:lvlJc w:val="left"/>
      <w:pPr>
        <w:ind w:left="2160" w:firstLine="3960"/>
      </w:pPr>
    </w:lvl>
    <w:lvl w:ilvl="3">
      <w:start w:val="1"/>
      <w:numFmt w:val="bullet"/>
      <w:lvlText w:val="●"/>
      <w:lvlJc w:val="left"/>
      <w:pPr>
        <w:ind w:left="2880" w:firstLine="5400"/>
      </w:pPr>
    </w:lvl>
    <w:lvl w:ilvl="4">
      <w:start w:val="1"/>
      <w:numFmt w:val="bullet"/>
      <w:lvlText w:val="○"/>
      <w:lvlJc w:val="left"/>
      <w:pPr>
        <w:ind w:left="3600" w:firstLine="6840"/>
      </w:pPr>
    </w:lvl>
    <w:lvl w:ilvl="5">
      <w:start w:val="1"/>
      <w:numFmt w:val="bullet"/>
      <w:lvlText w:val="■"/>
      <w:lvlJc w:val="left"/>
      <w:pPr>
        <w:ind w:left="4320" w:firstLine="8280"/>
      </w:pPr>
    </w:lvl>
    <w:lvl w:ilvl="6">
      <w:start w:val="1"/>
      <w:numFmt w:val="bullet"/>
      <w:lvlText w:val="●"/>
      <w:lvlJc w:val="left"/>
      <w:pPr>
        <w:ind w:left="5040" w:firstLine="9720"/>
      </w:pPr>
    </w:lvl>
    <w:lvl w:ilvl="7">
      <w:start w:val="1"/>
      <w:numFmt w:val="bullet"/>
      <w:lvlText w:val="○"/>
      <w:lvlJc w:val="left"/>
      <w:pPr>
        <w:ind w:left="5760" w:firstLine="11160"/>
      </w:pPr>
    </w:lvl>
    <w:lvl w:ilvl="8">
      <w:start w:val="1"/>
      <w:numFmt w:val="bullet"/>
      <w:lvlText w:val="■"/>
      <w:lvlJc w:val="left"/>
      <w:pPr>
        <w:ind w:left="6480" w:firstLine="12600"/>
      </w:pPr>
    </w:lvl>
  </w:abstractNum>
  <w:abstractNum w:abstractNumId="6">
    <w:nsid w:val="649861E4"/>
    <w:multiLevelType w:val="multilevel"/>
    <w:tmpl w:val="8AFA292A"/>
    <w:lvl w:ilvl="0">
      <w:start w:val="1"/>
      <w:numFmt w:val="bullet"/>
      <w:lvlText w:val="●"/>
      <w:lvlJc w:val="left"/>
      <w:pPr>
        <w:ind w:left="720" w:firstLine="1080"/>
      </w:pPr>
    </w:lvl>
    <w:lvl w:ilvl="1">
      <w:start w:val="1"/>
      <w:numFmt w:val="bullet"/>
      <w:lvlText w:val="○"/>
      <w:lvlJc w:val="left"/>
      <w:pPr>
        <w:ind w:left="1440" w:firstLine="2520"/>
      </w:pPr>
    </w:lvl>
    <w:lvl w:ilvl="2">
      <w:start w:val="1"/>
      <w:numFmt w:val="bullet"/>
      <w:lvlText w:val="■"/>
      <w:lvlJc w:val="left"/>
      <w:pPr>
        <w:ind w:left="2160" w:firstLine="3960"/>
      </w:pPr>
    </w:lvl>
    <w:lvl w:ilvl="3">
      <w:start w:val="1"/>
      <w:numFmt w:val="bullet"/>
      <w:lvlText w:val="●"/>
      <w:lvlJc w:val="left"/>
      <w:pPr>
        <w:ind w:left="2880" w:firstLine="5400"/>
      </w:pPr>
    </w:lvl>
    <w:lvl w:ilvl="4">
      <w:start w:val="1"/>
      <w:numFmt w:val="bullet"/>
      <w:lvlText w:val="○"/>
      <w:lvlJc w:val="left"/>
      <w:pPr>
        <w:ind w:left="3600" w:firstLine="6840"/>
      </w:pPr>
    </w:lvl>
    <w:lvl w:ilvl="5">
      <w:start w:val="1"/>
      <w:numFmt w:val="bullet"/>
      <w:lvlText w:val="■"/>
      <w:lvlJc w:val="left"/>
      <w:pPr>
        <w:ind w:left="4320" w:firstLine="8280"/>
      </w:pPr>
    </w:lvl>
    <w:lvl w:ilvl="6">
      <w:start w:val="1"/>
      <w:numFmt w:val="bullet"/>
      <w:lvlText w:val="●"/>
      <w:lvlJc w:val="left"/>
      <w:pPr>
        <w:ind w:left="5040" w:firstLine="9720"/>
      </w:pPr>
    </w:lvl>
    <w:lvl w:ilvl="7">
      <w:start w:val="1"/>
      <w:numFmt w:val="bullet"/>
      <w:lvlText w:val="○"/>
      <w:lvlJc w:val="left"/>
      <w:pPr>
        <w:ind w:left="5760" w:firstLine="11160"/>
      </w:pPr>
    </w:lvl>
    <w:lvl w:ilvl="8">
      <w:start w:val="1"/>
      <w:numFmt w:val="bullet"/>
      <w:lvlText w:val="■"/>
      <w:lvlJc w:val="left"/>
      <w:pPr>
        <w:ind w:left="6480" w:firstLine="126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F4"/>
    <w:rsid w:val="00912A01"/>
    <w:rsid w:val="00F339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9F4"/>
    <w:pPr>
      <w:spacing w:after="200" w:line="276" w:lineRule="auto"/>
    </w:pPr>
    <w:rPr>
      <w:rFonts w:ascii="Calibri" w:eastAsia="MS PGothic" w:hAnsi="Calibri" w:cs="MS PGothic"/>
      <w:color w:val="000000"/>
      <w:sz w:val="22"/>
      <w:szCs w:val="22"/>
      <w:lang w:eastAsia="ja-JP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C2EB2"/>
    <w:pPr>
      <w:keepNext/>
      <w:keepLines/>
      <w:spacing w:before="200"/>
      <w:outlineLvl w:val="1"/>
    </w:pPr>
    <w:rPr>
      <w:rFonts w:eastAsiaTheme="majorEastAsia" w:cstheme="majorBidi"/>
      <w:b/>
      <w:bCs/>
      <w:caps/>
      <w:sz w:val="32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ERTAIN2">
    <w:name w:val="CERTAIN2"/>
    <w:rsid w:val="00647B41"/>
    <w:pPr>
      <w:numPr>
        <w:numId w:val="1"/>
      </w:numPr>
    </w:pPr>
  </w:style>
  <w:style w:type="numbering" w:customStyle="1" w:styleId="CERTAIN3">
    <w:name w:val="CERTAIN3"/>
    <w:rsid w:val="0074461A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C2EB2"/>
    <w:rPr>
      <w:rFonts w:ascii="Times New Roman" w:eastAsiaTheme="majorEastAsia" w:hAnsi="Times New Roman" w:cstheme="majorBidi"/>
      <w:b/>
      <w:bCs/>
      <w:caps/>
      <w:sz w:val="32"/>
      <w:szCs w:val="26"/>
      <w:u w:val="single"/>
    </w:rPr>
  </w:style>
  <w:style w:type="paragraph" w:customStyle="1" w:styleId="Myheading2">
    <w:name w:val="My heading2"/>
    <w:basedOn w:val="Heading2"/>
    <w:qFormat/>
    <w:rsid w:val="00697C24"/>
    <w:pPr>
      <w:spacing w:before="0"/>
    </w:pPr>
  </w:style>
  <w:style w:type="character" w:styleId="Hyperlink">
    <w:name w:val="Hyperlink"/>
    <w:basedOn w:val="DefaultParagraphFont"/>
    <w:uiPriority w:val="99"/>
    <w:unhideWhenUsed/>
    <w:rsid w:val="00F339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9F4"/>
    <w:pPr>
      <w:spacing w:after="200" w:line="276" w:lineRule="auto"/>
    </w:pPr>
    <w:rPr>
      <w:rFonts w:ascii="Calibri" w:eastAsia="MS PGothic" w:hAnsi="Calibri" w:cs="MS PGothic"/>
      <w:color w:val="000000"/>
      <w:sz w:val="22"/>
      <w:szCs w:val="22"/>
      <w:lang w:eastAsia="ja-JP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C2EB2"/>
    <w:pPr>
      <w:keepNext/>
      <w:keepLines/>
      <w:spacing w:before="200"/>
      <w:outlineLvl w:val="1"/>
    </w:pPr>
    <w:rPr>
      <w:rFonts w:eastAsiaTheme="majorEastAsia" w:cstheme="majorBidi"/>
      <w:b/>
      <w:bCs/>
      <w:caps/>
      <w:sz w:val="32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ERTAIN2">
    <w:name w:val="CERTAIN2"/>
    <w:rsid w:val="00647B41"/>
    <w:pPr>
      <w:numPr>
        <w:numId w:val="1"/>
      </w:numPr>
    </w:pPr>
  </w:style>
  <w:style w:type="numbering" w:customStyle="1" w:styleId="CERTAIN3">
    <w:name w:val="CERTAIN3"/>
    <w:rsid w:val="0074461A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C2EB2"/>
    <w:rPr>
      <w:rFonts w:ascii="Times New Roman" w:eastAsiaTheme="majorEastAsia" w:hAnsi="Times New Roman" w:cstheme="majorBidi"/>
      <w:b/>
      <w:bCs/>
      <w:caps/>
      <w:sz w:val="32"/>
      <w:szCs w:val="26"/>
      <w:u w:val="single"/>
    </w:rPr>
  </w:style>
  <w:style w:type="paragraph" w:customStyle="1" w:styleId="Myheading2">
    <w:name w:val="My heading2"/>
    <w:basedOn w:val="Heading2"/>
    <w:qFormat/>
    <w:rsid w:val="00697C24"/>
    <w:pPr>
      <w:spacing w:before="0"/>
    </w:pPr>
  </w:style>
  <w:style w:type="character" w:styleId="Hyperlink">
    <w:name w:val="Hyperlink"/>
    <w:basedOn w:val="DefaultParagraphFont"/>
    <w:uiPriority w:val="99"/>
    <w:unhideWhenUsed/>
    <w:rsid w:val="00F339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ms.gov/Medicare-Medicaid-Coordination/Fraud-Prevention/Medicaid-Integrity-Education/Pharmacy-Education-Materials/Downloads/ppi-adult-factsheet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ms.gov/Medicare-Medicaid-Coordination/Fraud-Prevention/Medicaid-Integrity-Education/Pharmacy-Education-Materials/Downloads/ppi-adult-factshee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1.astrazeneca-us.com/pi/Prilosec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Schmickl</dc:creator>
  <cp:lastModifiedBy>Amelia K Barwise</cp:lastModifiedBy>
  <cp:revision>2</cp:revision>
  <dcterms:created xsi:type="dcterms:W3CDTF">2016-09-06T15:02:00Z</dcterms:created>
  <dcterms:modified xsi:type="dcterms:W3CDTF">2016-09-06T15:02:00Z</dcterms:modified>
</cp:coreProperties>
</file>