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AE" w:rsidRPr="0042513B" w:rsidRDefault="00501AAE" w:rsidP="00501AA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</w:t>
      </w:r>
      <w:r w:rsidRPr="0042513B">
        <w:rPr>
          <w:rFonts w:ascii="Times New Roman" w:hAnsi="Times New Roman" w:cs="Times New Roman"/>
          <w:b/>
          <w:sz w:val="24"/>
          <w:szCs w:val="24"/>
        </w:rPr>
        <w:t>ile 1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513B">
        <w:rPr>
          <w:rFonts w:ascii="Times New Roman" w:hAnsi="Times New Roman" w:cs="Times New Roman"/>
          <w:b/>
          <w:sz w:val="24"/>
          <w:szCs w:val="24"/>
        </w:rPr>
        <w:t>Inclusion and exclusion criteria for our policy sample</w:t>
      </w:r>
    </w:p>
    <w:p w:rsidR="00501AAE" w:rsidRDefault="00501AAE" w:rsidP="00501A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Inclusion criteria:</w:t>
      </w:r>
    </w:p>
    <w:p w:rsidR="00501AAE" w:rsidRPr="0042513B" w:rsidRDefault="00501AAE" w:rsidP="00501AAE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Providing guidance with one or more of: </w:t>
      </w:r>
      <w:r w:rsidRPr="0042513B">
        <w:rPr>
          <w:rFonts w:ascii="Times New Roman" w:hAnsi="Times New Roman" w:cs="Times New Roman"/>
          <w:sz w:val="24"/>
          <w:szCs w:val="24"/>
        </w:rPr>
        <w:t>a legal basis, an enforcement mechanism, c</w:t>
      </w:r>
      <w:r>
        <w:rPr>
          <w:rFonts w:ascii="Times New Roman" w:hAnsi="Times New Roman" w:cs="Times New Roman"/>
          <w:sz w:val="24"/>
          <w:szCs w:val="24"/>
        </w:rPr>
        <w:t>lear evidence of implementation</w:t>
      </w:r>
    </w:p>
    <w:p w:rsidR="00501AAE" w:rsidRPr="00BF19BE" w:rsidRDefault="00501AAE" w:rsidP="00501A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Pertaining to</w:t>
      </w:r>
      <w:r w:rsidRPr="00BF19BE">
        <w:rPr>
          <w:rFonts w:ascii="Times New Roman" w:hAnsi="Times New Roman" w:cs="Times New Roman"/>
          <w:sz w:val="24"/>
          <w:szCs w:val="24"/>
        </w:rPr>
        <w:t xml:space="preserve"> apps on a mobile platform</w:t>
      </w:r>
    </w:p>
    <w:p w:rsidR="00501AAE" w:rsidRPr="00BF19BE" w:rsidRDefault="00501AAE" w:rsidP="00501A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9BE">
        <w:rPr>
          <w:rFonts w:ascii="Times New Roman" w:hAnsi="Times New Roman" w:cs="Times New Roman"/>
          <w:sz w:val="24"/>
          <w:szCs w:val="24"/>
        </w:rPr>
        <w:t>Appl</w:t>
      </w:r>
      <w:r>
        <w:rPr>
          <w:rFonts w:ascii="Times New Roman" w:hAnsi="Times New Roman" w:cs="Times New Roman"/>
          <w:sz w:val="24"/>
          <w:szCs w:val="24"/>
        </w:rPr>
        <w:t>icable</w:t>
      </w:r>
      <w:r w:rsidRPr="00BF19BE">
        <w:rPr>
          <w:rFonts w:ascii="Times New Roman" w:hAnsi="Times New Roman" w:cs="Times New Roman"/>
          <w:sz w:val="24"/>
          <w:szCs w:val="24"/>
        </w:rPr>
        <w:t xml:space="preserve"> to apps that provide information, diagnosis, monitoring, treatment,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BF19BE">
        <w:rPr>
          <w:rFonts w:ascii="Times New Roman" w:hAnsi="Times New Roman" w:cs="Times New Roman"/>
          <w:sz w:val="24"/>
          <w:szCs w:val="24"/>
        </w:rPr>
        <w:t>support related to mental health</w:t>
      </w:r>
    </w:p>
    <w:p w:rsidR="00501AAE" w:rsidRPr="00BF19BE" w:rsidRDefault="00501AAE" w:rsidP="00501A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Published</w:t>
      </w:r>
      <w:r w:rsidRPr="00BF19BE">
        <w:rPr>
          <w:rFonts w:ascii="Times New Roman" w:hAnsi="Times New Roman" w:cs="Times New Roman"/>
          <w:sz w:val="24"/>
          <w:szCs w:val="24"/>
        </w:rPr>
        <w:t xml:space="preserve"> by an active, prominent entity defined as: government; major university,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BF19BE">
        <w:rPr>
          <w:rFonts w:ascii="Times New Roman" w:hAnsi="Times New Roman" w:cs="Times New Roman"/>
          <w:sz w:val="24"/>
          <w:szCs w:val="24"/>
        </w:rPr>
        <w:t>healthcare institution; multinational corporation; or national organisation including peak industry, consumer and non-profit bodies</w:t>
      </w:r>
    </w:p>
    <w:p w:rsidR="00501AAE" w:rsidRPr="00BF19BE" w:rsidRDefault="00501AAE" w:rsidP="00501A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Published</w:t>
      </w:r>
      <w:r w:rsidRPr="00BF19BE">
        <w:rPr>
          <w:rFonts w:ascii="Times New Roman" w:hAnsi="Times New Roman" w:cs="Times New Roman"/>
          <w:sz w:val="24"/>
          <w:szCs w:val="24"/>
        </w:rPr>
        <w:t xml:space="preserve"> in the last ten years</w:t>
      </w:r>
    </w:p>
    <w:p w:rsidR="00501AAE" w:rsidRPr="00BF19BE" w:rsidRDefault="00501AAE" w:rsidP="00501A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F19BE">
        <w:rPr>
          <w:rFonts w:ascii="Times New Roman" w:hAnsi="Times New Roman" w:cs="Times New Roman"/>
          <w:sz w:val="24"/>
          <w:szCs w:val="24"/>
        </w:rPr>
        <w:t>n Australian focus or a clear influence on the Australian context</w:t>
      </w:r>
    </w:p>
    <w:p w:rsidR="00501AAE" w:rsidRDefault="00501AAE" w:rsidP="00501A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Exclusion criteria:</w:t>
      </w:r>
    </w:p>
    <w:p w:rsidR="00501AAE" w:rsidRPr="00E91682" w:rsidRDefault="00501AAE" w:rsidP="00501AAE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91682">
        <w:rPr>
          <w:rFonts w:ascii="Times New Roman" w:hAnsi="Times New Roman" w:cs="Times New Roman"/>
          <w:sz w:val="24"/>
          <w:szCs w:val="24"/>
        </w:rPr>
        <w:t>ot fr</w:t>
      </w:r>
      <w:r>
        <w:rPr>
          <w:rFonts w:ascii="Times New Roman" w:hAnsi="Times New Roman" w:cs="Times New Roman"/>
          <w:sz w:val="24"/>
          <w:szCs w:val="24"/>
        </w:rPr>
        <w:t>eely available in English</w:t>
      </w:r>
    </w:p>
    <w:p w:rsidR="0080742C" w:rsidRDefault="00D200C7"/>
    <w:sectPr w:rsidR="0080742C" w:rsidSect="00D200C7">
      <w:pgSz w:w="11901" w:h="16834"/>
      <w:pgMar w:top="1797" w:right="1440" w:bottom="1797" w:left="1440" w:header="709" w:footer="709" w:gutter="0"/>
      <w:lnNumType w:countBy="1" w:restart="continuous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B30C9"/>
    <w:multiLevelType w:val="hybridMultilevel"/>
    <w:tmpl w:val="B6AEC7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028C8"/>
    <w:multiLevelType w:val="hybridMultilevel"/>
    <w:tmpl w:val="7602A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501AAE"/>
    <w:rsid w:val="00501AAE"/>
    <w:rsid w:val="00D200C7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AAE"/>
    <w:pPr>
      <w:spacing w:after="200" w:line="276" w:lineRule="auto"/>
    </w:pPr>
    <w:rPr>
      <w:rFonts w:eastAsiaTheme="minorEastAsia"/>
      <w:sz w:val="22"/>
      <w:szCs w:val="22"/>
      <w:lang w:eastAsia="en-AU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01AA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01AAE"/>
    <w:rPr>
      <w:rFonts w:eastAsiaTheme="minorEastAsia"/>
      <w:sz w:val="22"/>
      <w:szCs w:val="22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D200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Parker</dc:creator>
  <cp:keywords/>
  <cp:lastModifiedBy>Lisa Parker</cp:lastModifiedBy>
  <cp:revision>2</cp:revision>
  <dcterms:created xsi:type="dcterms:W3CDTF">2017-05-25T00:42:00Z</dcterms:created>
  <dcterms:modified xsi:type="dcterms:W3CDTF">2017-05-25T00:44:00Z</dcterms:modified>
</cp:coreProperties>
</file>