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E0F60" w14:textId="52D0F3DF" w:rsidR="003F1BC4" w:rsidRPr="003E3E1A" w:rsidRDefault="003E3E1A" w:rsidP="003E3E1A">
      <w:p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These two tables present the values of initial guess and the resulting optimized parameters of different approaches for both the CMOST model and V/NCS model.</w:t>
      </w:r>
    </w:p>
    <w:p w14:paraId="31860FBA" w14:textId="5AB655FF" w:rsidR="00CD490A" w:rsidRPr="003E3E1A" w:rsidRDefault="00CD490A" w:rsidP="00CD490A">
      <w:pPr>
        <w:jc w:val="both"/>
        <w:rPr>
          <w:rFonts w:ascii="Arial" w:eastAsia="Times New Roman" w:hAnsi="Arial" w:cs="Arial"/>
          <w:b/>
          <w:bCs/>
        </w:rPr>
      </w:pPr>
      <w:r w:rsidRPr="003E3E1A">
        <w:rPr>
          <w:rFonts w:ascii="Arial" w:eastAsia="Times New Roman" w:hAnsi="Arial" w:cs="Arial"/>
          <w:b/>
          <w:bCs/>
        </w:rPr>
        <w:t>For the CMOST model:</w:t>
      </w:r>
    </w:p>
    <w:p w14:paraId="265663EC" w14:textId="1BC47138" w:rsidR="00CD490A" w:rsidRDefault="00F04AAE" w:rsidP="00CD490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FF0000"/>
        </w:rPr>
        <w:object w:dxaOrig="16225" w:dyaOrig="6874" w14:anchorId="5FE5B5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525.9pt;height:222.9pt" o:ole="">
            <v:imagedata r:id="rId5" o:title=""/>
          </v:shape>
          <o:OLEObject Type="Embed" ProgID="Excel.Sheet.12" ShapeID="_x0000_i1028" DrawAspect="Content" ObjectID="_1724689013" r:id="rId6"/>
        </w:object>
      </w:r>
      <w:bookmarkStart w:id="0" w:name="_GoBack"/>
      <w:bookmarkEnd w:id="0"/>
    </w:p>
    <w:p w14:paraId="5B441A44" w14:textId="77777777" w:rsidR="00CD490A" w:rsidRPr="003E3E1A" w:rsidRDefault="00CD490A" w:rsidP="00CD490A">
      <w:pPr>
        <w:jc w:val="both"/>
        <w:rPr>
          <w:rFonts w:ascii="Arial" w:eastAsia="Times New Roman" w:hAnsi="Arial" w:cs="Arial"/>
          <w:b/>
          <w:bCs/>
        </w:rPr>
      </w:pPr>
      <w:r w:rsidRPr="003E3E1A">
        <w:rPr>
          <w:rFonts w:ascii="Arial" w:eastAsia="Times New Roman" w:hAnsi="Arial" w:cs="Arial"/>
          <w:b/>
          <w:bCs/>
        </w:rPr>
        <w:t>For the V/NCS model:</w:t>
      </w:r>
    </w:p>
    <w:tbl>
      <w:tblPr>
        <w:tblpPr w:leftFromText="180" w:rightFromText="180" w:vertAnchor="text" w:tblpY="1"/>
        <w:tblOverlap w:val="never"/>
        <w:tblW w:w="550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6"/>
        <w:gridCol w:w="718"/>
        <w:gridCol w:w="1127"/>
        <w:gridCol w:w="754"/>
        <w:gridCol w:w="1127"/>
        <w:gridCol w:w="754"/>
        <w:gridCol w:w="7"/>
        <w:gridCol w:w="711"/>
        <w:gridCol w:w="1127"/>
        <w:gridCol w:w="802"/>
        <w:gridCol w:w="1127"/>
        <w:gridCol w:w="976"/>
      </w:tblGrid>
      <w:tr w:rsidR="00CD490A" w:rsidRPr="00C477F7" w14:paraId="71577CB6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B0921F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182" w:type="pct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E28CE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Female</w:t>
            </w:r>
          </w:p>
        </w:tc>
        <w:tc>
          <w:tcPr>
            <w:tcW w:w="2283" w:type="pct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45158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Male</w:t>
            </w:r>
          </w:p>
        </w:tc>
      </w:tr>
      <w:tr w:rsidR="00CD490A" w:rsidRPr="00C477F7" w14:paraId="2F738FD7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583373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BA9AD2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14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D22E2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Direct Local Search</w:t>
            </w:r>
          </w:p>
        </w:tc>
        <w:tc>
          <w:tcPr>
            <w:tcW w:w="914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423D8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Two-Phase Approach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4035D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1024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5D8CD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Direct Local Search</w:t>
            </w:r>
          </w:p>
        </w:tc>
        <w:tc>
          <w:tcPr>
            <w:tcW w:w="914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F0B59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Two-Phase Approach</w:t>
            </w:r>
          </w:p>
        </w:tc>
      </w:tr>
      <w:tr w:rsidR="00CD490A" w:rsidRPr="00C477F7" w14:paraId="0BC90EA4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F61FC40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D17189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Initial Point 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171DB7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(Sequential) 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DBCC9F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</w:t>
            </w:r>
          </w:p>
          <w:p w14:paraId="3245D31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(Full-Scape) 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C0FA3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(Sequential) 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4B10E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</w:t>
            </w:r>
          </w:p>
          <w:p w14:paraId="5BD4455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(Full-Scape) 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75B35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>Initial Point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6EC19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(Sequential) 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0495F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</w:t>
            </w:r>
          </w:p>
          <w:p w14:paraId="39F9163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(Full-Scape) 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D629C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(Sequential) 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0C888F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Final Point </w:t>
            </w:r>
          </w:p>
          <w:p w14:paraId="7DDFBFA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6"/>
                <w:szCs w:val="16"/>
              </w:rPr>
              <w:t xml:space="preserve">(Full-Scape) </w:t>
            </w:r>
          </w:p>
        </w:tc>
      </w:tr>
      <w:tr w:rsidR="00CD490A" w:rsidRPr="00C477F7" w14:paraId="067506F9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436572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Gamma1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97A54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2.512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BAC46A0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2.983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B1E139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2.58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9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BE22274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4.05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D50A890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4.05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5F6FD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2.22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5312B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2.331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015DA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2.24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73B154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2.4615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466CA8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2.4</w:t>
            </w:r>
          </w:p>
        </w:tc>
      </w:tr>
      <w:tr w:rsidR="00CD490A" w:rsidRPr="00C477F7" w14:paraId="5805F8FB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2993514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Delta1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A962A10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0.622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DD893EF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0.5287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B015C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0.622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640915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0.622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13AD5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0.622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BED9F12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0.483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5FC65C7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0.483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D9873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0.483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A262A6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0.4031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5361D12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</w:t>
            </w:r>
          </w:p>
        </w:tc>
      </w:tr>
      <w:tr w:rsidR="00CD490A" w:rsidRPr="00C477F7" w14:paraId="63061CA7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2D8CEC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Gamma2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842E7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-0.608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7F7B1C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-0.691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46CB0C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-0.6265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C6C20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-0.3954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0F149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-0.3675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9958A3F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-1.168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E55EF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-1.226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278050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-1.1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50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66210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-0.53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0E05E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-0.5</w:t>
            </w:r>
          </w:p>
        </w:tc>
      </w:tr>
      <w:tr w:rsidR="00CD490A" w:rsidRPr="00C477F7" w14:paraId="612F5F98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861E69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Delta2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049A9F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0.521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0B34E3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0.521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9F8CA7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0.536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9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87C4DE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0.5442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3C5C84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0.521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5A0FD1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0.486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C1A6F7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0.5103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D33EC3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0.49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FA0A1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0.522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61135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0.486</w:t>
            </w:r>
          </w:p>
        </w:tc>
      </w:tr>
      <w:tr w:rsidR="00CD490A" w:rsidRPr="00C477F7" w14:paraId="30A7CE32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1734181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Gamma3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DA4E94C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1.108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A96F720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0.6925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9383D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1.058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7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3549D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0.76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15F61B3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0.8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333F5A2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1.21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B631E0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1.70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4837B4F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1.221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31E6934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0.9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0B6D21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CD490A" w:rsidRPr="00C477F7" w14:paraId="68881293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9E3366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Delta3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026A4B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1.398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58A30C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1.808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7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7E783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1.44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BD6D71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1.53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06193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1.398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016177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1.442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D04E50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0.829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D30C5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1.45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6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8E4F4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0.86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8474F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0.84</w:t>
            </w:r>
          </w:p>
        </w:tc>
      </w:tr>
      <w:tr w:rsidR="00CD490A" w:rsidRPr="00C477F7" w14:paraId="24835CED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3D925B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Gamma4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02477B0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0.395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210717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0.414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DE4DA8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0.3996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A55F4E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1.26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EA23291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1.2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F7AB1EE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0.395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08B55A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0.4246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2218E3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0.3987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21721D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0.63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F239E7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0.6</w:t>
            </w:r>
          </w:p>
        </w:tc>
      </w:tr>
      <w:tr w:rsidR="00CD490A" w:rsidRPr="00C477F7" w14:paraId="5D5B0BA9" w14:textId="77777777" w:rsidTr="007E12D2">
        <w:tc>
          <w:tcPr>
            <w:tcW w:w="5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90C930" w14:textId="77777777" w:rsidR="00CD490A" w:rsidRPr="00C477F7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C477F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Delta4</w:t>
            </w:r>
          </w:p>
        </w:tc>
        <w:tc>
          <w:tcPr>
            <w:tcW w:w="34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3830F2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1.147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5E92769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1.147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C998B55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1.18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98331D2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1.417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91AF506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1.417</w:t>
            </w:r>
          </w:p>
        </w:tc>
        <w:tc>
          <w:tcPr>
            <w:tcW w:w="349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A368F57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1.147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25E43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1.032</w:t>
            </w:r>
          </w:p>
        </w:tc>
        <w:tc>
          <w:tcPr>
            <w:tcW w:w="4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AB18D4B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1.15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8</w:t>
            </w:r>
          </w:p>
        </w:tc>
        <w:tc>
          <w:tcPr>
            <w:tcW w:w="4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863243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0.95</w:t>
            </w:r>
          </w:p>
        </w:tc>
        <w:tc>
          <w:tcPr>
            <w:tcW w:w="4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F432123" w14:textId="77777777" w:rsidR="00CD490A" w:rsidRPr="0036132C" w:rsidRDefault="00CD490A" w:rsidP="007E12D2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36132C">
              <w:rPr>
                <w:rFonts w:ascii="Times New Roman" w:eastAsia="Times New Roman" w:hAnsi="Times New Roman" w:cs="Times New Roman"/>
                <w:color w:val="0D0D0D" w:themeColor="text1" w:themeTint="F2"/>
                <w:sz w:val="16"/>
                <w:szCs w:val="16"/>
              </w:rPr>
              <w:t>1</w:t>
            </w:r>
          </w:p>
        </w:tc>
      </w:tr>
    </w:tbl>
    <w:p w14:paraId="258E4455" w14:textId="77777777" w:rsidR="008A7F99" w:rsidRDefault="003E3E1A" w:rsidP="00A80900">
      <w:pPr>
        <w:jc w:val="both"/>
        <w:rPr>
          <w:rFonts w:ascii="Arial" w:hAnsi="Arial" w:cs="Arial"/>
          <w:color w:val="000000" w:themeColor="text1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0" wp14:anchorId="63462190" wp14:editId="06E02B06">
            <wp:simplePos x="0" y="0"/>
            <wp:positionH relativeFrom="margin">
              <wp:posOffset>0</wp:posOffset>
            </wp:positionH>
            <wp:positionV relativeFrom="paragraph">
              <wp:posOffset>646079</wp:posOffset>
            </wp:positionV>
            <wp:extent cx="5921375" cy="7190105"/>
            <wp:effectExtent l="0" t="0" r="0" b="0"/>
            <wp:wrapTopAndBottom/>
            <wp:docPr id="21971" name="Picture 21971" descr="A picture containing text, electronics, computer, screensho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1" name="Picture 21971" descr="A picture containing text, electronics, computer, screensh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1375" cy="719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900">
        <w:rPr>
          <w:rFonts w:ascii="Arial" w:hAnsi="Arial" w:cs="Arial"/>
          <w:color w:val="000000" w:themeColor="text1"/>
        </w:rPr>
        <w:t xml:space="preserve">This table from Brenner et al. (2013) </w:t>
      </w:r>
      <w:r w:rsidR="00A80900">
        <w:rPr>
          <w:rFonts w:ascii="Arial" w:hAnsi="Arial" w:cs="Arial"/>
          <w:color w:val="000000" w:themeColor="text1"/>
        </w:rPr>
        <w:fldChar w:fldCharType="begin"/>
      </w:r>
      <w:r w:rsidR="00A80900">
        <w:rPr>
          <w:rFonts w:ascii="Arial" w:hAnsi="Arial" w:cs="Arial"/>
          <w:color w:val="000000" w:themeColor="text1"/>
        </w:rPr>
        <w:instrText xml:space="preserve"> REF _Ref107140101 \r \h </w:instrText>
      </w:r>
      <w:r w:rsidR="00A80900">
        <w:rPr>
          <w:rFonts w:ascii="Arial" w:hAnsi="Arial" w:cs="Arial"/>
          <w:color w:val="000000" w:themeColor="text1"/>
        </w:rPr>
      </w:r>
      <w:r w:rsidR="00A80900">
        <w:rPr>
          <w:rFonts w:ascii="Arial" w:hAnsi="Arial" w:cs="Arial"/>
          <w:color w:val="000000" w:themeColor="text1"/>
        </w:rPr>
        <w:fldChar w:fldCharType="separate"/>
      </w:r>
      <w:r w:rsidR="00A80900">
        <w:rPr>
          <w:rFonts w:ascii="Arial" w:hAnsi="Arial" w:cs="Arial"/>
          <w:color w:val="000000" w:themeColor="text1"/>
        </w:rPr>
        <w:t>[1]</w:t>
      </w:r>
      <w:r w:rsidR="00A80900">
        <w:rPr>
          <w:rFonts w:ascii="Arial" w:hAnsi="Arial" w:cs="Arial"/>
          <w:color w:val="000000" w:themeColor="text1"/>
        </w:rPr>
        <w:fldChar w:fldCharType="end"/>
      </w:r>
      <w:r w:rsidR="00A80900">
        <w:rPr>
          <w:rFonts w:ascii="Arial" w:hAnsi="Arial" w:cs="Arial"/>
          <w:color w:val="000000" w:themeColor="text1"/>
        </w:rPr>
        <w:t xml:space="preserve"> provides the total number of </w:t>
      </w:r>
      <w:r w:rsidR="00A80900" w:rsidRPr="00A80900">
        <w:rPr>
          <w:rFonts w:ascii="Arial" w:hAnsi="Arial" w:cs="Arial"/>
          <w:color w:val="000000" w:themeColor="text1"/>
        </w:rPr>
        <w:t>screening</w:t>
      </w:r>
      <w:r w:rsidR="00A80900">
        <w:rPr>
          <w:rFonts w:ascii="Arial" w:hAnsi="Arial" w:cs="Arial"/>
          <w:color w:val="000000" w:themeColor="text1"/>
        </w:rPr>
        <w:t xml:space="preserve"> </w:t>
      </w:r>
      <w:r w:rsidR="00A80900" w:rsidRPr="00A80900">
        <w:rPr>
          <w:rFonts w:ascii="Arial" w:hAnsi="Arial" w:cs="Arial"/>
          <w:color w:val="000000" w:themeColor="text1"/>
        </w:rPr>
        <w:t>colonoscopy participants, as well as the numbers of those with neoplasms by 5-year age groups and calendar years for men and women, respectively.</w:t>
      </w:r>
    </w:p>
    <w:p w14:paraId="7E1DD0E1" w14:textId="77777777" w:rsidR="00F04AAE" w:rsidRDefault="008A7F99" w:rsidP="00A8090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In our study, </w:t>
      </w:r>
      <w:r w:rsidR="0015613E">
        <w:rPr>
          <w:rFonts w:ascii="Arial" w:hAnsi="Arial" w:cs="Arial"/>
          <w:color w:val="000000" w:themeColor="text1"/>
        </w:rPr>
        <w:t>our calibration targets are</w:t>
      </w:r>
      <w:r w:rsidRPr="008A7F99">
        <w:rPr>
          <w:rFonts w:ascii="Arial" w:hAnsi="Arial" w:cs="Arial"/>
          <w:color w:val="000000" w:themeColor="text1"/>
        </w:rPr>
        <w:t xml:space="preserve"> the </w:t>
      </w:r>
      <w:r w:rsidR="0015613E">
        <w:rPr>
          <w:rFonts w:ascii="Arial" w:hAnsi="Arial" w:cs="Arial"/>
          <w:color w:val="000000" w:themeColor="text1"/>
        </w:rPr>
        <w:t xml:space="preserve">aggregate </w:t>
      </w:r>
      <w:r w:rsidRPr="008A7F99">
        <w:rPr>
          <w:rFonts w:ascii="Arial" w:hAnsi="Arial" w:cs="Arial"/>
          <w:color w:val="000000" w:themeColor="text1"/>
        </w:rPr>
        <w:t xml:space="preserve">prevalence </w:t>
      </w:r>
      <w:r>
        <w:rPr>
          <w:rFonts w:ascii="Arial" w:hAnsi="Arial" w:cs="Arial"/>
          <w:color w:val="000000" w:themeColor="text1"/>
        </w:rPr>
        <w:t xml:space="preserve">values of NON, ADV and CRC </w:t>
      </w:r>
      <w:r w:rsidRPr="008A7F99">
        <w:rPr>
          <w:rFonts w:ascii="Arial" w:hAnsi="Arial" w:cs="Arial"/>
          <w:color w:val="000000" w:themeColor="text1"/>
        </w:rPr>
        <w:t xml:space="preserve">of both men and women </w:t>
      </w:r>
      <w:r w:rsidR="0015613E">
        <w:rPr>
          <w:rFonts w:ascii="Arial" w:hAnsi="Arial" w:cs="Arial"/>
          <w:color w:val="000000" w:themeColor="text1"/>
        </w:rPr>
        <w:t>over</w:t>
      </w:r>
      <w:r w:rsidRPr="008A7F99">
        <w:rPr>
          <w:rFonts w:ascii="Arial" w:hAnsi="Arial" w:cs="Arial"/>
          <w:color w:val="000000" w:themeColor="text1"/>
        </w:rPr>
        <w:t xml:space="preserve"> five age groups (5</w:t>
      </w:r>
      <w:r w:rsidR="0015613E">
        <w:rPr>
          <w:rFonts w:ascii="Arial" w:hAnsi="Arial" w:cs="Arial"/>
          <w:color w:val="000000" w:themeColor="text1"/>
        </w:rPr>
        <w:t>5</w:t>
      </w:r>
      <w:r w:rsidRPr="008A7F99">
        <w:rPr>
          <w:rFonts w:ascii="Arial" w:hAnsi="Arial" w:cs="Arial"/>
          <w:color w:val="000000" w:themeColor="text1"/>
        </w:rPr>
        <w:t xml:space="preserve">-59, 60-64, 65-69, 70-74 and </w:t>
      </w:r>
      <w:r w:rsidRPr="008A7F99">
        <w:rPr>
          <w:rFonts w:ascii="Arial" w:hAnsi="Arial" w:cs="Arial"/>
          <w:color w:val="000000" w:themeColor="text1"/>
        </w:rPr>
        <w:lastRenderedPageBreak/>
        <w:t>75-79)</w:t>
      </w:r>
      <w:r w:rsidR="0015613E">
        <w:rPr>
          <w:rFonts w:ascii="Arial" w:hAnsi="Arial" w:cs="Arial"/>
          <w:color w:val="000000" w:themeColor="text1"/>
        </w:rPr>
        <w:t>. Take aggregate prevalence value of NON of men as an example, we can first get five prevalence values for the five age groups which are 16.0% (55-59), 17.2% (</w:t>
      </w:r>
      <w:r w:rsidR="00B3685A">
        <w:rPr>
          <w:rFonts w:ascii="Arial" w:hAnsi="Arial" w:cs="Arial"/>
          <w:color w:val="000000" w:themeColor="text1"/>
        </w:rPr>
        <w:t>60-64</w:t>
      </w:r>
      <w:r w:rsidR="0015613E">
        <w:rPr>
          <w:rFonts w:ascii="Arial" w:hAnsi="Arial" w:cs="Arial"/>
          <w:color w:val="000000" w:themeColor="text1"/>
        </w:rPr>
        <w:t>)</w:t>
      </w:r>
      <w:r w:rsidR="00B3685A">
        <w:rPr>
          <w:rFonts w:ascii="Arial" w:hAnsi="Arial" w:cs="Arial"/>
          <w:color w:val="000000" w:themeColor="text1"/>
        </w:rPr>
        <w:t xml:space="preserve">, 18.6% (65-69), 19.0% (70-74), 18.2% (75-79). Then the aggregate prevalence value of male NON </w:t>
      </w:r>
      <w:proofErr w:type="gramStart"/>
      <w:r w:rsidR="00B3685A">
        <w:rPr>
          <w:rFonts w:ascii="Arial" w:hAnsi="Arial" w:cs="Arial"/>
          <w:color w:val="000000" w:themeColor="text1"/>
        </w:rPr>
        <w:t xml:space="preserve">is </w:t>
      </w:r>
      <w:proofErr w:type="gramEnd"/>
      <m:oMath>
        <m:d>
          <m:d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 w:themeColor="text1"/>
                  </w:rPr>
                  <m:t>16.0+17.2+18.6+19.0+18.2</m:t>
                </m:r>
              </m:num>
              <m:den>
                <m:r>
                  <w:rPr>
                    <w:rFonts w:ascii="Cambria Math" w:hAnsi="Cambria Math" w:cs="Arial"/>
                    <w:color w:val="000000" w:themeColor="text1"/>
                  </w:rPr>
                  <m:t>5</m:t>
                </m:r>
              </m:den>
            </m:f>
          </m:e>
        </m:d>
        <m:r>
          <w:rPr>
            <w:rFonts w:ascii="Cambria Math" w:hAnsi="Cambria Math" w:cs="Arial"/>
            <w:color w:val="000000" w:themeColor="text1"/>
          </w:rPr>
          <m:t xml:space="preserve">%=17.80% </m:t>
        </m:r>
      </m:oMath>
      <w:r w:rsidR="00B3685A">
        <w:rPr>
          <w:rFonts w:ascii="Arial" w:hAnsi="Arial" w:cs="Arial"/>
          <w:color w:val="000000" w:themeColor="text1"/>
        </w:rPr>
        <w:t>.</w:t>
      </w:r>
    </w:p>
    <w:p w14:paraId="1EFBC060" w14:textId="77777777" w:rsidR="00F04AAE" w:rsidRDefault="00F04AAE" w:rsidP="00A80900">
      <w:pPr>
        <w:jc w:val="both"/>
        <w:rPr>
          <w:rFonts w:ascii="Arial" w:hAnsi="Arial" w:cs="Arial"/>
          <w:color w:val="000000" w:themeColor="text1"/>
        </w:rPr>
      </w:pPr>
    </w:p>
    <w:p w14:paraId="7AEED7B9" w14:textId="37D6C6C6" w:rsidR="00CD490A" w:rsidRPr="00CD490A" w:rsidRDefault="00CD490A" w:rsidP="00CD490A">
      <w:pPr>
        <w:spacing w:line="276" w:lineRule="auto"/>
        <w:rPr>
          <w:rFonts w:ascii="Arial" w:hAnsi="Arial" w:cs="Arial"/>
          <w:b/>
          <w:bCs/>
        </w:rPr>
      </w:pPr>
      <w:r w:rsidRPr="00CD490A">
        <w:rPr>
          <w:rFonts w:ascii="Arial" w:hAnsi="Arial" w:cs="Arial"/>
          <w:b/>
          <w:bCs/>
        </w:rPr>
        <w:t>Reference</w:t>
      </w:r>
    </w:p>
    <w:p w14:paraId="7E472F29" w14:textId="77777777" w:rsidR="00CD490A" w:rsidRPr="00781D13" w:rsidRDefault="00CD490A" w:rsidP="00CD490A">
      <w:pPr>
        <w:pStyle w:val="ListParagraph"/>
        <w:numPr>
          <w:ilvl w:val="0"/>
          <w:numId w:val="1"/>
        </w:numPr>
        <w:jc w:val="both"/>
        <w:rPr>
          <w:rFonts w:ascii="Arial" w:eastAsia="Arial" w:hAnsi="Arial" w:cs="Arial"/>
        </w:rPr>
      </w:pPr>
      <w:bookmarkStart w:id="1" w:name="_Ref107140101"/>
      <w:r w:rsidRPr="00781D13">
        <w:rPr>
          <w:rFonts w:ascii="Arial" w:eastAsia="Arial" w:hAnsi="Arial" w:cs="Arial"/>
        </w:rPr>
        <w:t xml:space="preserve">Brenner H, </w:t>
      </w:r>
      <w:proofErr w:type="spellStart"/>
      <w:r w:rsidRPr="00781D13">
        <w:rPr>
          <w:rFonts w:ascii="Arial" w:eastAsia="Arial" w:hAnsi="Arial" w:cs="Arial"/>
        </w:rPr>
        <w:t>Altenhofen</w:t>
      </w:r>
      <w:proofErr w:type="spellEnd"/>
      <w:r w:rsidRPr="00781D13">
        <w:rPr>
          <w:rFonts w:ascii="Arial" w:eastAsia="Arial" w:hAnsi="Arial" w:cs="Arial"/>
        </w:rPr>
        <w:t xml:space="preserve"> L, Stock C, Hoffmeister M. Natural history of colorectal adenomas: birth cohort analysis among 3.6 million participants of screening colonoscopy. Cancer Epidemiol Biomarker Prev. 2013;22(6):1043-51.</w:t>
      </w:r>
      <w:bookmarkEnd w:id="1"/>
      <w:r w:rsidRPr="00781D13">
        <w:rPr>
          <w:rFonts w:ascii="Arial" w:eastAsia="Arial" w:hAnsi="Arial" w:cs="Arial"/>
          <w:highlight w:val="yellow"/>
        </w:rPr>
        <w:t xml:space="preserve"> </w:t>
      </w:r>
    </w:p>
    <w:p w14:paraId="3F0A03F9" w14:textId="77777777" w:rsidR="00CD490A" w:rsidRPr="00CD490A" w:rsidRDefault="00CD490A">
      <w:pPr>
        <w:rPr>
          <w:rFonts w:ascii="Arial" w:hAnsi="Arial" w:cs="Arial"/>
        </w:rPr>
      </w:pPr>
    </w:p>
    <w:sectPr w:rsidR="00CD490A" w:rsidRPr="00CD490A" w:rsidSect="00AA0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60D"/>
    <w:multiLevelType w:val="hybridMultilevel"/>
    <w:tmpl w:val="2C621AAE"/>
    <w:lvl w:ilvl="0" w:tplc="8B4AF7DA">
      <w:start w:val="1"/>
      <w:numFmt w:val="decimal"/>
      <w:lvlText w:val="[%1]"/>
      <w:lvlJc w:val="left"/>
      <w:pPr>
        <w:ind w:left="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0" w:hanging="360"/>
      </w:pPr>
    </w:lvl>
    <w:lvl w:ilvl="2" w:tplc="0409001B" w:tentative="1">
      <w:start w:val="1"/>
      <w:numFmt w:val="lowerRoman"/>
      <w:lvlText w:val="%3."/>
      <w:lvlJc w:val="right"/>
      <w:pPr>
        <w:ind w:left="1520" w:hanging="180"/>
      </w:pPr>
    </w:lvl>
    <w:lvl w:ilvl="3" w:tplc="0409000F" w:tentative="1">
      <w:start w:val="1"/>
      <w:numFmt w:val="decimal"/>
      <w:lvlText w:val="%4."/>
      <w:lvlJc w:val="left"/>
      <w:pPr>
        <w:ind w:left="2240" w:hanging="360"/>
      </w:pPr>
    </w:lvl>
    <w:lvl w:ilvl="4" w:tplc="04090019" w:tentative="1">
      <w:start w:val="1"/>
      <w:numFmt w:val="lowerLetter"/>
      <w:lvlText w:val="%5."/>
      <w:lvlJc w:val="left"/>
      <w:pPr>
        <w:ind w:left="2960" w:hanging="360"/>
      </w:pPr>
    </w:lvl>
    <w:lvl w:ilvl="5" w:tplc="0409001B" w:tentative="1">
      <w:start w:val="1"/>
      <w:numFmt w:val="lowerRoman"/>
      <w:lvlText w:val="%6."/>
      <w:lvlJc w:val="right"/>
      <w:pPr>
        <w:ind w:left="3680" w:hanging="180"/>
      </w:pPr>
    </w:lvl>
    <w:lvl w:ilvl="6" w:tplc="0409000F" w:tentative="1">
      <w:start w:val="1"/>
      <w:numFmt w:val="decimal"/>
      <w:lvlText w:val="%7."/>
      <w:lvlJc w:val="left"/>
      <w:pPr>
        <w:ind w:left="4400" w:hanging="360"/>
      </w:pPr>
    </w:lvl>
    <w:lvl w:ilvl="7" w:tplc="04090019" w:tentative="1">
      <w:start w:val="1"/>
      <w:numFmt w:val="lowerLetter"/>
      <w:lvlText w:val="%8."/>
      <w:lvlJc w:val="left"/>
      <w:pPr>
        <w:ind w:left="5120" w:hanging="360"/>
      </w:pPr>
    </w:lvl>
    <w:lvl w:ilvl="8" w:tplc="0409001B" w:tentative="1">
      <w:start w:val="1"/>
      <w:numFmt w:val="lowerRoman"/>
      <w:lvlText w:val="%9."/>
      <w:lvlJc w:val="right"/>
      <w:pPr>
        <w:ind w:left="5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F5"/>
    <w:rsid w:val="0015613E"/>
    <w:rsid w:val="001B3990"/>
    <w:rsid w:val="00311C7D"/>
    <w:rsid w:val="003E3E1A"/>
    <w:rsid w:val="003F1BC4"/>
    <w:rsid w:val="00493BF5"/>
    <w:rsid w:val="005F4FC6"/>
    <w:rsid w:val="008A7F99"/>
    <w:rsid w:val="00A80900"/>
    <w:rsid w:val="00AD3763"/>
    <w:rsid w:val="00B3685A"/>
    <w:rsid w:val="00CB50E4"/>
    <w:rsid w:val="00CD490A"/>
    <w:rsid w:val="00ED5D36"/>
    <w:rsid w:val="00F0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5FC9414"/>
  <w15:chartTrackingRefBased/>
  <w15:docId w15:val="{C2CD82D2-3F19-F44E-9151-1F5555B5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9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90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368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1.xls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Chou</dc:creator>
  <cp:keywords/>
  <dc:description/>
  <cp:lastModifiedBy>Thamodaran P.</cp:lastModifiedBy>
  <cp:revision>6</cp:revision>
  <dcterms:created xsi:type="dcterms:W3CDTF">2022-06-26T16:30:00Z</dcterms:created>
  <dcterms:modified xsi:type="dcterms:W3CDTF">2022-09-14T14:00:00Z</dcterms:modified>
</cp:coreProperties>
</file>