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1541" w14:textId="7B641EA7" w:rsidR="00EC456C" w:rsidRPr="00803A7E" w:rsidRDefault="00EC456C" w:rsidP="00803A7E">
      <w:pPr>
        <w:pStyle w:val="Rubrik1"/>
        <w:rPr>
          <w:rFonts w:ascii="Times New Roman" w:hAnsi="Times New Roman" w:cs="Times New Roman"/>
          <w:b/>
          <w:bCs/>
          <w:lang w:val="en-US"/>
        </w:rPr>
      </w:pPr>
      <w:r w:rsidRPr="00803A7E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 w:rsidR="001716A9" w:rsidRPr="00803A7E">
        <w:rPr>
          <w:rFonts w:ascii="Times New Roman" w:hAnsi="Times New Roman" w:cs="Times New Roman"/>
          <w:b/>
          <w:bCs/>
          <w:lang w:val="en-US"/>
        </w:rPr>
        <w:t>3</w:t>
      </w:r>
    </w:p>
    <w:p w14:paraId="033AE36F" w14:textId="6B79B23D" w:rsidR="006534FE" w:rsidRDefault="00EC456C" w:rsidP="00803A7E">
      <w:pPr>
        <w:pStyle w:val="Rubrik2"/>
        <w:rPr>
          <w:rFonts w:ascii="Times New Roman" w:hAnsi="Times New Roman" w:cs="Times New Roman"/>
          <w:b/>
          <w:bCs/>
          <w:lang w:val="en-US"/>
        </w:rPr>
      </w:pPr>
      <w:r w:rsidRPr="00803A7E">
        <w:rPr>
          <w:rFonts w:ascii="Times New Roman" w:hAnsi="Times New Roman" w:cs="Times New Roman"/>
          <w:b/>
          <w:bCs/>
          <w:lang w:val="en-US"/>
        </w:rPr>
        <w:t>The e</w:t>
      </w:r>
      <w:r w:rsidR="00AD2DD0">
        <w:rPr>
          <w:rFonts w:ascii="Times New Roman" w:hAnsi="Times New Roman" w:cs="Times New Roman"/>
          <w:b/>
          <w:bCs/>
          <w:lang w:val="en-US"/>
        </w:rPr>
        <w:t xml:space="preserve">lectronic Health Report Form’s (intervention questionnaire’s) </w:t>
      </w:r>
      <w:r w:rsidRPr="00803A7E">
        <w:rPr>
          <w:rFonts w:ascii="Times New Roman" w:hAnsi="Times New Roman" w:cs="Times New Roman"/>
          <w:b/>
          <w:bCs/>
          <w:lang w:val="en-US"/>
        </w:rPr>
        <w:t>P</w:t>
      </w:r>
      <w:r w:rsidR="00AD2DD0">
        <w:rPr>
          <w:rFonts w:ascii="Times New Roman" w:hAnsi="Times New Roman" w:cs="Times New Roman"/>
          <w:b/>
          <w:bCs/>
          <w:lang w:val="en-US"/>
        </w:rPr>
        <w:t>atient-</w:t>
      </w:r>
      <w:r w:rsidRPr="00803A7E">
        <w:rPr>
          <w:rFonts w:ascii="Times New Roman" w:hAnsi="Times New Roman" w:cs="Times New Roman"/>
          <w:b/>
          <w:bCs/>
          <w:lang w:val="en-US"/>
        </w:rPr>
        <w:t>R</w:t>
      </w:r>
      <w:r w:rsidR="00AD2DD0">
        <w:rPr>
          <w:rFonts w:ascii="Times New Roman" w:hAnsi="Times New Roman" w:cs="Times New Roman"/>
          <w:b/>
          <w:bCs/>
          <w:lang w:val="en-US"/>
        </w:rPr>
        <w:t xml:space="preserve">eport </w:t>
      </w:r>
      <w:r w:rsidRPr="00803A7E">
        <w:rPr>
          <w:rFonts w:ascii="Times New Roman" w:hAnsi="Times New Roman" w:cs="Times New Roman"/>
          <w:b/>
          <w:bCs/>
          <w:lang w:val="en-US"/>
        </w:rPr>
        <w:t>O</w:t>
      </w:r>
      <w:r w:rsidR="00AD2DD0">
        <w:rPr>
          <w:rFonts w:ascii="Times New Roman" w:hAnsi="Times New Roman" w:cs="Times New Roman"/>
          <w:b/>
          <w:bCs/>
          <w:lang w:val="en-US"/>
        </w:rPr>
        <w:t xml:space="preserve">utcome </w:t>
      </w:r>
      <w:r w:rsidRPr="00803A7E">
        <w:rPr>
          <w:rFonts w:ascii="Times New Roman" w:hAnsi="Times New Roman" w:cs="Times New Roman"/>
          <w:b/>
          <w:bCs/>
          <w:lang w:val="en-US"/>
        </w:rPr>
        <w:t>questionnaires and response options</w:t>
      </w:r>
    </w:p>
    <w:p w14:paraId="3ACF6AE0" w14:textId="4243F0BC" w:rsidR="00803A7E" w:rsidRDefault="00803A7E" w:rsidP="00803A7E">
      <w:pPr>
        <w:rPr>
          <w:lang w:val="en-US"/>
        </w:rPr>
      </w:pPr>
    </w:p>
    <w:p w14:paraId="43774293" w14:textId="034C6949" w:rsidR="00803A7E" w:rsidRPr="00803A7E" w:rsidRDefault="00803A7E" w:rsidP="00803A7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3A7E">
        <w:rPr>
          <w:rFonts w:ascii="Times New Roman" w:hAnsi="Times New Roman" w:cs="Times New Roman"/>
          <w:sz w:val="24"/>
          <w:szCs w:val="24"/>
          <w:lang w:val="en-US"/>
        </w:rPr>
        <w:t>The table below describes the P</w:t>
      </w:r>
      <w:r w:rsidR="00AD2DD0">
        <w:rPr>
          <w:rFonts w:ascii="Times New Roman" w:hAnsi="Times New Roman" w:cs="Times New Roman"/>
          <w:sz w:val="24"/>
          <w:szCs w:val="24"/>
          <w:lang w:val="en-US"/>
        </w:rPr>
        <w:t xml:space="preserve">atient-Report </w:t>
      </w:r>
      <w:r w:rsidRPr="00803A7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D2DD0">
        <w:rPr>
          <w:rFonts w:ascii="Times New Roman" w:hAnsi="Times New Roman" w:cs="Times New Roman"/>
          <w:sz w:val="24"/>
          <w:szCs w:val="24"/>
          <w:lang w:val="en-US"/>
        </w:rPr>
        <w:t xml:space="preserve">utcome </w:t>
      </w:r>
      <w:r w:rsidRPr="00803A7E">
        <w:rPr>
          <w:rFonts w:ascii="Times New Roman" w:hAnsi="Times New Roman" w:cs="Times New Roman"/>
          <w:sz w:val="24"/>
          <w:szCs w:val="24"/>
          <w:lang w:val="en-US"/>
        </w:rPr>
        <w:t xml:space="preserve">questionnaires that are included the </w:t>
      </w:r>
      <w:r w:rsidR="00AD2DD0">
        <w:rPr>
          <w:rFonts w:ascii="Times New Roman" w:hAnsi="Times New Roman" w:cs="Times New Roman"/>
          <w:sz w:val="24"/>
          <w:szCs w:val="24"/>
          <w:lang w:val="en-US"/>
        </w:rPr>
        <w:t>intervention questionnaire</w:t>
      </w:r>
      <w:r w:rsidRPr="00803A7E">
        <w:rPr>
          <w:rFonts w:ascii="Times New Roman" w:hAnsi="Times New Roman" w:cs="Times New Roman"/>
          <w:sz w:val="24"/>
          <w:szCs w:val="24"/>
          <w:lang w:val="en-US"/>
        </w:rPr>
        <w:t xml:space="preserve"> and the response options for each </w:t>
      </w:r>
      <w:r w:rsidR="00AD2DD0" w:rsidRPr="00803A7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D2DD0">
        <w:rPr>
          <w:rFonts w:ascii="Times New Roman" w:hAnsi="Times New Roman" w:cs="Times New Roman"/>
          <w:sz w:val="24"/>
          <w:szCs w:val="24"/>
          <w:lang w:val="en-US"/>
        </w:rPr>
        <w:t xml:space="preserve">atient-Report </w:t>
      </w:r>
      <w:r w:rsidR="00AD2DD0" w:rsidRPr="00803A7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D2DD0">
        <w:rPr>
          <w:rFonts w:ascii="Times New Roman" w:hAnsi="Times New Roman" w:cs="Times New Roman"/>
          <w:sz w:val="24"/>
          <w:szCs w:val="24"/>
          <w:lang w:val="en-US"/>
        </w:rPr>
        <w:t>utcome</w:t>
      </w:r>
      <w:r w:rsidR="00AD2D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A7E">
        <w:rPr>
          <w:rFonts w:ascii="Times New Roman" w:hAnsi="Times New Roman" w:cs="Times New Roman"/>
          <w:sz w:val="24"/>
          <w:szCs w:val="24"/>
          <w:lang w:val="en-US"/>
        </w:rPr>
        <w:t>questionnaire.</w:t>
      </w:r>
    </w:p>
    <w:p w14:paraId="54A56D38" w14:textId="543B2692" w:rsidR="00EC456C" w:rsidRDefault="00EC456C" w:rsidP="00EC456C">
      <w:pPr>
        <w:pStyle w:val="Newparagraph"/>
        <w:ind w:firstLine="0"/>
      </w:pPr>
    </w:p>
    <w:tbl>
      <w:tblPr>
        <w:tblStyle w:val="LTV-tabell"/>
        <w:tblW w:w="0" w:type="auto"/>
        <w:tblLook w:val="04A0" w:firstRow="1" w:lastRow="0" w:firstColumn="1" w:lastColumn="0" w:noHBand="0" w:noVBand="1"/>
      </w:tblPr>
      <w:tblGrid>
        <w:gridCol w:w="1982"/>
        <w:gridCol w:w="2140"/>
        <w:gridCol w:w="2081"/>
        <w:gridCol w:w="2869"/>
      </w:tblGrid>
      <w:tr w:rsidR="00EC456C" w:rsidRPr="00EC456C" w14:paraId="475AAA51" w14:textId="77777777" w:rsidTr="008B7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00" w:type="dxa"/>
          </w:tcPr>
          <w:p w14:paraId="695BCDE4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Health area</w:t>
            </w:r>
          </w:p>
        </w:tc>
        <w:tc>
          <w:tcPr>
            <w:tcW w:w="2227" w:type="dxa"/>
          </w:tcPr>
          <w:p w14:paraId="01F687C9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Instrument</w:t>
            </w:r>
          </w:p>
        </w:tc>
        <w:tc>
          <w:tcPr>
            <w:tcW w:w="2218" w:type="dxa"/>
          </w:tcPr>
          <w:p w14:paraId="69C3E955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Questions</w:t>
            </w:r>
          </w:p>
        </w:tc>
        <w:tc>
          <w:tcPr>
            <w:tcW w:w="2427" w:type="dxa"/>
          </w:tcPr>
          <w:p w14:paraId="1BDB4E61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Response options</w:t>
            </w:r>
          </w:p>
        </w:tc>
      </w:tr>
      <w:tr w:rsidR="00EC456C" w:rsidRPr="00AD2DD0" w14:paraId="655A0B32" w14:textId="77777777" w:rsidTr="008B70C1">
        <w:tc>
          <w:tcPr>
            <w:tcW w:w="2200" w:type="dxa"/>
          </w:tcPr>
          <w:p w14:paraId="7C44BF69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Mental health</w:t>
            </w:r>
          </w:p>
        </w:tc>
        <w:tc>
          <w:tcPr>
            <w:tcW w:w="2227" w:type="dxa"/>
          </w:tcPr>
          <w:p w14:paraId="7470251D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General Anxiety Disorder 7-item scale (GAD-7)</w:t>
            </w:r>
          </w:p>
        </w:tc>
        <w:tc>
          <w:tcPr>
            <w:tcW w:w="2218" w:type="dxa"/>
          </w:tcPr>
          <w:p w14:paraId="0D4CC10D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non-diagnostic instrument is aimed towards general anxiety symptoms during the past two weeks. Seven questions form a basis for conversation</w:t>
            </w:r>
          </w:p>
          <w:p w14:paraId="5496B868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52D5FD3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responses options are Not at all (0p) / Several days (1p) / More than half of the days (2p) / Almost every day (3). </w:t>
            </w:r>
          </w:p>
          <w:p w14:paraId="28C1E6AA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1BAC666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Points are added for total score. Anxiety level threshold is recommended from 10p</w:t>
            </w:r>
          </w:p>
        </w:tc>
      </w:tr>
      <w:tr w:rsidR="00EC456C" w:rsidRPr="00AD2DD0" w14:paraId="50C0221F" w14:textId="77777777" w:rsidTr="008B70C1">
        <w:tc>
          <w:tcPr>
            <w:tcW w:w="2200" w:type="dxa"/>
          </w:tcPr>
          <w:p w14:paraId="4A6C7CB1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7" w:type="dxa"/>
          </w:tcPr>
          <w:p w14:paraId="3EF871FC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Patient Health Questionnaire 9-items (PHQ-9)</w:t>
            </w:r>
          </w:p>
        </w:tc>
        <w:tc>
          <w:tcPr>
            <w:tcW w:w="2218" w:type="dxa"/>
          </w:tcPr>
          <w:p w14:paraId="5C39A8A9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scale consists of in total nine items. Eight are used to measure symptom level of depression in the past two weeks. One item is used to measure functioning.</w:t>
            </w:r>
          </w:p>
          <w:p w14:paraId="2B084C9D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86FE81E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Can be used for depression syndrome screening, depression depth and course over time. Clinical assessment must complement use of the scale</w:t>
            </w:r>
          </w:p>
        </w:tc>
        <w:tc>
          <w:tcPr>
            <w:tcW w:w="2427" w:type="dxa"/>
          </w:tcPr>
          <w:p w14:paraId="7828B2DE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screening response options are Not at all (0p) / Several days (1p) / More than half of the days (2p) / Almost every day (3). </w:t>
            </w:r>
          </w:p>
          <w:p w14:paraId="4C62E51C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points are added for the total score. 0-9 p = No depression, 10-14 = gray area, 15-27 = Major depression can occur.</w:t>
            </w:r>
          </w:p>
          <w:p w14:paraId="08FC43C2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functioning item response options are No difficulties, Some difficulties, Great difficulties, and Extreme difficulties.</w:t>
            </w:r>
          </w:p>
        </w:tc>
      </w:tr>
      <w:tr w:rsidR="00EC456C" w:rsidRPr="00AD2DD0" w14:paraId="54108723" w14:textId="77777777" w:rsidTr="008B70C1">
        <w:tc>
          <w:tcPr>
            <w:tcW w:w="2200" w:type="dxa"/>
          </w:tcPr>
          <w:p w14:paraId="75E9E563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7" w:type="dxa"/>
          </w:tcPr>
          <w:p w14:paraId="2911F6E9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SCOFF (acronym from the questions)</w:t>
            </w:r>
          </w:p>
        </w:tc>
        <w:tc>
          <w:tcPr>
            <w:tcW w:w="2218" w:type="dxa"/>
          </w:tcPr>
          <w:p w14:paraId="313A0A82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five item non-diagnostic scale maps the possibility of experiencing an eating disorder. Further clinical assessment is required.</w:t>
            </w:r>
          </w:p>
        </w:tc>
        <w:tc>
          <w:tcPr>
            <w:tcW w:w="2427" w:type="dxa"/>
          </w:tcPr>
          <w:p w14:paraId="1AB1EA1B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Yes and No constitute the response options.</w:t>
            </w:r>
          </w:p>
          <w:p w14:paraId="366ECF39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 case of two ”yes”-answers, further assessment and perhaps help is needed.  </w:t>
            </w:r>
          </w:p>
        </w:tc>
      </w:tr>
      <w:tr w:rsidR="00EC456C" w:rsidRPr="00AD2DD0" w14:paraId="7DAFD51A" w14:textId="77777777" w:rsidTr="008B70C1">
        <w:tc>
          <w:tcPr>
            <w:tcW w:w="2200" w:type="dxa"/>
          </w:tcPr>
          <w:p w14:paraId="191D23DB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Physical health</w:t>
            </w:r>
          </w:p>
        </w:tc>
        <w:tc>
          <w:tcPr>
            <w:tcW w:w="2227" w:type="dxa"/>
          </w:tcPr>
          <w:p w14:paraId="0DF54FBE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Lifestyle habits questions from National Board of Social Affairs and health</w:t>
            </w:r>
          </w:p>
        </w:tc>
        <w:tc>
          <w:tcPr>
            <w:tcW w:w="2218" w:type="dxa"/>
          </w:tcPr>
          <w:p w14:paraId="1700F4EE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Identifies lifestyle habits such as tobacco, exercise and eating habits by examining how often and to what extent a behavior occurs </w:t>
            </w:r>
          </w:p>
        </w:tc>
        <w:tc>
          <w:tcPr>
            <w:tcW w:w="2427" w:type="dxa"/>
          </w:tcPr>
          <w:p w14:paraId="1AC11E30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responses provide the basis for a conversation about lifestyle changes according to guidelines</w:t>
            </w:r>
          </w:p>
        </w:tc>
      </w:tr>
      <w:tr w:rsidR="00EC456C" w:rsidRPr="00AD2DD0" w14:paraId="2416D352" w14:textId="77777777" w:rsidTr="008B70C1">
        <w:tc>
          <w:tcPr>
            <w:tcW w:w="2200" w:type="dxa"/>
          </w:tcPr>
          <w:p w14:paraId="5D8F3317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7" w:type="dxa"/>
          </w:tcPr>
          <w:p w14:paraId="59A7E1E1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Alcohol Use Disorder Identification Text Consumption (Audit-C)</w:t>
            </w:r>
          </w:p>
        </w:tc>
        <w:tc>
          <w:tcPr>
            <w:tcW w:w="2218" w:type="dxa"/>
          </w:tcPr>
          <w:p w14:paraId="18915D7E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Three items aim at detecting risky use of alcohol consumption</w:t>
            </w:r>
          </w:p>
        </w:tc>
        <w:tc>
          <w:tcPr>
            <w:tcW w:w="2427" w:type="dxa"/>
          </w:tcPr>
          <w:p w14:paraId="1BBC5BB4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Scores are added. Total max score is 12. Score above 5 for men and 4 for women indicate risky use of alcohol</w:t>
            </w:r>
          </w:p>
        </w:tc>
      </w:tr>
      <w:tr w:rsidR="00EC456C" w:rsidRPr="00AD2DD0" w14:paraId="4A9D31C3" w14:textId="77777777" w:rsidTr="008B70C1">
        <w:tc>
          <w:tcPr>
            <w:tcW w:w="2200" w:type="dxa"/>
          </w:tcPr>
          <w:p w14:paraId="1AB5BCD8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7" w:type="dxa"/>
          </w:tcPr>
          <w:p w14:paraId="491A6BF5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Health Behavior in School Children - somatic symptoms (HBSC)</w:t>
            </w:r>
          </w:p>
        </w:tc>
        <w:tc>
          <w:tcPr>
            <w:tcW w:w="2218" w:type="dxa"/>
          </w:tcPr>
          <w:p w14:paraId="15AC6668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Consists of six items about somatic symptoms</w:t>
            </w:r>
          </w:p>
          <w:p w14:paraId="11E15370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27" w:type="dxa"/>
          </w:tcPr>
          <w:p w14:paraId="0C4AB73F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Response options are Rarely or never (1) / About every month (2) / About every week (3) / More than once a week (4) / About every day (5)</w:t>
            </w:r>
          </w:p>
          <w:p w14:paraId="2964B146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Scores add up</w:t>
            </w:r>
          </w:p>
          <w:p w14:paraId="16F1858D" w14:textId="2311E460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Delineation of health-related problems have been decided in collaboration with an orthopedist/psychotherapist and a neurologist with first step psychotherapy education</w:t>
            </w:r>
            <w:r w:rsidR="000D594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EC456C" w:rsidRPr="00AD2DD0" w14:paraId="738163A7" w14:textId="77777777" w:rsidTr="008B70C1">
        <w:tc>
          <w:tcPr>
            <w:tcW w:w="2200" w:type="dxa"/>
          </w:tcPr>
          <w:p w14:paraId="0B8AE0E2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Sexual health</w:t>
            </w:r>
          </w:p>
        </w:tc>
        <w:tc>
          <w:tcPr>
            <w:tcW w:w="2227" w:type="dxa"/>
          </w:tcPr>
          <w:p w14:paraId="69E1E5D0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Sexual health Identification Tool (SEXIT)</w:t>
            </w:r>
          </w:p>
        </w:tc>
        <w:tc>
          <w:tcPr>
            <w:tcW w:w="2218" w:type="dxa"/>
          </w:tcPr>
          <w:p w14:paraId="1A3A40BF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Assessment questionnaire followed by conversation aiming at identifying and offering advice and support for young people with risky sexual behavior, used at Youth Health Clinics</w:t>
            </w:r>
          </w:p>
        </w:tc>
        <w:tc>
          <w:tcPr>
            <w:tcW w:w="2427" w:type="dxa"/>
          </w:tcPr>
          <w:p w14:paraId="47D28D3E" w14:textId="77777777" w:rsidR="00EC456C" w:rsidRPr="00EC456C" w:rsidRDefault="00EC456C" w:rsidP="008B70C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answers generate green, yellow, and red flags, indicating risk levels, based on behavior, age and life situation. To be used in a conversation between healthcare provider and young person</w:t>
            </w:r>
          </w:p>
        </w:tc>
      </w:tr>
      <w:tr w:rsidR="00EC456C" w:rsidRPr="00AD2DD0" w14:paraId="1CB2720B" w14:textId="77777777" w:rsidTr="008B70C1">
        <w:tc>
          <w:tcPr>
            <w:tcW w:w="2200" w:type="dxa"/>
          </w:tcPr>
          <w:p w14:paraId="45D8FF98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Social support</w:t>
            </w:r>
          </w:p>
        </w:tc>
        <w:tc>
          <w:tcPr>
            <w:tcW w:w="2227" w:type="dxa"/>
          </w:tcPr>
          <w:p w14:paraId="30D242DC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6-item Revised UCLA loneliness scale</w:t>
            </w:r>
          </w:p>
        </w:tc>
        <w:tc>
          <w:tcPr>
            <w:tcW w:w="2218" w:type="dxa"/>
          </w:tcPr>
          <w:p w14:paraId="0D5BC732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Six items about the experience of loneliness and exclusion </w:t>
            </w:r>
          </w:p>
        </w:tc>
        <w:tc>
          <w:tcPr>
            <w:tcW w:w="2427" w:type="dxa"/>
          </w:tcPr>
          <w:p w14:paraId="14F57167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Response options are Never (1) / Rarely (2) / Sometimes (3) / Always (4). Scores add up to a max score of 24</w:t>
            </w:r>
          </w:p>
          <w:p w14:paraId="270C44A7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1-11 = No or low feelings of loneliness, 21-15 = moderate feelings of loneliness, 16-24 = high feelings of loneliness</w:t>
            </w:r>
          </w:p>
        </w:tc>
      </w:tr>
      <w:tr w:rsidR="00EC456C" w:rsidRPr="00AD2DD0" w14:paraId="2830C1C4" w14:textId="77777777" w:rsidTr="008B70C1">
        <w:tc>
          <w:tcPr>
            <w:tcW w:w="2200" w:type="dxa"/>
          </w:tcPr>
          <w:p w14:paraId="04CDCC64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Self-perceived need for behavior change to improve health</w:t>
            </w:r>
          </w:p>
        </w:tc>
        <w:tc>
          <w:tcPr>
            <w:tcW w:w="2227" w:type="dxa"/>
          </w:tcPr>
          <w:p w14:paraId="6626DB3D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A question created by the research group to assess what is important for the young person to talk about during the conversation with a YHC healthcare provider</w:t>
            </w:r>
          </w:p>
        </w:tc>
        <w:tc>
          <w:tcPr>
            <w:tcW w:w="2218" w:type="dxa"/>
          </w:tcPr>
          <w:p w14:paraId="7BB594DD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One item assessing what health area is prioritized by the young person to make a behavioral change</w:t>
            </w:r>
          </w:p>
        </w:tc>
        <w:tc>
          <w:tcPr>
            <w:tcW w:w="2427" w:type="dxa"/>
          </w:tcPr>
          <w:p w14:paraId="001CDD19" w14:textId="317DA6DD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Response options are four: Physical health, Mental health, Sexual health</w:t>
            </w:r>
            <w:r w:rsidR="00391CD4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Social support</w:t>
            </w:r>
          </w:p>
          <w:p w14:paraId="6E5AB077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The response can direct the conversation towards what meaningful behavior change for the young person</w:t>
            </w:r>
          </w:p>
        </w:tc>
      </w:tr>
      <w:tr w:rsidR="00EC456C" w:rsidRPr="00AD2DD0" w14:paraId="6100F932" w14:textId="77777777" w:rsidTr="008B70C1">
        <w:tc>
          <w:tcPr>
            <w:tcW w:w="2200" w:type="dxa"/>
          </w:tcPr>
          <w:p w14:paraId="718639B7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Behavior change  </w:t>
            </w:r>
          </w:p>
        </w:tc>
        <w:tc>
          <w:tcPr>
            <w:tcW w:w="2227" w:type="dxa"/>
          </w:tcPr>
          <w:p w14:paraId="4561268E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One self-efficacy question</w:t>
            </w:r>
          </w:p>
        </w:tc>
        <w:tc>
          <w:tcPr>
            <w:tcW w:w="2218" w:type="dxa"/>
          </w:tcPr>
          <w:p w14:paraId="3B10DFD7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9"/>
                <w:lang w:val="en-US"/>
              </w:rPr>
              <w:t>Subjective rating of self-efficacy for s</w:t>
            </w:r>
            <w:r w:rsidRPr="00EC456C">
              <w:rPr>
                <w:rFonts w:ascii="Times New Roman" w:hAnsi="Times New Roman"/>
                <w:sz w:val="24"/>
                <w:szCs w:val="24"/>
                <w:lang w:val="en-US"/>
              </w:rPr>
              <w:t>elf-perceived ability to perform behavior change</w:t>
            </w:r>
          </w:p>
        </w:tc>
        <w:tc>
          <w:tcPr>
            <w:tcW w:w="2427" w:type="dxa"/>
          </w:tcPr>
          <w:p w14:paraId="1168152C" w14:textId="77777777" w:rsidR="00EC456C" w:rsidRPr="00EC456C" w:rsidRDefault="00EC456C" w:rsidP="008B70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45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9"/>
                <w:lang w:val="en-US"/>
              </w:rPr>
              <w:t>The response options range from 0 (not at all sure) till 100 (completely sure). Questions and response options are designed according to Bandura’s guide to constructing scales</w:t>
            </w:r>
          </w:p>
        </w:tc>
      </w:tr>
    </w:tbl>
    <w:p w14:paraId="420BAAD4" w14:textId="77777777" w:rsidR="00EC456C" w:rsidRPr="00EC456C" w:rsidRDefault="00EC456C">
      <w:pPr>
        <w:rPr>
          <w:lang w:val="en-US"/>
        </w:rPr>
      </w:pPr>
    </w:p>
    <w:sectPr w:rsidR="00EC456C" w:rsidRPr="00EC456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08649" w14:textId="77777777" w:rsidR="00230C66" w:rsidRDefault="00230C66" w:rsidP="00230C66">
      <w:pPr>
        <w:spacing w:after="0" w:line="240" w:lineRule="auto"/>
      </w:pPr>
      <w:r>
        <w:separator/>
      </w:r>
    </w:p>
  </w:endnote>
  <w:endnote w:type="continuationSeparator" w:id="0">
    <w:p w14:paraId="008E4E8B" w14:textId="77777777" w:rsidR="00230C66" w:rsidRDefault="00230C66" w:rsidP="0023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1967401"/>
      <w:docPartObj>
        <w:docPartGallery w:val="Page Numbers (Bottom of Page)"/>
        <w:docPartUnique/>
      </w:docPartObj>
    </w:sdtPr>
    <w:sdtEndPr/>
    <w:sdtContent>
      <w:p w14:paraId="624D2BE2" w14:textId="2904D211" w:rsidR="00230C66" w:rsidRDefault="00230C66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165978" w14:textId="77777777" w:rsidR="00230C66" w:rsidRDefault="00230C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C227E" w14:textId="77777777" w:rsidR="00230C66" w:rsidRDefault="00230C66" w:rsidP="00230C66">
      <w:pPr>
        <w:spacing w:after="0" w:line="240" w:lineRule="auto"/>
      </w:pPr>
      <w:r>
        <w:separator/>
      </w:r>
    </w:p>
  </w:footnote>
  <w:footnote w:type="continuationSeparator" w:id="0">
    <w:p w14:paraId="571B9A36" w14:textId="77777777" w:rsidR="00230C66" w:rsidRDefault="00230C66" w:rsidP="00230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6C"/>
    <w:rsid w:val="000D594B"/>
    <w:rsid w:val="001677F6"/>
    <w:rsid w:val="001716A9"/>
    <w:rsid w:val="00230C66"/>
    <w:rsid w:val="00391CD4"/>
    <w:rsid w:val="006534FE"/>
    <w:rsid w:val="00803A7E"/>
    <w:rsid w:val="008A641B"/>
    <w:rsid w:val="00AD2DD0"/>
    <w:rsid w:val="00EC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62C9"/>
  <w15:chartTrackingRefBased/>
  <w15:docId w15:val="{56E9C610-5691-410B-93A1-F51E53E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56C"/>
    <w:pPr>
      <w:spacing w:after="200" w:line="288" w:lineRule="auto"/>
    </w:pPr>
    <w:rPr>
      <w:rFonts w:eastAsiaTheme="minorEastAsia"/>
      <w:sz w:val="21"/>
      <w:szCs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803A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C4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45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abelltext">
    <w:name w:val="Tabelltext"/>
    <w:basedOn w:val="Normal"/>
    <w:qFormat/>
    <w:rsid w:val="00EC456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LTV-tabell">
    <w:name w:val="LTV-tabell"/>
    <w:basedOn w:val="Normaltabell"/>
    <w:uiPriority w:val="99"/>
    <w:rsid w:val="00EC456C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Newparagraph">
    <w:name w:val="New paragraph"/>
    <w:basedOn w:val="Normal"/>
    <w:link w:val="NewparagraphChar"/>
    <w:qFormat/>
    <w:rsid w:val="00EC456C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ewparagraphChar">
    <w:name w:val="New paragraph Char"/>
    <w:basedOn w:val="Standardstycketeckensnitt"/>
    <w:link w:val="Newparagraph"/>
    <w:rsid w:val="00EC456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Rubrik2Char">
    <w:name w:val="Rubrik 2 Char"/>
    <w:basedOn w:val="Standardstycketeckensnitt"/>
    <w:link w:val="Rubrik2"/>
    <w:uiPriority w:val="9"/>
    <w:rsid w:val="00EC4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C45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23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30C66"/>
    <w:rPr>
      <w:rFonts w:eastAsiaTheme="minorEastAsia"/>
      <w:sz w:val="21"/>
      <w:szCs w:val="21"/>
    </w:rPr>
  </w:style>
  <w:style w:type="paragraph" w:styleId="Sidfot">
    <w:name w:val="footer"/>
    <w:basedOn w:val="Normal"/>
    <w:link w:val="SidfotChar"/>
    <w:uiPriority w:val="99"/>
    <w:unhideWhenUsed/>
    <w:rsid w:val="0023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30C66"/>
    <w:rPr>
      <w:rFonts w:eastAsiaTheme="minorEastAsia"/>
      <w:sz w:val="21"/>
      <w:szCs w:val="21"/>
    </w:rPr>
  </w:style>
  <w:style w:type="character" w:customStyle="1" w:styleId="Rubrik1Char">
    <w:name w:val="Rubrik 1 Char"/>
    <w:basedOn w:val="Standardstycketeckensnitt"/>
    <w:link w:val="Rubrik1"/>
    <w:uiPriority w:val="9"/>
    <w:rsid w:val="00803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697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Vikman Lostelius</dc:creator>
  <cp:keywords/>
  <dc:description/>
  <cp:lastModifiedBy>Petra Vikman Lostelius</cp:lastModifiedBy>
  <cp:revision>9</cp:revision>
  <dcterms:created xsi:type="dcterms:W3CDTF">2023-03-05T08:59:00Z</dcterms:created>
  <dcterms:modified xsi:type="dcterms:W3CDTF">2023-05-09T12:49:00Z</dcterms:modified>
</cp:coreProperties>
</file>