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4B85A" w14:textId="77777777" w:rsidR="000E7EBC" w:rsidRPr="003F61C2" w:rsidRDefault="000E7EBC" w:rsidP="000E7EBC">
      <w:pPr>
        <w:rPr>
          <w:rFonts w:asciiTheme="majorBidi" w:hAnsiTheme="majorBidi" w:cstheme="majorBidi"/>
        </w:rPr>
      </w:pPr>
      <w:r w:rsidRPr="003F61C2">
        <w:rPr>
          <w:rFonts w:asciiTheme="majorBidi" w:hAnsiTheme="majorBidi" w:cstheme="majorBidi"/>
        </w:rPr>
        <w:t>Table 3: Quality assessment result for included studies</w:t>
      </w:r>
    </w:p>
    <w:tbl>
      <w:tblPr>
        <w:tblStyle w:val="TableGrid"/>
        <w:tblW w:w="11751" w:type="dxa"/>
        <w:tblInd w:w="-1175" w:type="dxa"/>
        <w:tblLook w:val="04A0" w:firstRow="1" w:lastRow="0" w:firstColumn="1" w:lastColumn="0" w:noHBand="0" w:noVBand="1"/>
      </w:tblPr>
      <w:tblGrid>
        <w:gridCol w:w="2565"/>
        <w:gridCol w:w="1331"/>
        <w:gridCol w:w="1407"/>
        <w:gridCol w:w="986"/>
        <w:gridCol w:w="882"/>
        <w:gridCol w:w="942"/>
        <w:gridCol w:w="717"/>
        <w:gridCol w:w="912"/>
        <w:gridCol w:w="752"/>
        <w:gridCol w:w="1257"/>
      </w:tblGrid>
      <w:tr w:rsidR="000E7EBC" w:rsidRPr="003F61C2" w14:paraId="639D9233" w14:textId="77777777" w:rsidTr="00A87DF7">
        <w:trPr>
          <w:cantSplit/>
          <w:trHeight w:val="1109"/>
        </w:trPr>
        <w:tc>
          <w:tcPr>
            <w:tcW w:w="0" w:type="auto"/>
            <w:vAlign w:val="center"/>
          </w:tcPr>
          <w:p w14:paraId="5501FB0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AMSTAR criteria</w:t>
            </w:r>
          </w:p>
        </w:tc>
        <w:tc>
          <w:tcPr>
            <w:tcW w:w="1331" w:type="dxa"/>
            <w:vAlign w:val="center"/>
          </w:tcPr>
          <w:p w14:paraId="4807046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 xml:space="preserve">Shah and Chiew, 2019 </w:t>
            </w:r>
            <w:r w:rsidRPr="003F61C2">
              <w:rPr>
                <w:rFonts w:asciiTheme="majorBidi" w:hAnsiTheme="majorBidi" w:cstheme="majorBidi"/>
                <w:kern w:val="2"/>
                <w:sz w:val="18"/>
                <w:szCs w:val="18"/>
                <w14:ligatures w14:val="standardContextual"/>
              </w:rPr>
              <w:t xml:space="preserve"> </w:t>
            </w: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{"citationItems":[{"id":"ITEM-1","itemData":{"DOI":"10.3390/sym11030400","ISBN":"6037967636","ISSN":"20738994","abstract":"The increasing popularity of mHealth is a promising opportunity for pain self-management. Mobile apps can be easily developed, but understanding the design and usability will result in apps that can retain more users. This research aims at identifying, analyzing, and synthesizing the current state-of-the-art of: (a) the design approach and (b) usability assessment of pain management mobile applications. A systematic literature review was conducted on 27 studies retrieved from Medline, PubMed, EMBASE, Web of Science, and Scopus. The review revealed that most of the apps were for chronic pain. No app was specifically for men or for the elderly. None of the studies involved expert-based system inspection methods. Only one study used two different approaches of automated and empirical evaluation. We mapped the identified usability issues to ISO 9241-11 and ISO/IEC 25010, and aggregated the recommendations for improvement. Moreover, we also identified certain issues that are solely concerned with the patient's behavior. We organized the issues into taxonomies of design considerations for building usable pain self-management mobile applications. As pain is prevalent among the elderly, pain management will be much needed while moving toward an aging society. However, we found that the involvement of the elderly in the development of pain management mobile apps is very minimal, which may affect the utility and usability of the apps.","author":[{"dropping-particle":"","family":"Shah","given":"Umm e.Mariya","non-dropping-particle":"","parse-names":false,"suffix":""},{"dropping-particle":"","family":"Chiew","given":"Thiam Kian","non-dropping-particle":"","parse-names":false,"suffix":""}],"container-title":"Symmetry","id":"ITEM-1","issue":"3","issued":{"date-parts":[["2019"]]},"title":"A systematic literature review of the design approach and usability evaluation of the pain management mobile applications","type":"article","volume":"11"},"uris":["http://www.mendeley.com/documents/?uuid=ca50266e-a5a3-40cc-8d81-5f2435407a73"]}],"mendeley":{"formattedCitation":"[37]","plainTextFormattedCitation":"[37]","previouslyFormattedCitation":"[37]"},"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[37]</w:t>
            </w:r>
            <w:r w:rsidRPr="003F61C2">
              <w:rPr>
                <w:rFonts w:asciiTheme="majorBidi" w:hAnsiTheme="majorBidi" w:cstheme="majorBidi"/>
                <w:kern w:val="2"/>
                <w:sz w:val="18"/>
                <w:szCs w:val="18"/>
                <w14:ligatures w14:val="standardContextual"/>
              </w:rPr>
              <w:fldChar w:fldCharType="end"/>
            </w:r>
          </w:p>
        </w:tc>
        <w:tc>
          <w:tcPr>
            <w:tcW w:w="1407" w:type="dxa"/>
            <w:vAlign w:val="center"/>
          </w:tcPr>
          <w:p w14:paraId="5041596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Al-Razgan</w:t>
            </w:r>
          </w:p>
          <w:p w14:paraId="760FD12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et al.,</w:t>
            </w:r>
          </w:p>
          <w:p w14:paraId="57D6E3D6"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2021</w:t>
            </w:r>
          </w:p>
          <w:p w14:paraId="69EF648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{"citationItems":[{"id":"ITEM-1","itemData":{"DOI":"10.7717/peerj-cs.771","ISSN":"2376-5992","abstract":"Interacting with mobile applications can often be challenging for people with visual impairments due to the poor usability of some mobile applications. The goal of this paper is to provide an overview of the developments on usability of mobile applications for people with visual impairments based on recent advances in research and application development. This overview is important to guide decision-making for researchers and provide a synthesis of available evidence and indicate in which direction it is worthwhile to prompt further research. We performed a systematic literature review on the usability of mobile applications for people with visual impairments. A deep analysis following the Preferred Reporting Items for SLRs and Meta-Analyses (PRISMA) guidelines was performed to produce a set of relevant papers in the field. We first identified 932 papers published within the last six years. After screening the papers and employing a snowballing technique, we identified 60 studies that were then classified into seven themes: accessibility, daily activities, assistive devices, navigation, screen division layout, and audio guidance. The studies were then analyzed to answer the proposed research questions in order to illustrate the different trends, themes, and evaluation results of various mobile applications developed in the last six years. Using this overview as a foundation, future directions for research in the field of usability for the visually impaired (UVI) are highlighted.","author":[{"dropping-particle":"","family":"Al-Razgan","given":"M","non-dropping-particle":"","parse-names":false,"suffix":""},{"dropping-particle":"","family":"Almoaiqel","given":"S","non-dropping-particle":"","parse-names":false,"suffix":""},{"dropping-particle":"","family":"Alrajhi","given":"N","non-dropping-particle":"","parse-names":false,"suffix":""},{"dropping-particle":"","family":"Alhumegani","given":"A","non-dropping-particle":"","parse-names":false,"suffix":""},{"dropping-particle":"","family":"Alshehri","given":"A","non-dropping-particle":"","parse-names":false,"suffix":""},{"dropping-particle":"","family":"Alnefaie","given":"B","non-dropping-particle":"","parse-names":false,"suffix":""},{"dropping-particle":"","family":"AlKhamiss","given":"R","non-dropping-particle":"","parse-names":false,"suffix":""},{"dropping-particle":"","family":"Rushdi","given":"S","non-dropping-particle":"","parse-names":false,"suffix":""}],"container-title":"PEERJ COMPUTER SCIENCE","id":"ITEM-1","issued":{"date-parts":[["2021"]]},"title":"A systematic literature review on the usability of mobile applications for visually impaired users","type":"article-journal","volume":"7"},"uris":["http://www.mendeley.com/documents/?uuid=c11c625d-e3cd-4182-ae0e-23519977bc67"]}],"mendeley":{"formattedCitation":"[38]","plainTextFormattedCitation":"[38]","previouslyFormattedCitation":"[38]"},"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[38]</w:t>
            </w:r>
            <w:r w:rsidRPr="003F61C2">
              <w:rPr>
                <w:rFonts w:asciiTheme="majorBidi" w:hAnsiTheme="majorBidi" w:cstheme="majorBidi"/>
                <w:kern w:val="2"/>
                <w:sz w:val="18"/>
                <w:szCs w:val="18"/>
                <w14:ligatures w14:val="standardContextual"/>
              </w:rPr>
              <w:fldChar w:fldCharType="end"/>
            </w:r>
          </w:p>
        </w:tc>
        <w:tc>
          <w:tcPr>
            <w:tcW w:w="986" w:type="dxa"/>
            <w:vAlign w:val="center"/>
          </w:tcPr>
          <w:p w14:paraId="1FF07C71"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Carreiro et al., 2020</w:t>
            </w:r>
          </w:p>
          <w:p w14:paraId="67E2B60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{"citationItems":[{"id":"ITEM-1","itemData":{"DOI":"10.1016/j.drugalcdep.2020.108201","ISSN":"0376-8716","abstract":"Background: Connected interventions use data collected through mobile/wearable devices to trigger real-time interventions and have great potential to improve treatment for substance use disorder (SUD). This review aims to describe the current landscape, effectiveness and usability of connected interventions for SUD. Methods: A systematic review was conducted to identify articles evaluating connected health interventions for SUD in accordance with the Preferred Reporting Items for Systematic Reviews and Meta-Analyses guidelines. Three databases (PubMed, IEEE, and Scopus) were searched over a five-year period. Included articles described a connected health intervention targeting SUD and provided outcomes data. Data were extracted using a standardized reporting tool. Results: A total of 1676 unique articles were identified during the initial search, with 32 articles included in the final analysis. Seven articles of the 32 were derived from two large studies. The most commonly studied SUD was alcohol use disorder. Sixteen articles reported at least one statistically significant result with respect to reduced craving and/or substance use. The majority of articles used ecological momentary assessment to trigger interventions, while four used biologic/physiologic data. Two articles used a wearable device. Common intervention types included craving management, coping assistance, and tailored feedback. Twenty-three articles measured usability factors, and acceptability was generally reported as high. Conclusion: Identified themes included a focus on AUD, use of smart phones, use of EMA for intervention delivery, positive effects on SUD related outcomes, and overall high acceptability. Wearables that directly monitor biologic data and predictive analytics using integrated data streams represent understudied opportunities for new research.","author":[{"dropping-particle":"","family":"Carreiro","given":"S","non-dropping-particle":"","parse-names":false,"suffix":""},{"dropping-particle":"","family":"Newcomb","given":"M","non-dropping-particle":"","parse-names":false,"suffix":""},{"dropping-particle":"","family":"Leach","given":"R","non-dropping-particle":"","parse-names":false,"suffix":""},{"dropping-particle":"","family":"Ostrowski","given":"S","non-dropping-particle":"","parse-names":false,"suffix":""},{"dropping-particle":"","family":"Boudreaux","given":"E D","non-dropping-particle":"","parse-names":false,"suffix":""},{"dropping-particle":"","family":"Amante","given":"D","non-dropping-particle":"","parse-names":false,"suffix":""}],"container-title":"DRUG AND ALCOHOL DEPENDENCE","id":"ITEM-1","issued":{"date-parts":[["2020"]]},"title":"Current reporting of usability and impact of mHealth interventions for substance use disorder: A systematic review","type":"article-journal","volume":"215"},"uris":["http://www.mendeley.com/documents/?uuid=fe6a190c-061b-4043-9b31-6e264c5eba81"]}],"mendeley":{"formattedCitation":"[34]","plainTextFormattedCitation":"[34]","previouslyFormattedCitation":"[34]"},"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[34]</w:t>
            </w:r>
            <w:r w:rsidRPr="003F61C2">
              <w:rPr>
                <w:rFonts w:asciiTheme="majorBidi" w:hAnsiTheme="majorBidi" w:cstheme="majorBidi"/>
                <w:kern w:val="2"/>
                <w:sz w:val="18"/>
                <w:szCs w:val="18"/>
                <w14:ligatures w14:val="standardContextual"/>
              </w:rPr>
              <w:fldChar w:fldCharType="end"/>
            </w:r>
          </w:p>
        </w:tc>
        <w:tc>
          <w:tcPr>
            <w:tcW w:w="0" w:type="auto"/>
            <w:vAlign w:val="center"/>
          </w:tcPr>
          <w:p w14:paraId="7F6DB5C7"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Zapata et al., 2015</w:t>
            </w:r>
          </w:p>
          <w:p w14:paraId="2EE39CF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{"citationItems":[{"id":"ITEM-1","itemData":{"DOI":"10.1007/s10916-014-0182-2","ISBN":"1573-689X\r0148-5598","abstract":"The release of smartphones and tablets, which offer more advanced communication and computing capabilities, has led to the strong emergence of mHealth on the market. mHealth systems are being used to improve patients’ lives and their health, in addition to facilitating communication between doctors and patients. Researchers are now proposing mHealth applications for many health conditions such as dementia, autism, dysarthria, Parkinson’s disease, and so on. Usability becomes a key factor in the adoption of these applications, which are often used by people who have problems when using mobile devices and who have a limited experience of technology. The aim of this paper is to investigate the empirical usability evaluation processes described in a total of 22 selected studies related to mHealth applications by means of a Systematic Literature Review. Our results show that the empirical evaluation methods employed as regards usability could be improved by the adoption of automated mechanisms. The evaluation processes should also be revised to combine more than one method. This paper will help researchers and developers to create more usable applications. Our study demonstrates the importance of adapting health applications to users’ need.","author":[{"dropping-particle":"","family":"Zapata","given":"B C","non-dropping-particle":"","parse-names":false,"suffix":""},{"dropping-particle":"","family":"Fernández-Alemán","given":"J L","non-dropping-particle":"","parse-names":false,"suffix":""},{"dropping-particle":"","family":"Idri","given":"A","non-dropping-particle":"","parse-names":false,"suffix":""},{"dropping-particle":"","family":"Toval","given":"A","non-dropping-particle":"","parse-names":false,"suffix":""}],"container-title":"Journal of Medical Systems","id":"ITEM-1","issue":"2","issued":{"date-parts":[["2015"]]},"language":"English","note":"L601506939\n2015-01-27\n2020-07-28","page":"1-19","title":"Empirical Studies on Usability of mHealth Apps: A Systematic Literature Review","type":"article-journal","volume":"39"},"uris":["http://www.mendeley.com/documents/?uuid=f83d1dc4-2f45-4da3-a7b7-22b3baa5f9f9"]}],"mendeley":{"formattedCitation":"[11]","plainTextFormattedCitation":"[11]","previouslyFormattedCitation":"[11]"},"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[11]</w:t>
            </w:r>
            <w:r w:rsidRPr="003F61C2">
              <w:rPr>
                <w:rFonts w:asciiTheme="majorBidi" w:hAnsiTheme="majorBidi" w:cstheme="majorBidi"/>
                <w:kern w:val="2"/>
                <w:sz w:val="18"/>
                <w:szCs w:val="18"/>
                <w14:ligatures w14:val="standardContextual"/>
              </w:rPr>
              <w:fldChar w:fldCharType="end"/>
            </w:r>
          </w:p>
        </w:tc>
        <w:tc>
          <w:tcPr>
            <w:tcW w:w="0" w:type="auto"/>
            <w:vAlign w:val="center"/>
          </w:tcPr>
          <w:p w14:paraId="6D087096"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Tatham et al., 2022</w:t>
            </w:r>
          </w:p>
          <w:p w14:paraId="77D41CA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{"citationItems":[{"id":"ITEM-1","itemData":{"DOI":"10.2196/29114","abstract":"Background: Mental health apps (MHAs) provide opportunities for accessible, immediate, and innovative approaches to better understand and support the treatment of mental health disorders, especially those with a high burden, such as bipolar disorder (BD). Many MHAs have been developed, but few have had their effectiveness evaluated. Objective: This systematic scoping review explores current process and outcome measures of MHAs for BD with the aim to provide a comprehensive overview of current research. This will identify the best practice for evaluating MHAs for BD and inform future studies. Methods: A systematic literature search of the health science databases PsycINFO, MEDLINE, Embase, EBSCO, Scopus, and Web of Science was undertaken up to January 2021 (with no start date) to narratively assess how studies had evaluated MHAs for BD. Results: Of 4051 original search results, 12 articles were included. These 12 studies included 435 participants, and of these, 343 had BD type I or II. Moreover, 11 of the 12 studies provided the ages (mean 37 years) of the participants. One study did not report age data. The male to female ratio of the 343 participants was 137:206. The most widely employed validated outcome measure was the Young Mania Rating Scale, being used 8 times. The Hamilton Depression Rating Scale-17/Hamilton Depression Rating Scale was used thrice; the Altman Self-Rating Mania Scale, Quick Inventory of Depressive Symptomatology, and Functional Assessment Staging Test were used twice; and the Coping Inventory for Stressful Situations, EuroQoL 5-Dimension Health Questionnaire, Generalized Anxiety Disorder Scale-7, Inventory of Depressive Symptomatology, Mindfulness Attention Awareness Scale, Major Depression Index, Morisky-Green 8-item, Perceived Stress Scale, and World Health Organization Quality of Life-BREF were used once. Self-report measures were captured in 9 different studies, 6 of which used MONARCA. Mood and energy levels were the most commonly used self-report measures, being used 4 times each. Furthermore, 11 of the 12 studies discussed the various confounding factors and barriers to the use of MHAs for BD. Conclusions: Reported low adherence rates, usability challenges, and privacy concerns act as barriers to the use of MHAs for BD. Moreover, as MHA evaluation is itself developing, guidance for clinicians in how to aid patient choices in mobile health needs to develop. These obstacles could be ameliorated by incorporating co-production …","author":[{"dropping-particle":"","family":"Tatham","given":"I","non-dropping-particle":"","parse-names":false,"suffix":""},{"dropping-particle":"","family":"Clarke","given":"E","non-dropping-particle":"","parse-names":false,"suffix":""},{"dropping-particle":"","family":"Grieve","given":"K A","non-dropping-particle":"","parse-names":false,"suffix":""},{"dropping-particle":"","family":"Kaushal","given":"P","non-dropping-particle":"","parse-names":false,"suffix":""},{"dropping-particle":"","family":"Smeddinck","given":"J","non-dropping-particle":"","parse-names":false,"suffix":""},{"dropping-particle":"","family":"Millar","given":"E B","non-dropping-particle":"","parse-names":false,"suffix":""},{"dropping-particle":"","family":"Sharma","given":"A N","non-dropping-particle":"","parse-names":false,"suffix":""}],"container-title":"Journal of Medical Internet Research","id":"ITEM-1","issue":"3","issued":{"date-parts":[["2022"]]},"note":"Export Date: 8 May 2022","publisher-place":"Translational and Clinical Research Institute, Faculty of Medical Sciences, Newcastle University, Newcastle upon Tyne, United Kingdom","title":"Process and Outcome Evaluations of Smartphone Apps for Bipolar Disorder: Scoping Review","type":"article-journal","volume":"24"},"uris":["http://www.mendeley.com/documents/?uuid=b1f6e64a-bf3b-4424-b16d-73a90ab61d85"]}],"mendeley":{"formattedCitation":"[39]","plainTextFormattedCitation":"[39]","previouslyFormattedCitation":"[39]"},"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[39]</w:t>
            </w:r>
            <w:r w:rsidRPr="003F61C2">
              <w:rPr>
                <w:rFonts w:asciiTheme="majorBidi" w:hAnsiTheme="majorBidi" w:cstheme="majorBidi"/>
                <w:kern w:val="2"/>
                <w:sz w:val="18"/>
                <w:szCs w:val="18"/>
                <w14:ligatures w14:val="standardContextual"/>
              </w:rPr>
              <w:fldChar w:fldCharType="end"/>
            </w:r>
          </w:p>
        </w:tc>
        <w:tc>
          <w:tcPr>
            <w:tcW w:w="0" w:type="auto"/>
            <w:vAlign w:val="center"/>
          </w:tcPr>
          <w:p w14:paraId="1F5D3886"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Fu et al., 2017</w:t>
            </w:r>
          </w:p>
          <w:p w14:paraId="564E232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{"citationItems":[{"id":"ITEM-1","itemData":{"DOI":"10.1016/j.diabres.2017.06.016","ISSN":"0168-8227","abstract":"Objectives: To assess the usability and clinical effectiveness of diabetes mobile applications (diabetes apps) developed for adults with type 2 diabetes. Method: A systematic review of the usability and effectiveness of diabetes apps was conducted. Searches were performed using MEDLINE, EMBASE, COMPENDEX, and IEEE XPLORE for articles published from January 1, 2011, to January 17, 2017. Search terms included: diabetes, mobile apps, and mobile health (mHealth). Results: The search yielded 723 abstracts of which seven usability studies and ten clinical effectiveness studies met the inclusion criteria from 20 publications. Usability, as measured by satisfaction ratings from experts and patients, ranged from 38% to 80%. Usability problem ratings ranged from moderate to catastrophic. Top usability problems are multi-steps task, limited functionality and interaction, and difficult system navigation. Clinical effectiveness, measured by reductions in HbA1c, ranged from 0.15% to 1.9%. Conclusion: Despite meager satisfaction ratings and major usability problems, there is some limited evidence supporting the effectiveness of diabetes apps to improve glycemic control for adults with type 2 diabetes. Findings strongly suggest that efforts to improve user satisfaction, incorporate established principles of health behavior change, and match apps to user characteristics will increase the therapeutic impact of diabetes apps. (C) 2017 Elsevier B.V. All rights reserved.","author":[{"dropping-particle":"","family":"Fu","given":"H L","non-dropping-particle":"","parse-names":false,"suffix":""},{"dropping-particle":"","family":"McMahon","given":"S K","non-dropping-particle":"","parse-names":false,"suffix":""},{"dropping-particle":"","family":"Gross","given":"C R","non-dropping-particle":"","parse-names":false,"suffix":""},{"dropping-particle":"","family":"Adam","given":"T J","non-dropping-particle":"","parse-names":false,"suffix":""},{"dropping-particle":"","family":"Wyman","given":"J F","non-dropping-particle":"","parse-names":false,"suffix":""}],"container-title":"DIABETES RESEARCH AND CLINICAL PRACTICE","id":"ITEM-1","issued":{"date-parts":[["2017"]]},"page":"70-81","title":"Usability and clinical efficacy of diabetes mobile applications for adults with type 2 diabetes: A systematic review","type":"article-journal","volume":"131"},"uris":["http://www.mendeley.com/documents/?uuid=4ec80aab-9d8c-4e7b-a08a-6f581b65b07a"]}],"mendeley":{"formattedCitation":"[35]","plainTextFormattedCitation":"[35]","previouslyFormattedCitation":"[35]"},"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[35]</w:t>
            </w:r>
            <w:r w:rsidRPr="003F61C2">
              <w:rPr>
                <w:rFonts w:asciiTheme="majorBidi" w:hAnsiTheme="majorBidi" w:cstheme="majorBidi"/>
                <w:kern w:val="2"/>
                <w:sz w:val="18"/>
                <w:szCs w:val="18"/>
                <w14:ligatures w14:val="standardContextual"/>
              </w:rPr>
              <w:fldChar w:fldCharType="end"/>
            </w:r>
          </w:p>
        </w:tc>
        <w:tc>
          <w:tcPr>
            <w:tcW w:w="0" w:type="auto"/>
            <w:vAlign w:val="center"/>
          </w:tcPr>
          <w:p w14:paraId="0EA76B09"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Nathan et al., 2018</w:t>
            </w:r>
          </w:p>
          <w:p w14:paraId="47C1DFE8" w14:textId="77777777" w:rsidR="000E7EBC" w:rsidRPr="003F61C2" w:rsidRDefault="000E7EBC" w:rsidP="00A87DF7">
            <w:pPr>
              <w:jc w:val="center"/>
              <w:rPr>
                <w:rFonts w:asciiTheme="majorBidi" w:hAnsiTheme="majorBidi" w:cstheme="majorBidi"/>
                <w:noProof/>
                <w:kern w:val="2"/>
                <w:sz w:val="18"/>
                <w:szCs w:val="18"/>
                <w14:ligatures w14:val="standardContextual"/>
              </w:rPr>
            </w:pPr>
            <w:r w:rsidRPr="003F61C2">
              <w:rPr>
                <w:rFonts w:asciiTheme="majorBidi" w:hAnsiTheme="majorBidi" w:cstheme="majorBidi"/>
                <w:sz w:val="18"/>
                <w:szCs w:val="18"/>
              </w:rPr>
              <w:fldChar w:fldCharType="begin" w:fldLock="1"/>
            </w:r>
            <w:r w:rsidRPr="003F61C2">
              <w:rPr>
                <w:rFonts w:asciiTheme="majorBidi" w:hAnsiTheme="majorBidi" w:cstheme="majorBidi"/>
                <w:sz w:val="18"/>
                <w:szCs w:val="18"/>
              </w:rPr>
              <w:instrText>ADDIN CSL_CITATION {"citationItems":[{"id":"ITEM-1","itemData":{"DOI":"10.3923/jeasci.2018.291.297","author":[{"dropping-particle":"","family":"Nathan","given":"S S","non-dropping-particle":"","parse-names":false,"suffix":""},{"dropping-particle":"","family":"Hussain","given":"A","non-dropping-particle":"","parse-names":false,"suffix":""},{"dropping-particle":"","family":"Hashim","given":"N L","non-dropping-particle":"","parse-names":false,"suffix":""}],"container-title":"Journal of Engineering and Applied Sciences","id":"ITEM-1","issue":"2","issued":{"date-parts":[["2018"]]},"note":"Cited By :6\nExport Date: 14 May 2021","page":"291-297","title":"Usability evaluation of DEAF mobile application interface: A systematic review","type":"article-journal","volume":"13"},"uris":["http://www.mendeley.com/documents/?uuid=bc6c27e8-09e7-47e1-b44b-6f2381ab3767"]}],"mendeley":{"formattedCitation":"[36]","plainTextFormattedCitation":"[36]","previouslyFormattedCitation":"[36]"},"properties":{"noteIndex":0},"schema":"https://github.com/citation-style-language/schema/raw/master/csl-citation.json"}</w:instrText>
            </w:r>
            <w:r w:rsidRPr="003F61C2">
              <w:rPr>
                <w:rFonts w:asciiTheme="majorBidi" w:hAnsiTheme="majorBidi" w:cstheme="majorBidi"/>
                <w:sz w:val="18"/>
                <w:szCs w:val="18"/>
              </w:rPr>
              <w:fldChar w:fldCharType="separate"/>
            </w:r>
            <w:r w:rsidRPr="003F61C2">
              <w:rPr>
                <w:rFonts w:asciiTheme="majorBidi" w:hAnsiTheme="majorBidi" w:cstheme="majorBidi"/>
                <w:noProof/>
                <w:sz w:val="18"/>
                <w:szCs w:val="18"/>
              </w:rPr>
              <w:t>[36]</w:t>
            </w:r>
            <w:r w:rsidRPr="003F61C2">
              <w:rPr>
                <w:rFonts w:asciiTheme="majorBidi" w:hAnsiTheme="majorBidi" w:cstheme="majorBidi"/>
                <w:sz w:val="18"/>
                <w:szCs w:val="18"/>
              </w:rPr>
              <w:fldChar w:fldCharType="end"/>
            </w:r>
          </w:p>
        </w:tc>
        <w:tc>
          <w:tcPr>
            <w:tcW w:w="0" w:type="auto"/>
            <w:vAlign w:val="center"/>
          </w:tcPr>
          <w:p w14:paraId="73B7A47D" w14:textId="77777777" w:rsidR="000E7EBC" w:rsidRPr="003F61C2" w:rsidRDefault="000E7EBC" w:rsidP="00A87DF7">
            <w:pPr>
              <w:jc w:val="center"/>
              <w:rPr>
                <w:rFonts w:asciiTheme="majorBidi" w:eastAsiaTheme="majorEastAsia" w:hAnsiTheme="majorBidi" w:cstheme="majorBidi"/>
                <w:sz w:val="18"/>
                <w:szCs w:val="18"/>
              </w:rPr>
            </w:pPr>
            <w:r w:rsidRPr="003F61C2">
              <w:rPr>
                <w:rFonts w:asciiTheme="majorBidi" w:hAnsiTheme="majorBidi" w:cstheme="majorBidi"/>
                <w:sz w:val="18"/>
                <w:szCs w:val="18"/>
              </w:rPr>
              <w:t>Patel et al., 2020</w:t>
            </w:r>
          </w:p>
          <w:p w14:paraId="672E4E1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kern w:val="2"/>
                <w:sz w:val="18"/>
                <w:szCs w:val="18"/>
                <w14:ligatures w14:val="standardContextual"/>
              </w:rPr>
              <w:fldChar w:fldCharType="begin" w:fldLock="1"/>
            </w:r>
            <w:r w:rsidRPr="003F61C2">
              <w:rPr>
                <w:rFonts w:asciiTheme="majorBidi" w:hAnsiTheme="majorBidi" w:cstheme="majorBidi"/>
                <w:kern w:val="2"/>
                <w:sz w:val="18"/>
                <w:szCs w:val="18"/>
                <w14:ligatures w14:val="standardContextual"/>
              </w:rPr>
              <w:instrText>ADDIN CSL_CITATION {"citationItems":[{"id":"ITEM-1","itemData":{"DOI":"10.2196/19099","ISSN":"2561-9128 (Electronic)","PMID":"33393925","abstract":"BACKGROUND: Mobile health (mHealth) apps are increasingly used postoperatively to  monitor, educate, and rehabilitate. The usability of mHealth apps is critical to their implementation. OBJECTIVE: This systematic review evaluates the (1) methodology of usability analyses, (2) domains of usability being assessed, and (3) results of usability analyses. METHODS: The A Measurement Tool to Assess Systematic Reviews checklist was consulted. The Preferred Reporting Items for Systematic Reviews and Meta-Analyses reporting guideline was adhered to. Screening was undertaken by 2 independent reviewers. All included studies were assessed for risk of bias. Domains of usability were compared with the gold-standard mHealth App Usability Questionnaire (MAUQ). RESULTS: A total of 33 of 720 identified studies were included for data extraction. Of the 5 included randomized controlled trials (RCTs), usability was never the primary end point. Methodology of usability analyses included interview (10/33), self-created questionnaire (18/33), and validated questionnaire (9/33). Of the 3 domains of usability proposed in the MAUQ, satisfaction was assessed in 28 of the 33 studies, system information arrangement was assessed in 11 of the 33 studies, and usefulness was assessed in 18 of the 33 studies. Usability of mHealth apps was above industry average, with median System Usability Scale scores ranging from 76 to 95 out of 100. CONCLUSIONS: Current analyses of mHealth app usability are substandard. RCTs are rare, and validated questionnaires are infrequently consulted. Of the 3 domains of usability, only satisfaction is regularly assessed. There is significant bias throughout the literature, particularly with regards to conflicts of interest. Future studies should adhere to the MAUQ to assess usability and improve the utility of mHealth apps.","author":[{"dropping-particle":"","family":"Patel","given":"Ben","non-dropping-particle":"","parse-names":false,"suffix":""},{"dropping-particle":"","family":"Thind","given":"Arron","non-dropping-particle":"","parse-names":false,"suffix":""}],"container-title":"JMIR perioperative medicine","id":"ITEM-1","issue":"2","issued":{"date-parts":[["2020","7"]]},"language":"eng","page":"e19099","title":"Usability of Mobile Health Apps for Postoperative Care: Systematic Review.","type":"article-journal","volume":"3"},"uris":["http://www.mendeley.com/documents/?uuid=e3cd93e2-bb68-414e-84ba-c9b0cebdcd86"]}],"mendeley":{"formattedCitation":"[13]","plainTextFormattedCitation":"[13]","previouslyFormattedCitation":"[13]"},"properties":{"noteIndex":0},"schema":"https://github.com/citation-style-language/schema/raw/master/csl-citation.json"}</w:instrText>
            </w:r>
            <w:r w:rsidRPr="003F61C2">
              <w:rPr>
                <w:rFonts w:asciiTheme="majorBidi" w:hAnsiTheme="majorBidi" w:cstheme="majorBidi"/>
                <w:kern w:val="2"/>
                <w:sz w:val="18"/>
                <w:szCs w:val="18"/>
                <w14:ligatures w14:val="standardContextual"/>
              </w:rPr>
              <w:fldChar w:fldCharType="separate"/>
            </w:r>
            <w:r w:rsidRPr="003F61C2">
              <w:rPr>
                <w:rFonts w:asciiTheme="majorBidi" w:hAnsiTheme="majorBidi" w:cstheme="majorBidi"/>
                <w:noProof/>
                <w:kern w:val="2"/>
                <w:sz w:val="18"/>
                <w:szCs w:val="18"/>
                <w14:ligatures w14:val="standardContextual"/>
              </w:rPr>
              <w:t>[13]</w:t>
            </w:r>
            <w:r w:rsidRPr="003F61C2">
              <w:rPr>
                <w:rFonts w:asciiTheme="majorBidi" w:hAnsiTheme="majorBidi" w:cstheme="majorBidi"/>
                <w:kern w:val="2"/>
                <w:sz w:val="18"/>
                <w:szCs w:val="18"/>
                <w14:ligatures w14:val="standardContextual"/>
              </w:rPr>
              <w:fldChar w:fldCharType="end"/>
            </w:r>
          </w:p>
        </w:tc>
        <w:tc>
          <w:tcPr>
            <w:tcW w:w="0" w:type="auto"/>
            <w:vAlign w:val="center"/>
          </w:tcPr>
          <w:p w14:paraId="76778E5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Proportion with item present</w:t>
            </w:r>
          </w:p>
        </w:tc>
      </w:tr>
      <w:tr w:rsidR="000E7EBC" w:rsidRPr="003F61C2" w14:paraId="76DDADF8" w14:textId="77777777" w:rsidTr="00A87DF7">
        <w:trPr>
          <w:trHeight w:val="531"/>
        </w:trPr>
        <w:tc>
          <w:tcPr>
            <w:tcW w:w="0" w:type="auto"/>
            <w:vAlign w:val="center"/>
          </w:tcPr>
          <w:p w14:paraId="2EFE97A7"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1. Was an 'a priori' design provided?</w:t>
            </w:r>
          </w:p>
        </w:tc>
        <w:tc>
          <w:tcPr>
            <w:tcW w:w="1331" w:type="dxa"/>
            <w:vAlign w:val="center"/>
          </w:tcPr>
          <w:p w14:paraId="780CB56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1407" w:type="dxa"/>
            <w:vAlign w:val="center"/>
          </w:tcPr>
          <w:p w14:paraId="1A99666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986" w:type="dxa"/>
            <w:vAlign w:val="center"/>
          </w:tcPr>
          <w:p w14:paraId="09F93EE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9EDF49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78CCF6D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6A26292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550502F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3C4EF8F2"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3CB13F7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1/8</w:t>
            </w:r>
          </w:p>
        </w:tc>
      </w:tr>
      <w:tr w:rsidR="000E7EBC" w:rsidRPr="003F61C2" w14:paraId="45BDA137" w14:textId="77777777" w:rsidTr="00A87DF7">
        <w:trPr>
          <w:trHeight w:val="567"/>
        </w:trPr>
        <w:tc>
          <w:tcPr>
            <w:tcW w:w="0" w:type="auto"/>
            <w:vAlign w:val="center"/>
          </w:tcPr>
          <w:p w14:paraId="31680432"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2. Was there duplicate study selection and data extraction?</w:t>
            </w:r>
          </w:p>
        </w:tc>
        <w:tc>
          <w:tcPr>
            <w:tcW w:w="1331" w:type="dxa"/>
            <w:vAlign w:val="center"/>
          </w:tcPr>
          <w:p w14:paraId="7E75CAC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07F2161C"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986" w:type="dxa"/>
            <w:vAlign w:val="center"/>
          </w:tcPr>
          <w:p w14:paraId="6D46D88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51EEBC1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4EB3A08A"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5C22BF9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3C1C446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23788FF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336BB55"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5/9</w:t>
            </w:r>
          </w:p>
        </w:tc>
      </w:tr>
      <w:tr w:rsidR="000E7EBC" w:rsidRPr="003F61C2" w14:paraId="7C9E79EA" w14:textId="77777777" w:rsidTr="00A87DF7">
        <w:trPr>
          <w:trHeight w:val="259"/>
        </w:trPr>
        <w:tc>
          <w:tcPr>
            <w:tcW w:w="0" w:type="auto"/>
            <w:vAlign w:val="center"/>
          </w:tcPr>
          <w:p w14:paraId="16DEA60E"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3. Was a comprehensive literature search performed?</w:t>
            </w:r>
          </w:p>
        </w:tc>
        <w:tc>
          <w:tcPr>
            <w:tcW w:w="1331" w:type="dxa"/>
            <w:vAlign w:val="center"/>
          </w:tcPr>
          <w:p w14:paraId="7695303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5467929C"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2470426A"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01B0AAE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719879CA"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0185247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BD57B6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77EB9D1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24F5969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8/8</w:t>
            </w:r>
          </w:p>
        </w:tc>
      </w:tr>
      <w:tr w:rsidR="000E7EBC" w:rsidRPr="003F61C2" w14:paraId="27A376D3" w14:textId="77777777" w:rsidTr="00A87DF7">
        <w:trPr>
          <w:trHeight w:val="259"/>
        </w:trPr>
        <w:tc>
          <w:tcPr>
            <w:tcW w:w="0" w:type="auto"/>
            <w:vAlign w:val="center"/>
          </w:tcPr>
          <w:p w14:paraId="66B7F127"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4. Was the status of publication used as an inclusion criterion?</w:t>
            </w:r>
          </w:p>
        </w:tc>
        <w:tc>
          <w:tcPr>
            <w:tcW w:w="1331" w:type="dxa"/>
            <w:vAlign w:val="center"/>
          </w:tcPr>
          <w:p w14:paraId="39AB5BC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1407" w:type="dxa"/>
            <w:vAlign w:val="center"/>
          </w:tcPr>
          <w:p w14:paraId="7DECCFBC"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986" w:type="dxa"/>
            <w:vAlign w:val="center"/>
          </w:tcPr>
          <w:p w14:paraId="00EA557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38DD549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1E027AE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6031934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68EC272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46A779A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21F3F8F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1/8</w:t>
            </w:r>
          </w:p>
        </w:tc>
      </w:tr>
      <w:tr w:rsidR="000E7EBC" w:rsidRPr="003F61C2" w14:paraId="4F6937BD" w14:textId="77777777" w:rsidTr="00A87DF7">
        <w:trPr>
          <w:trHeight w:val="259"/>
        </w:trPr>
        <w:tc>
          <w:tcPr>
            <w:tcW w:w="0" w:type="auto"/>
            <w:vAlign w:val="center"/>
          </w:tcPr>
          <w:p w14:paraId="451234A0"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5. Was a list of studies provided?</w:t>
            </w:r>
          </w:p>
        </w:tc>
        <w:tc>
          <w:tcPr>
            <w:tcW w:w="1331" w:type="dxa"/>
            <w:vAlign w:val="center"/>
          </w:tcPr>
          <w:p w14:paraId="6679ABE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64C48539"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6237C069"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0FDD5AC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9F06DF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57B694BC"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1274D68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2755BD0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1F42595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7/8</w:t>
            </w:r>
          </w:p>
        </w:tc>
      </w:tr>
      <w:tr w:rsidR="000E7EBC" w:rsidRPr="003F61C2" w14:paraId="168F90DE" w14:textId="77777777" w:rsidTr="00A87DF7">
        <w:trPr>
          <w:trHeight w:val="271"/>
        </w:trPr>
        <w:tc>
          <w:tcPr>
            <w:tcW w:w="0" w:type="auto"/>
            <w:vAlign w:val="center"/>
          </w:tcPr>
          <w:p w14:paraId="128C3A29"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6. Were the characteristics of the included studies provided?</w:t>
            </w:r>
          </w:p>
        </w:tc>
        <w:tc>
          <w:tcPr>
            <w:tcW w:w="1331" w:type="dxa"/>
            <w:vAlign w:val="center"/>
          </w:tcPr>
          <w:p w14:paraId="289FEAF9"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1A060F2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7580039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4B16891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A959A3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1849CA35"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1DF1CC2"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475F1F95"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274B808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7/8</w:t>
            </w:r>
          </w:p>
        </w:tc>
      </w:tr>
      <w:tr w:rsidR="000E7EBC" w:rsidRPr="003F61C2" w14:paraId="3CB4A8E9" w14:textId="77777777" w:rsidTr="00A87DF7">
        <w:trPr>
          <w:trHeight w:val="259"/>
        </w:trPr>
        <w:tc>
          <w:tcPr>
            <w:tcW w:w="0" w:type="auto"/>
            <w:vAlign w:val="center"/>
          </w:tcPr>
          <w:p w14:paraId="1CB560DA"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7. Was the scientific quality of the included studies assessed and documented?</w:t>
            </w:r>
          </w:p>
        </w:tc>
        <w:tc>
          <w:tcPr>
            <w:tcW w:w="1331" w:type="dxa"/>
            <w:vAlign w:val="center"/>
          </w:tcPr>
          <w:p w14:paraId="75515A9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4D0E4DE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38D0073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1FB1907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79FFE3A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8CD168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1EE6B80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142E9CB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5B3FE15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6/8</w:t>
            </w:r>
          </w:p>
        </w:tc>
      </w:tr>
      <w:tr w:rsidR="000E7EBC" w:rsidRPr="003F61C2" w14:paraId="5857B6F0" w14:textId="77777777" w:rsidTr="00A87DF7">
        <w:trPr>
          <w:trHeight w:val="259"/>
        </w:trPr>
        <w:tc>
          <w:tcPr>
            <w:tcW w:w="0" w:type="auto"/>
            <w:vAlign w:val="center"/>
          </w:tcPr>
          <w:p w14:paraId="79C0D878"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8. Was the scientific quality of the included studies used appropriately in formulating conclusions?</w:t>
            </w:r>
          </w:p>
        </w:tc>
        <w:tc>
          <w:tcPr>
            <w:tcW w:w="1331" w:type="dxa"/>
            <w:vAlign w:val="center"/>
          </w:tcPr>
          <w:p w14:paraId="763D6E0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1407" w:type="dxa"/>
            <w:vAlign w:val="center"/>
          </w:tcPr>
          <w:p w14:paraId="2DB2D4E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986" w:type="dxa"/>
            <w:vAlign w:val="center"/>
          </w:tcPr>
          <w:p w14:paraId="409DFA4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079772A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58152F2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FBDD802"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7114A87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408F614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5793B37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4/8</w:t>
            </w:r>
          </w:p>
        </w:tc>
      </w:tr>
      <w:tr w:rsidR="000E7EBC" w:rsidRPr="003F61C2" w14:paraId="63ED84A7" w14:textId="77777777" w:rsidTr="00A87DF7">
        <w:trPr>
          <w:trHeight w:val="259"/>
        </w:trPr>
        <w:tc>
          <w:tcPr>
            <w:tcW w:w="0" w:type="auto"/>
            <w:vAlign w:val="center"/>
          </w:tcPr>
          <w:p w14:paraId="3811FA91"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9. Were the methods used to combine the findings of studies appropriate?</w:t>
            </w:r>
          </w:p>
        </w:tc>
        <w:tc>
          <w:tcPr>
            <w:tcW w:w="1331" w:type="dxa"/>
            <w:vAlign w:val="center"/>
          </w:tcPr>
          <w:p w14:paraId="24C65D4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68F6178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43F19DF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2745D33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CC5A21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04E7A7B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4619F82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D513CB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092344E"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8/8</w:t>
            </w:r>
          </w:p>
        </w:tc>
      </w:tr>
      <w:tr w:rsidR="000E7EBC" w:rsidRPr="003F61C2" w14:paraId="1606920A" w14:textId="77777777" w:rsidTr="00A87DF7">
        <w:trPr>
          <w:trHeight w:val="259"/>
        </w:trPr>
        <w:tc>
          <w:tcPr>
            <w:tcW w:w="0" w:type="auto"/>
            <w:vAlign w:val="center"/>
          </w:tcPr>
          <w:p w14:paraId="2A06DF39"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10. Was the likelihood of publication bias assessed?</w:t>
            </w:r>
          </w:p>
        </w:tc>
        <w:tc>
          <w:tcPr>
            <w:tcW w:w="1331" w:type="dxa"/>
            <w:vAlign w:val="center"/>
          </w:tcPr>
          <w:p w14:paraId="64AE5E6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1407" w:type="dxa"/>
            <w:vAlign w:val="center"/>
          </w:tcPr>
          <w:p w14:paraId="10688750"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986" w:type="dxa"/>
            <w:vAlign w:val="center"/>
          </w:tcPr>
          <w:p w14:paraId="151BBF2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6480689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2D3988F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1348BF08"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68D55212"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5ABA7745"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3E7E802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0/8</w:t>
            </w:r>
          </w:p>
        </w:tc>
      </w:tr>
      <w:tr w:rsidR="000E7EBC" w:rsidRPr="003F61C2" w14:paraId="59A82745" w14:textId="77777777" w:rsidTr="00A87DF7">
        <w:trPr>
          <w:trHeight w:val="271"/>
        </w:trPr>
        <w:tc>
          <w:tcPr>
            <w:tcW w:w="0" w:type="auto"/>
            <w:vAlign w:val="center"/>
          </w:tcPr>
          <w:p w14:paraId="151D3C83"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11. Was the conflict of interest stated?</w:t>
            </w:r>
          </w:p>
        </w:tc>
        <w:tc>
          <w:tcPr>
            <w:tcW w:w="1331" w:type="dxa"/>
            <w:vAlign w:val="center"/>
          </w:tcPr>
          <w:p w14:paraId="1DA72DE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1407" w:type="dxa"/>
            <w:vAlign w:val="center"/>
          </w:tcPr>
          <w:p w14:paraId="3197E4BC"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986" w:type="dxa"/>
            <w:vAlign w:val="center"/>
          </w:tcPr>
          <w:p w14:paraId="2B2ECB8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D42BB9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442400AD"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343ABEB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4CB46D5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No</w:t>
            </w:r>
          </w:p>
        </w:tc>
        <w:tc>
          <w:tcPr>
            <w:tcW w:w="0" w:type="auto"/>
            <w:vAlign w:val="center"/>
          </w:tcPr>
          <w:p w14:paraId="40D2A4A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Yes</w:t>
            </w:r>
          </w:p>
        </w:tc>
        <w:tc>
          <w:tcPr>
            <w:tcW w:w="0" w:type="auto"/>
            <w:vAlign w:val="center"/>
          </w:tcPr>
          <w:p w14:paraId="6C03678B"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6/8</w:t>
            </w:r>
          </w:p>
        </w:tc>
      </w:tr>
      <w:tr w:rsidR="000E7EBC" w:rsidRPr="003F61C2" w14:paraId="6F0D6CCC" w14:textId="77777777" w:rsidTr="00A87DF7">
        <w:trPr>
          <w:trHeight w:val="259"/>
        </w:trPr>
        <w:tc>
          <w:tcPr>
            <w:tcW w:w="0" w:type="auto"/>
            <w:vAlign w:val="center"/>
          </w:tcPr>
          <w:p w14:paraId="22F771F0" w14:textId="77777777" w:rsidR="000E7EBC" w:rsidRPr="003F61C2" w:rsidRDefault="000E7EBC" w:rsidP="00A87DF7">
            <w:pPr>
              <w:rPr>
                <w:rFonts w:asciiTheme="majorBidi" w:hAnsiTheme="majorBidi" w:cstheme="majorBidi"/>
                <w:sz w:val="18"/>
                <w:szCs w:val="18"/>
              </w:rPr>
            </w:pPr>
            <w:r w:rsidRPr="003F61C2">
              <w:rPr>
                <w:rFonts w:asciiTheme="majorBidi" w:hAnsiTheme="majorBidi" w:cstheme="majorBidi"/>
                <w:sz w:val="18"/>
                <w:szCs w:val="18"/>
              </w:rPr>
              <w:t>Total score (out of 11)</w:t>
            </w:r>
          </w:p>
        </w:tc>
        <w:tc>
          <w:tcPr>
            <w:tcW w:w="1331" w:type="dxa"/>
            <w:vAlign w:val="center"/>
          </w:tcPr>
          <w:p w14:paraId="09DABEE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7</w:t>
            </w:r>
          </w:p>
        </w:tc>
        <w:tc>
          <w:tcPr>
            <w:tcW w:w="1407" w:type="dxa"/>
            <w:vAlign w:val="center"/>
          </w:tcPr>
          <w:p w14:paraId="27DB99E3"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6</w:t>
            </w:r>
          </w:p>
        </w:tc>
        <w:tc>
          <w:tcPr>
            <w:tcW w:w="986" w:type="dxa"/>
            <w:vAlign w:val="center"/>
          </w:tcPr>
          <w:p w14:paraId="2EAB62BF"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9</w:t>
            </w:r>
          </w:p>
        </w:tc>
        <w:tc>
          <w:tcPr>
            <w:tcW w:w="0" w:type="auto"/>
            <w:vAlign w:val="center"/>
          </w:tcPr>
          <w:p w14:paraId="7FF80596"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7</w:t>
            </w:r>
          </w:p>
        </w:tc>
        <w:tc>
          <w:tcPr>
            <w:tcW w:w="0" w:type="auto"/>
            <w:vAlign w:val="center"/>
          </w:tcPr>
          <w:p w14:paraId="68FB4147"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8</w:t>
            </w:r>
          </w:p>
        </w:tc>
        <w:tc>
          <w:tcPr>
            <w:tcW w:w="0" w:type="auto"/>
            <w:vAlign w:val="center"/>
          </w:tcPr>
          <w:p w14:paraId="0A042F51"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7</w:t>
            </w:r>
          </w:p>
        </w:tc>
        <w:tc>
          <w:tcPr>
            <w:tcW w:w="0" w:type="auto"/>
            <w:vAlign w:val="center"/>
          </w:tcPr>
          <w:p w14:paraId="5D97E6D4"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3</w:t>
            </w:r>
          </w:p>
        </w:tc>
        <w:tc>
          <w:tcPr>
            <w:tcW w:w="0" w:type="auto"/>
            <w:vAlign w:val="center"/>
          </w:tcPr>
          <w:p w14:paraId="277F39E5" w14:textId="77777777" w:rsidR="000E7EBC" w:rsidRPr="003F61C2" w:rsidRDefault="000E7EBC" w:rsidP="00A87DF7">
            <w:pPr>
              <w:jc w:val="center"/>
              <w:rPr>
                <w:rFonts w:asciiTheme="majorBidi" w:hAnsiTheme="majorBidi" w:cstheme="majorBidi"/>
                <w:sz w:val="18"/>
                <w:szCs w:val="18"/>
              </w:rPr>
            </w:pPr>
            <w:r w:rsidRPr="003F61C2">
              <w:rPr>
                <w:rFonts w:asciiTheme="majorBidi" w:hAnsiTheme="majorBidi" w:cstheme="majorBidi"/>
                <w:sz w:val="18"/>
                <w:szCs w:val="18"/>
              </w:rPr>
              <w:t>6</w:t>
            </w:r>
          </w:p>
        </w:tc>
        <w:tc>
          <w:tcPr>
            <w:tcW w:w="0" w:type="auto"/>
            <w:shd w:val="clear" w:color="auto" w:fill="A6A6A6" w:themeFill="background1" w:themeFillShade="A6"/>
            <w:vAlign w:val="center"/>
          </w:tcPr>
          <w:p w14:paraId="56DCC8BA" w14:textId="77777777" w:rsidR="000E7EBC" w:rsidRPr="003F61C2" w:rsidRDefault="000E7EBC" w:rsidP="00A87DF7">
            <w:pPr>
              <w:jc w:val="center"/>
              <w:rPr>
                <w:rFonts w:asciiTheme="majorBidi" w:hAnsiTheme="majorBidi" w:cstheme="majorBidi"/>
                <w:color w:val="A6A6A6" w:themeColor="background1" w:themeShade="A6"/>
                <w:sz w:val="18"/>
                <w:szCs w:val="18"/>
              </w:rPr>
            </w:pPr>
          </w:p>
        </w:tc>
      </w:tr>
    </w:tbl>
    <w:p w14:paraId="145B7948" w14:textId="77777777" w:rsidR="00000000" w:rsidRDefault="00000000"/>
    <w:sectPr w:rsidR="00F45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BC"/>
    <w:rsid w:val="000E7EBC"/>
    <w:rsid w:val="0049394F"/>
    <w:rsid w:val="00AA622E"/>
    <w:rsid w:val="00DA094F"/>
    <w:rsid w:val="00E03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7BD3"/>
  <w15:chartTrackingRefBased/>
  <w15:docId w15:val="{AFCB592A-7648-4B32-A19D-8733FD1B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EB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7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3534</Words>
  <Characters>20144</Characters>
  <Application>Microsoft Office Word</Application>
  <DocSecurity>0</DocSecurity>
  <Lines>167</Lines>
  <Paragraphs>47</Paragraphs>
  <ScaleCrop>false</ScaleCrop>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2023-12-22T13:01:00Z</dcterms:created>
  <dcterms:modified xsi:type="dcterms:W3CDTF">2023-12-22T13:01:00Z</dcterms:modified>
</cp:coreProperties>
</file>