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Abbas, J., et al. (2021). "The Role of Vertebral Morphometry in the Pathogenesis of Degenerative Lumbar Spinal Stenosis." </w:t>
      </w:r>
      <w:r w:rsidRPr="00637692">
        <w:rPr>
          <w:rFonts w:ascii="Times New Roman" w:hAnsi="Times New Roman" w:cs="Times New Roman"/>
          <w:noProof/>
          <w:sz w:val="24"/>
          <w:u w:val="single"/>
        </w:rPr>
        <w:t>Biomed Res Int</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2021</w:t>
      </w:r>
      <w:r w:rsidRPr="00637692">
        <w:rPr>
          <w:rFonts w:ascii="Times New Roman" w:hAnsi="Times New Roman" w:cs="Times New Roman"/>
          <w:noProof/>
          <w:sz w:val="24"/>
        </w:rPr>
        <w:t>: 7093745.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The aim of the current study was to establish whether the vertebral morphometry (e.g., vertebral body width and spinal canal diameters) is associated with degenerative lumbar spinal stenosis (DLSS). A retrospective computerized tomography (CT) study from L1 to L5 for two sample populations was used. The first included 165 participants with symptomatic DLSS (sex ratio 80 M/85F), and the second had 180 individuals from the general population (sex ratio: 90 M/90F). Vertebral body length (VL) and width (VW) were significantly greater in the stenosis males and females compared to their counterparts in the control. The mean VL in the stenosis males was 31.3 mm at L1, 32.6 mm at L2, 34 mm at L3, 34.1 mm at L4, and 34.5 at L5 compared to 29.9 mm, 31.3 mm, 32.6 mm, 32.8 mm, and 32.9, respectively, in the control group (P &lt;/= 0.003). Additionally, the bony anterior-posterior (AP) canal diameters and cross-sectional area (CSA) were significantly smaller in the stenosis group compared to the control. The mean AP canal values in the stenosis males were 17.8 mm at L1, 16.6 mm at L2, 15.4 mm at L3, 15.6 mm at L4, and 16.1 at L5 compared to 18.7, 17.8, 16.9, 17.6, and 18.8, respectively, in the control group. Vertebral length (OR-1.273 to 1.473; P &lt;/= 0.002), AP canal diameter (OR-0.474 to 0.664; P &lt;/= 0.007), and laminar inclination (OR-0.901 to 0.856; P &lt;/= 0.025) were significantly associated with DLSS. Our study revealed that vertebral morphometry has a role in DLSS development.</w:t>
      </w: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lastRenderedPageBreak/>
        <w:t xml:space="preserve">Abudou, M., et al. (2013). "Surgical versus non-surgical treatment for thoracolumbar burst fractures without neurological deficit." </w:t>
      </w:r>
      <w:r w:rsidRPr="00637692">
        <w:rPr>
          <w:rFonts w:ascii="Times New Roman" w:hAnsi="Times New Roman" w:cs="Times New Roman"/>
          <w:noProof/>
          <w:sz w:val="24"/>
          <w:u w:val="single"/>
        </w:rPr>
        <w:t>Cochrane Database Syst Rev</w:t>
      </w:r>
      <w:r w:rsidRPr="00637692">
        <w:rPr>
          <w:rFonts w:ascii="Times New Roman" w:hAnsi="Times New Roman" w:cs="Times New Roman"/>
          <w:noProof/>
          <w:sz w:val="24"/>
        </w:rPr>
        <w:t>(6): CD005079.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Spinal burst fractures result from the failure of both the anterior and the middle columns of the spine under axial compression loads. Conservative management is through bed rest and immobilisation once the acute symptoms have settled. Surgical treatment involves either anterior or posterior stabilisation of the fracture, sometimes with decompression involving the removal of bone fragments that have intruded into the vertebral canal. This is an update of a review first published in 2006. OBJECTIVES: To compare the outcomes of surgical with non-surgical treatment for thoracolumbar burst fractures without neurological deficit. SEARCH METHODS: We searched the Cochrane Bone, Joint and Muscle Trauma Group Specialised Register (October 2012), the Cochrane Central Register of Controlled Trials (CENTRAL) (The Cochrane Library 2012, Issue 8), MEDLINE (1946 to October 2012), EMBASE (1980 to October 2012) and the Chinese Biomedical Literature Database (1978 to October 2012). We also searched trial registers and reference lists of articles. SELECTION CRITERIA: Randomised or quasi-randomised controlled trials comparing surgical with non-surgical treatment of thoracolumbar burst fractures without neurological deficit. DATA COLLECTION AND ANALYSIS: Two review authors independently assessed risk of bias and extracted data independently. Only limited pooling of data was done. MAIN RESULTS: We </w:t>
      </w:r>
      <w:r w:rsidRPr="00637692">
        <w:rPr>
          <w:rFonts w:ascii="Times New Roman" w:hAnsi="Times New Roman" w:cs="Times New Roman"/>
          <w:noProof/>
          <w:sz w:val="24"/>
        </w:rPr>
        <w:lastRenderedPageBreak/>
        <w:t>included two trials that compared surgical with non-surgical treatment for patients with thoracolumbar burst fractures without neurological deficit. These recruited a total of 87 participants and reported outcomes for 79 participants at follow-up of two years or more. Both trials were judged at unclear risk of selection bias and at high risk of performance and detection biases, resulting from lack of blinding.The two trials reported contrasting results for pain and function-related outcomes at final follow-up, and numbers returning to work. One trial found less pain (mean difference (MD) -15.09 mm, 95% CI -27.81 to -2.37; 100 mm visual analogue scale), and better function based on the Roland and Morris disability questionnaire results (MD -5.87, 95% CI -10.10 to -1.64; 24 points = maximum disability) in the surgical group. Based on the same outcome measures, the other trial found the surgical group had more pain (MD 13.60 mm, 95% CI -0.31 to 27.51) and worse function (MD 4.31, 95% CI 0.54 to 8.08). Neither trial reported a statistically significant difference in return to work. There were greater numbers of participants with complications in the surgical group of both trials (21/41 versus 6/38; RR 2.85, 95% CI 0.83 to 9.75; 2 trials), and only participants of this group had subsequent surgery, involving implant removal either for complications or as a matter of course. One trial reported that surgery was over four times more costly than non-surgical treatment. AUTHORS' CONCLUSIONS: The contradictory evidence provided by two small and potentially biased randomised controlled trials is insufficient to conclude whether surgical or non-surgic</w:t>
      </w:r>
      <w:bookmarkStart w:id="0" w:name="_GoBack"/>
      <w:bookmarkEnd w:id="0"/>
      <w:r w:rsidRPr="00637692">
        <w:rPr>
          <w:rFonts w:ascii="Times New Roman" w:hAnsi="Times New Roman" w:cs="Times New Roman"/>
          <w:noProof/>
          <w:sz w:val="24"/>
        </w:rPr>
        <w:t xml:space="preserve">al treatment yields superior pain and </w:t>
      </w:r>
      <w:r w:rsidRPr="00637692">
        <w:rPr>
          <w:rFonts w:ascii="Times New Roman" w:hAnsi="Times New Roman" w:cs="Times New Roman"/>
          <w:noProof/>
          <w:sz w:val="24"/>
        </w:rPr>
        <w:lastRenderedPageBreak/>
        <w:t>functional outcomes for people with thoracolumbar burst fractures without neurological deficit. It is likely, however, that surgery is associated with more early complications and the need for subsequent surgery, as well as greater initial healthcare costs.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Ahmad, I., et al. (2023). "Exploring the Nexus of lower extremity proprioception and postural stability in older adults with osteoporosis: a cross-sectional investigation." </w:t>
      </w:r>
      <w:r w:rsidRPr="00637692">
        <w:rPr>
          <w:rFonts w:ascii="Times New Roman" w:hAnsi="Times New Roman" w:cs="Times New Roman"/>
          <w:noProof/>
          <w:sz w:val="24"/>
          <w:u w:val="single"/>
        </w:rPr>
        <w:t>Front Public Health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11</w:t>
      </w:r>
      <w:r w:rsidRPr="00637692">
        <w:rPr>
          <w:rFonts w:ascii="Times New Roman" w:hAnsi="Times New Roman" w:cs="Times New Roman"/>
          <w:noProof/>
          <w:sz w:val="24"/>
        </w:rPr>
        <w:t>: 1287223.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Osteoporosis, characterized by reduced bone mass and micro-architectural deterioration, poses a significant public health concern due to increased fracture susceptibility. Beyond bone health, this cross-sectional study aimed to assess and compare lower extremity proprioception and postural stability in individuals with and without osteoporosis and to explore their correlation within the osteoporosis group. METHOD: In this prospective cross-sectional study, 80 participants were divided into two groups: osteoporosis (n = 40) and control (n = 40). The demographic characteristics and clinical parameters of the participants were as follows: Age (years) - Osteoporosis group: 65.04 +/- 4.33, Control group: 65.24 +/- 4.63; Sex (%) - Osteoporosis group: Male 30%, Female 70%; Control group: Male 30%, Female 70%; Body mass index (kg/m(2)) - Osteoporosis group: 23.7 +/- 3.2, Control group: 24.5 +/- 4.6; T-score (Lumbar) - Osteoporosis group: -2.86 +/- 1.23, Control group: 0.27 +/- 0.58; T-score (hip) - Osteoporosis group: -2.28 +/- 0.79, Control group: 0.68 +/- </w:t>
      </w:r>
      <w:r w:rsidRPr="00637692">
        <w:rPr>
          <w:rFonts w:ascii="Times New Roman" w:hAnsi="Times New Roman" w:cs="Times New Roman"/>
          <w:noProof/>
          <w:sz w:val="24"/>
        </w:rPr>
        <w:lastRenderedPageBreak/>
        <w:t>0.86. Joint Position Sense (JPS) at the hip, knee, and ankle was assessed using a digital inclinometer, and postural stability was measured using computerized force platforms. RESULT: Osteoporosis participants exhibited higher errors in hip (5.63 degrees vs. 2.36 degrees ), knee (4.86 degrees vs. 1.98 degrees ), and ankle (4.46 degrees vs. 2.02 degrees ) JPS compared to controls. Postural stability measures showed increased anterior-posterior sway (10.86 mm vs. 3.98 mm), medial-lateral sway (8.67 mm vs. 2.89 mm), and ellipse area (966.88 mm(2) vs. 446.19 mm(2)) in osteoporosis participants. Furthermore, correlation analyses within the osteoporosis group unveiled significant positive associations between lower extremity proprioception and postural stability. Specifically, hip JPS exhibited a strong positive correlation with anterior-posterior sway (r = 0.493, p = 0.003), medial-lateral sway (r = 0.485, p = 0.003), and ellipse area (r = 0.496, p &lt; 0.001). Knee JPS displayed a moderate positive correlation with anterior-posterior sway (r = 0.397, p = 0.012), medial-lateral sway (r = 0.337, p = 0.032), and ellipse area (r = 0.378, p &lt; 0.001). Similarly, ankle JPS showed a moderate positive correlation with anterior-posterior sway (r = 0.373, p = 0.023), medial-lateral sway (r = 0.308, p = 0.045), and ellipse area (r = 0.368, p = 0.021). CONCLUSION: These findings underscore the interplay between proprioceptive deficits, compromised postural stability, and osteoporosis, emphasizing the need for targeted interventions to improve fall prevention strategies and enhance the quality of life for individuals with osteoporosis.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Alimi, M., et al. (2014). "Radiological and clinical outcomes following extreme lateral interbody fusion."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20</w:t>
      </w:r>
      <w:r w:rsidRPr="00637692">
        <w:rPr>
          <w:rFonts w:ascii="Times New Roman" w:hAnsi="Times New Roman" w:cs="Times New Roman"/>
          <w:noProof/>
          <w:sz w:val="24"/>
        </w:rPr>
        <w:t>(6): 623-635.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 Extreme lateral interbody fusion (ELIF) is a popular technique for anterior fixation of the thoracolumbar spine. Clinical and radiological outcome studies are required to assess safety and efficacy. The aim of this study was to describe the functional and radiological impact of ELIF in a degenerative disc disease population with a longer follow-up and to assess the durability of this procedure. METHODS: Demographic and perioperative data for all patients who had undergone ELIF for degenerative lumbar disorders between 2007 and 2011 were collected. Trauma and tumor cases were excluded. For radiological outcome, the preoperative, immediate postoperative, and latest follow-up coronal Cobb angle, lumbar sagittal lordosis, bilateral foraminal heights, and disc heights were measured. Pelvic incidence (PI) and PI-lumbar lordosis (PI-LL) mismatch were assessed in scoliotic patients. Clinical outcome was evaluated using the Oswestry Disability Index (ODI) and visual analog scale (VAS), as well as the Macnab criteria. RESULTS: One hundred forty-five vertebral levels were surgically treated in 90 patients. Pedicle screw and rod constructs and lateral plates were used to stabilize fixation in 77% and 13% of cases, respectively. Ten percent of cases involved stand-alone cages. At an average radiological follow-up of 12.6 months, the coronal Cobb angle was 10.6 degrees compared with 23.8 degrees preoperatively (p &lt; 0.0001). Lumbar </w:t>
      </w:r>
      <w:r w:rsidRPr="00637692">
        <w:rPr>
          <w:rFonts w:ascii="Times New Roman" w:hAnsi="Times New Roman" w:cs="Times New Roman"/>
          <w:noProof/>
          <w:sz w:val="24"/>
        </w:rPr>
        <w:lastRenderedPageBreak/>
        <w:t>sagittal lordosis increased by 5.3 degrees postoperatively (p &lt; 0.0001) and by 2.9 degrees at the latest follow-up (p = 0.014). Foraminal height and disc height increased by 4 mm (p &lt; 0.0001) and 3.3 mm (p &lt; 0.0001), respectively, immediately after surgery and remained significantly improved at the last follow-up. Separate evaluation of scoliotic patients showed no statistically significant improvement in PI and PI-LL mismatch either immediately postoperatively or at the latest follow-up. Clinical evaluation at an average follow-up of 17.6 months revealed an improvement in the ODI and the VAS scores for back, buttock, and leg pain by 21.1% and 3.7, 3.6, and 3.7 points, respectively (p &lt; 0.0001). According to the Macnab criteria, 84.8% of patients had an excellent, good, or fair functional outcome. New postoperative thigh numbness and weakness was detected in 4.4% and 2.2% of the patients, respectively, which resolved within the first 3 months after surgery in all but 1 case. CONCLUSIONS: This study provides what is to the authors' knowledge the most comprehensive set of radiological and clinical outcomes of ELIF in a fairly large population at a midterm follow-up. Extreme lateral interbody fusion showed good clinical outcomes with a low complication rate. The procedure allows for at least midterm clinically effective restoration of disc and foraminal heights. Improvement in coronal deformity and a small but significant increase in sagittal lordosis were observed. Nonetheless, no significant improvement in the PI-LL mismatch was achieved in scoliotic patients.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lastRenderedPageBreak/>
        <w:t xml:space="preserve">Alkadhim, M., et al. (2015). "The surgical vascular anatomy of the minimally invasive lateral lumbar interbody approach: a cadaveric and radiographic analysis."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24 Suppl 7</w:t>
      </w:r>
      <w:r w:rsidRPr="00637692">
        <w:rPr>
          <w:rFonts w:ascii="Times New Roman" w:hAnsi="Times New Roman" w:cs="Times New Roman"/>
          <w:noProof/>
          <w:sz w:val="24"/>
        </w:rPr>
        <w:t>: 906-911.</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The minimally invasive (MI) lateral lumbar interbody fusion (LLIF) approach has become increasingly popular for the treatment of degenerative lumbar spine disease. The neural anatomy of the lumbar plexus has been studied; however, the pertinent surgical vascular anatomy has not been examined in detail. The goal of this study is to examine the vascular structures that are relevant in relation to the MI-LLIF approach. METHODS: Anatomic dissection of the lumbar spines and associated vasculature was performed in three embalmed, adult cadavers. Right and left surgeon perspective views during LLIF were for a total of six approaches. During the dissection, all vascular elements were noted and photographed, and anatomical relationships to the vertebral bodies and disc spaces were analyzed. In addition, several axial and sagittal MRI images of the lumbar spine were analyzed to complement the cadaveric analysis. RESULTS: The aorta descends along the left anterior aspect of lumbar vertebra with an average distance of 2.1 cm (range 1.9-2.3 cm) to the center of each intervertebral disc. The vena cava descends along the right anterior aspect of lumbar vertebrates with average distance of 1.4 cm (range 1.3-1.6 cm) to the center of the intervertebral disc. Each vertebral body has two lumbar arteries (direct branches from the aorta); one exits to the left and one to the right side of the vertebral body. The lumbar arteries pass underneath the </w:t>
      </w:r>
      <w:r w:rsidRPr="00637692">
        <w:rPr>
          <w:rFonts w:ascii="Times New Roman" w:hAnsi="Times New Roman" w:cs="Times New Roman"/>
          <w:noProof/>
          <w:sz w:val="24"/>
        </w:rPr>
        <w:lastRenderedPageBreak/>
        <w:t>sympathetic trunk, run in the superior margin of the vertebral body and extend all the way across it, with average length of 3.8 cm (range 2.5-5 cm). The mean distance between the arteries and the inferior plate of the superior disc space is 4.2 mm (range 2-5 mm) and mean distance of 3.1 cm (range 2.8-3.8 cm) between two arteries in adjacent vertebrae. One of the cadavers had an expected normal anatomical variation where the left arteries at L3-L4 anastomosed dorsally of the vertebral bodies at the middle of the intervertebral disc. CONCLUSIONS: Understanding the vascular anatomy of the lateral and anterior lumbar spine is paramount for successfully and safely executing the LLIF procedure. It is imperative to identify anatomical variations in lumbar arteries and veins with careful assessment of the preoperative imaging.</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Anderson, D. G., et al. (2012). "A radiographic analysis of degenerative spondylolisthesis at the L4-5 level."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16</w:t>
      </w:r>
      <w:r w:rsidRPr="00637692">
        <w:rPr>
          <w:rFonts w:ascii="Times New Roman" w:hAnsi="Times New Roman" w:cs="Times New Roman"/>
          <w:noProof/>
          <w:sz w:val="24"/>
        </w:rPr>
        <w:t>(2): 130-134.</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 Lumbar degenerative spondylolisthesis (LDS) is common and has generally been characterized as a homogeneous disease entity in the literature and in clinical practice. Because disease variability has not been carefully characterized, stratification of treatment recommendations based on scientific evidence is currently lacking. In this study, the authors analyzed radiographic parameters of patients with LDS at the L4-5 level to better characterize this entity. METHODS: Demographic data were collected from 304 patients (200 women and 104 men) with LDS at the L4-5 level. Plain radiographs including </w:t>
      </w:r>
      <w:r w:rsidRPr="00637692">
        <w:rPr>
          <w:rFonts w:ascii="Times New Roman" w:hAnsi="Times New Roman" w:cs="Times New Roman"/>
          <w:noProof/>
          <w:sz w:val="24"/>
        </w:rPr>
        <w:lastRenderedPageBreak/>
        <w:t xml:space="preserve">anteroposterior, lateral, and flexion-extension lateral radiographs were analyzed for disc height, segmental angulation, segmental translation, and osteophyte formation. Correlations were sought between the variables of age, sex, disc height, segmental angulation, segmental translation, and osteophyte formation. RESULTS: The mean patient age was 63.8 years (range 40-86 years). The mean mid-disc height was 7 mm (range 0-14 mm) on the neutral lateral view. The mean angulation between the superior endplate of L-5 and the inferior endplate of L-4 was 6 degrees of lordosis (range 13 degrees of kyphosis to 23 degrees lordosis) on the neutral lateral view. The mean angular change between flexion and extension lateral radiographs was 5 degrees (range 0 degrees -17 degrees ). The mean translation on the neutral lateral view was 6 mm (range 0-15 mm). The mean change in translational between flexion and extension was 2 mm (range 0-11 mm). Twenty patients (7%) exhibited spondylolisthesis only on the flexion view. A significant positive correlation was found between the change in angulation and the change in translation on flexion and extension views (rho = 0.18, p = 0.001). No significant correlation was found between anterior osteophyte size and mobility with flexion-extension radiographs. CONCLUSIONS: The wide range in all radiographic parameters for LDS confirms the heterogeneous nature of this condition and suggests that a grading system to subclassify LDS may be clinically useful. On flexion and extension radiographs, increased translational motion correlated with increased angular motion. Anterior osteophyte size was not found to be predictive of segmental </w:t>
      </w:r>
      <w:r w:rsidRPr="00637692">
        <w:rPr>
          <w:rFonts w:ascii="Times New Roman" w:hAnsi="Times New Roman" w:cs="Times New Roman"/>
          <w:noProof/>
          <w:sz w:val="24"/>
        </w:rPr>
        <w:lastRenderedPageBreak/>
        <w:t>stability. This data set should prove beneficial to those seeking to subcategorize LDS in the future.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Aoyama, R., et al. (2023). "Disc Height Narrowing Could Not Stabilize the Mobility at the Level of Cervical Spondylolisthesis: A Retrospective Study of 83 Patients with Cervical Single-Level Spondylolisthesis." </w:t>
      </w:r>
      <w:r w:rsidRPr="00637692">
        <w:rPr>
          <w:rFonts w:ascii="Times New Roman" w:hAnsi="Times New Roman" w:cs="Times New Roman"/>
          <w:noProof/>
          <w:sz w:val="24"/>
          <w:u w:val="single"/>
        </w:rPr>
        <w:t>Asian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w:t>
      </w:r>
      <w:r w:rsidRPr="00637692">
        <w:rPr>
          <w:rFonts w:ascii="Times New Roman" w:hAnsi="Times New Roman" w:cs="Times New Roman"/>
          <w:noProof/>
          <w:sz w:val="24"/>
        </w:rPr>
        <w:t>(1): 138-148.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A retrospective study at a single academic institution. PURPOSE: We aimed to understand the pathogenesis of cervical spondylolisthesis by analyzing whether narrowing of the disc height stabilizes the slipped disc level according to the degenerative cascade. OVERVIEW OF LITERATURE: According to Kirkaldy-Willis' degenerative cascade, the narrowing of the disc height at slipped level contributes to intervertebral stability in lumbar spondylolisthesis. Conversely, the pathogenesis of cervical spondylolisthesis is unknown due to a scarcity of reports on the condition. METHODS: The images of 83 patients with cervical single-level spondylolisthesis were studied. We looked at 52 slipped levels for anterior slippage and 31 for posterior slippage. The imaging parameters included slippage in the neutral, flexed, and extended positions, axial facet joint orientation, sagittal facet slope, global cervical alignment, C2-C7 angle, C2-C7 sagittal vertical axis, range of motion (ROM), and slipped disc angle ROM. RESULTS: With the narrowing of the intervertebral disc height, slippage in the flexed position of both anterior and posterior spondylolisthesis increased. </w:t>
      </w:r>
      <w:r w:rsidRPr="00637692">
        <w:rPr>
          <w:rFonts w:ascii="Times New Roman" w:hAnsi="Times New Roman" w:cs="Times New Roman"/>
          <w:noProof/>
          <w:sz w:val="24"/>
        </w:rPr>
        <w:lastRenderedPageBreak/>
        <w:t>However, in both anterior and posterior spondylolisthesis, disc height narrowing did not show stability. The narrowing of the intervertebral disc height was found to be a risk factor for a translation of slippage of 1.8 mm or more in flexionextension motion in anterior spondylolisthesis in multivariate regression analysis. CONCLUSIONS: Narrowing the intervertebral disc height did not stabilize the translation of slippage in flexion-extension motion in cervical spondylolisthesis. Instead, narrowing of the disc height was associated with a translation of slippage of 1.8 mm or more in flexion-extension motion in cases of anterior slippage. Therefore, we discovered that degenerative cascade stabilization for cervical spondylolisthesis was difficult to achieve.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Aspalter, S., et al. (2023). "Reduction of spondylolisthesis and restoration of lumbar lordosis after anterior lumbar interbody fusion (ALIF)." </w:t>
      </w:r>
      <w:r w:rsidRPr="00637692">
        <w:rPr>
          <w:rFonts w:ascii="Times New Roman" w:hAnsi="Times New Roman" w:cs="Times New Roman"/>
          <w:noProof/>
          <w:sz w:val="24"/>
          <w:u w:val="single"/>
        </w:rPr>
        <w:t>BMC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23</w:t>
      </w:r>
      <w:r w:rsidRPr="00637692">
        <w:rPr>
          <w:rFonts w:ascii="Times New Roman" w:hAnsi="Times New Roman" w:cs="Times New Roman"/>
          <w:noProof/>
          <w:sz w:val="24"/>
        </w:rPr>
        <w:t>(1): 66.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Anterior lumbar interbody fusion (ALIF) is a well-established surgical treatment option for various diseases of the lumbar spine, including spondylolisthesis. This study aimed to evaluate the postoperative correction of spondylolisthesis and restoration of lumbar and segmental lordosis after ALIF. METHODS: Patients with spondylolisthesis who underwent ALIF between 2013 and 2019 were retrospectively assessed. We assessed the following parameters pre-and postoperatively (6-months follow-up): Visual Analogue Scale (VAS) for pain, Oswestry Disability Index (ODI), lumbar lordosis (LL), segmental lordosis (SL), L4/S1 lordosis, and degree of </w:t>
      </w:r>
      <w:r w:rsidRPr="00637692">
        <w:rPr>
          <w:rFonts w:ascii="Times New Roman" w:hAnsi="Times New Roman" w:cs="Times New Roman"/>
          <w:noProof/>
          <w:sz w:val="24"/>
        </w:rPr>
        <w:lastRenderedPageBreak/>
        <w:t>spondylolisthesis. RESULTS: 96 patients were included. In 84 cases (87.50%), additional dorsal instrumentation was performed. The most frequent diagnosis was isthmic spondylolisthesis (73.96%). VAS was reduced postoperatively, from 70 to 40, as was ODI (50% to 32%). LL increased from 59.15 degrees to 64.45 degrees , as did SL (18.95 degrees to 28.55 degrees ) and L4/S1 lordosis (37.90 degrees to 44.00 degrees ). Preoperative spondylolisthesis was 8.90 mm and was reduced to 6.05 mm postoperatively. Relative spondylolisthesis was 21.63% preoperatively and 13.71% postoperatively. All clinical and radiological improvements were significant (all p &lt; 0.001). No significant difference considering the lordosis values nor spondylolisthesis was found between patients who underwent ALIF surgery without dorsal instrumentation and patients who received additional dorsal instrumentation. Venous laceration was the most frequent complication (10.42%). CONCLUSIONS: With ALIF, good clinical results and safe and effective reduction of spondylolisthesis and restoration of lordosis can be achieved. Additional dorsal instrumentation does not significantly affect postoperative lordosis or spondylolisthesis. Individual vascular anatomy must be reviewed preoperatively before considering ALIF.</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Azizpour, K., et al. (2021). "Decompression alone versus decompression and instrumented fusion for the treatment of isthmic spondylolisthesis: a randomized controlled trial."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35</w:t>
      </w:r>
      <w:r w:rsidRPr="00637692">
        <w:rPr>
          <w:rFonts w:ascii="Times New Roman" w:hAnsi="Times New Roman" w:cs="Times New Roman"/>
          <w:noProof/>
          <w:sz w:val="24"/>
        </w:rPr>
        <w:t>(6): 687-697.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The most advocated surgical technique to treat symptoms of </w:t>
      </w:r>
      <w:r w:rsidRPr="00637692">
        <w:rPr>
          <w:rFonts w:ascii="Times New Roman" w:hAnsi="Times New Roman" w:cs="Times New Roman"/>
          <w:noProof/>
          <w:sz w:val="24"/>
        </w:rPr>
        <w:lastRenderedPageBreak/>
        <w:t>isthmic spondylolisthesis is decompression with instrumented fusion. A less-invasive classical approach has also been reported, which consists of decompression only. In this study the authors compared the clinical outcomes of decompression only with those of decompression with instrumented fusion in patients with isthmic spondylolisthesis. METHODS: Eighty-four patients with lumbar radiculopathy or neurogenic claudication secondary to low-grade isthmic spondylolisthesis were randomly assigned to decompression only (n = 43) or decompression with instrumented fusion (n = 41). Primary outcome parameters were scores on the Roland Disability Questionnaire (RDQ), separate visual analog scales (VASs) for back pain and leg pain, and patient report of perceived recovery at 12-week and 2-year follow-ups. The proportion of reoperations was scored as a secondary outcome measure. Repeated measures ANOVA according to the intention-to-treat principle was performed. RESULTS: Decompression alone did not show superiority in terms of disability scores at 12-week follow-up (p = 0.32, 95% CI -4.02 to 1.34), nor in any other outcome measure. At 2-year follow-up, RDQ disability scores improved more in the fusion group (10.3, 95% CI 3.9-8.2, vs 6.0, 95% CI 8.2-12.4; p = 0.006, 95% CI -7.3 to -1.3). Likewise, back pain decreased more in the fusion group (difference: -18.3 mm, CI -32.1 to -4.4, p = 0.01) on a 100-mm VAS scale, and a higher proportion of patients perceived recovery as showing "good results" (44% vs 74%, p = 0.01). Cumulative probabilities for reoperation were 47% in the decompression and 13% in the fusion group (p &lt; 0.001) at the 2-year follow-</w:t>
      </w:r>
      <w:r w:rsidRPr="00637692">
        <w:rPr>
          <w:rFonts w:ascii="Times New Roman" w:hAnsi="Times New Roman" w:cs="Times New Roman"/>
          <w:noProof/>
          <w:sz w:val="24"/>
        </w:rPr>
        <w:lastRenderedPageBreak/>
        <w:t>up. CONCLUSIONS: In patients with isthmic spondylolisthesis, decompression with instrumented fusion resulted in comparable short-term results, significantly better long-term outcomes, and fewer reoperations than decompression alone. Decompression with instrumented fusion is a superior surgical technique that should in general be offered as a first treatment option for isthmic spondylolisthesis, but not for degenerative spondylolisthesis, which has a different etiology.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Banse, X., et al. (2001). "Inhomogeneity of human vertebral cancellous bone: systematic density and structure patterns inside the vertebral body." </w:t>
      </w:r>
      <w:r w:rsidRPr="00637692">
        <w:rPr>
          <w:rFonts w:ascii="Times New Roman" w:hAnsi="Times New Roman" w:cs="Times New Roman"/>
          <w:noProof/>
          <w:sz w:val="24"/>
          <w:u w:val="single"/>
        </w:rPr>
        <w:t>Bone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28</w:t>
      </w:r>
      <w:r w:rsidRPr="00637692">
        <w:rPr>
          <w:rFonts w:ascii="Times New Roman" w:hAnsi="Times New Roman" w:cs="Times New Roman"/>
          <w:noProof/>
          <w:sz w:val="24"/>
        </w:rPr>
        <w:t>(5): 563-571.</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In the spine, cancellous bone quality is usually assessed for the whole vertebral body in a transverse central slice. Correct identification and assessment of the weakest parts of the cancellous bone may lead to better prediction of fracture risk. The density and structural parameters were systematically investigated inside the thoracic (T-9), thoracolumbar (T12-L1), and lumbar (L-4) vertebral bodies of nine subjects. On both sides of the median sagittal plane, anterior and posterior 8.2 mm vertical cores were harvested in the thoracic vertebra. In the thoracolumbar and lumbar vertebrae, external samples were also cored. Peripheral quantitative computed tomographic (pQCT) density analysis of the 136 cores was performed at four different levels, from the lower to the upper endplate. The relatively thin slice thickness (300 microm) and small pixel size </w:t>
      </w:r>
      <w:r w:rsidRPr="00637692">
        <w:rPr>
          <w:rFonts w:ascii="Times New Roman" w:hAnsi="Times New Roman" w:cs="Times New Roman"/>
          <w:noProof/>
          <w:sz w:val="24"/>
        </w:rPr>
        <w:lastRenderedPageBreak/>
        <w:t xml:space="preserve">(70 microm x 70 microm) was considered sufficient to investigate the structural parameters on the four transverse slices and in the sagittal and coronal planes (total of 816 images). Using a constant threshold a binary image was generated and the morphometric data were extracted. The binary image was further skeletonized and classical strut analysis was performed. Cancellous bone density was 20% higher in the posterior cores than in the anterior and external cores. Moreover, clear vertical inhomogeneity was noted because the lowest half of the vertebral body presented lower density than the upper half (differences ranging from 25% to 15%). All structural parameters were strongly dependent on the location of the measurement. Structural differences between anterior, posterior, and external areas were mild and followed the density patterns. On the other hand, vertical inhomogeneity of the structural parameters was important. For example, in the thoracolumbar and lumbar vertebrae, the numbers of nodes or node-to-node struts were almost twofold higher in the inferior half than in the superior half (p &lt; 0.01), whereas trabecular thickness and number of free-ends presented a center/close-to-endplate structural pattern, with central trabeculae being 15% thicker (p &lt; 0.05) and presenting 30% fewer free-ends (p &lt; 0.01) than the close-to-endplate ones. Variability of density and structural parameters was high and a substantial part of this variability could be explained by the place inside the vertebral body where the measurement was made. The weak part was not in the center of the body but in its upper half where the lower density did not seem to be compensated by a higher structural </w:t>
      </w:r>
      <w:r w:rsidRPr="00637692">
        <w:rPr>
          <w:rFonts w:ascii="Times New Roman" w:hAnsi="Times New Roman" w:cs="Times New Roman"/>
          <w:noProof/>
          <w:sz w:val="24"/>
        </w:rPr>
        <w:lastRenderedPageBreak/>
        <w:t>architecture. Further clinical investigation could enhance fracture prediction by tracking and focusing on the weakest part of the vertebral body.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Betz, R. R., et al. (2003). "Preclinical testing of a wedge-rod system for fusionless correction of scoliosis." </w:t>
      </w:r>
      <w:r w:rsidRPr="00637692">
        <w:rPr>
          <w:rFonts w:ascii="Times New Roman" w:hAnsi="Times New Roman" w:cs="Times New Roman"/>
          <w:noProof/>
          <w:sz w:val="24"/>
          <w:u w:val="single"/>
        </w:rPr>
        <w:t>Spine (Phila Pa 1976)</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28</w:t>
      </w:r>
      <w:r w:rsidRPr="00637692">
        <w:rPr>
          <w:rFonts w:ascii="Times New Roman" w:hAnsi="Times New Roman" w:cs="Times New Roman"/>
          <w:noProof/>
          <w:sz w:val="24"/>
        </w:rPr>
        <w:t>(20): S275-278.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Biomechanical study. OBJECTIVES: This paper describes the biomechanical comparison of calf spines instrumented with a wedge alone versus a wedge-rod construct for the fusionless correction of scoliosis. SUMMARY OF BACKGROUND DATA: Current techniques for the correction of scoliosis require either anterior or posterior spinal fusion for correction. We propose a technique allowing correction via vertebral body osteotomies along with fixation using a wedge-rod construct without the requirement of intervertebral segment fusion. METHODS: Calf spines were used to test the biomechanical difference between the intact spine, transverse osteotomized spine with wedge-rod reconstruction, and transverse osteotomized spine with wedge alone reconstruction. Unconstrained segments (L1-L5) were first tested under five nondestructive static loading conditions to evaluate the intact stability of the operative motion segments in axial compression (-600 N), axial rotation (+/-5.0 Nm, 150 axial preload), flexion and extension (+/-5.0 Nm), and lateral bending (+/-5.0 Nm). Following the intact analysis, vertebral wedge osteotomies in the transverse plane were performed at the L2, L3, and L4 levels. The defects were reconstructed using the Sofamor Danek Wedge Spacer, and </w:t>
      </w:r>
      <w:r w:rsidRPr="00637692">
        <w:rPr>
          <w:rFonts w:ascii="Times New Roman" w:hAnsi="Times New Roman" w:cs="Times New Roman"/>
          <w:noProof/>
          <w:sz w:val="24"/>
        </w:rPr>
        <w:lastRenderedPageBreak/>
        <w:t xml:space="preserve">stainless steel TSRH one-quarter inch single rod with modified CD HORIZON 6.5-mm diameter vertebral body screws at each level (L2-L4). Standard CD HORIZON 6.5-mm bone screws and staples were used at the superior and inferior ends of the five-level construct. The wedge was on the left side and the rod and screw heads on the right side. After testing the reconstructed specimen, the TSRH rod was removed and the construct retested to evaluate the stability of the wedge alone reconstruction. RESULTS: Construct stiffness was calculated as the peak applied load (N or Nm) divided by the corresponding segmental displacement (mm or degrees) normalized to the intact specimen. Reconstruction static data are expressed as a percentage change from the intact condition. Statistical analysis included descriptives, a one-way analysis of variance, and the Student-Newman-Keuls test for multiple comparisons among the reconstruction groups. Axial compression: under axial compressive loads, the stiffness of the wedge-rod construct was approximately equal to that of the intact group. The stiffness of the wedge alone construct was 56% less than that of the intact group except for extension and left lateral bending. For the other modes of loading (right rotation, left rotation, flexion, extension, right lateral bending, and left lateral bending), the wedge-rod construct was stiffer than that of the intact group. The stiffness of the wedge alone construct was consistently less than that of the intact group. CONCLUSIONS: Based on the results of this biomechanical comparison, the calf spines instrumented with the wedge-rod system for fusionless correction were significantly stiffer as compared to the </w:t>
      </w:r>
      <w:r w:rsidRPr="00637692">
        <w:rPr>
          <w:rFonts w:ascii="Times New Roman" w:hAnsi="Times New Roman" w:cs="Times New Roman"/>
          <w:noProof/>
          <w:sz w:val="24"/>
        </w:rPr>
        <w:lastRenderedPageBreak/>
        <w:t>intact calf spine. The wedges alone were not as stiff as the intact spine. This suggests that the theory of performing transverse osteotomies of vertebral bodies with fixation with wedge-rod construct for 8 to 12 weeks, followed by removal of the rod, could provide adequate fixation and correction of a scoliotic deformity without requiring fusion of motion segments.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Bokov, A. E., et al. (2024). "Factors that influence the results of indirect decompression employing oblique lumbar interbody fusion." </w:t>
      </w:r>
      <w:r w:rsidRPr="00637692">
        <w:rPr>
          <w:rFonts w:ascii="Times New Roman" w:hAnsi="Times New Roman" w:cs="Times New Roman"/>
          <w:noProof/>
          <w:sz w:val="24"/>
          <w:u w:val="single"/>
        </w:rPr>
        <w:t>World J Orthop</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15</w:t>
      </w:r>
      <w:r w:rsidRPr="00637692">
        <w:rPr>
          <w:rFonts w:ascii="Times New Roman" w:hAnsi="Times New Roman" w:cs="Times New Roman"/>
          <w:noProof/>
          <w:sz w:val="24"/>
        </w:rPr>
        <w:t>(8): 734-743.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Indirect decompression is one of the potential benefits of anterior reconstruction in patients with spinal stenosis. On the other hand, the reported rate of revision surgery after indirect decompression highlights the necessity of working out prediction models for the radiographic results of indirect decompression with assessing their clinical relevance. AIM: To assess factors that influence radiographic and clinical results of the indirect decompression in patients with stenosis of the lumbar spine. METHODS: This study is a single-center cross-sectional evaluation of 80 consecutive patients (17 males and 63 females) with lumbar spinal stenosis combined with the instability of the lumbar spinal segment. Patients underwent single level or bisegmental spinal instrumentation employing oblique lumbar interbody fusion (OLIF) with percutaneous pedicle screw fixation. Radiographic results of the indirect decompression were assessed using computerized tomography, while MacNab scale was used to assess clinical results. RESULTS: After indirect </w:t>
      </w:r>
      <w:r w:rsidRPr="00637692">
        <w:rPr>
          <w:rFonts w:ascii="Times New Roman" w:hAnsi="Times New Roman" w:cs="Times New Roman"/>
          <w:noProof/>
          <w:sz w:val="24"/>
        </w:rPr>
        <w:lastRenderedPageBreak/>
        <w:t>decompression employing anterior reconstruction using OLIF, the statistically significant increase in the disc space height, vertebral canal square, right and left lateral canal depth were detected (capital ER, Cyrillic &lt; 0.0001). The median (M) relative vertebral canal square increase came to capital EM, Cyrillic = 24.5% with 25%-75% quartile border (16.3%; 33.3%) if indirect decompression was achieved by restoration of the segment height. In patients with the reduction of the upper vertebrae slip, the median of the relative increase in vertebral canal square accounted for 49.5% with 25%-75% quartile border (2.35; 99.75). Six out of 80 patients (7.5%) presented with unsatisfactory results because of residual nerve root compression. The critical values for lateral recess depth and vertebral canal square that were associated with indirect decompression failure were 3 mm and 80 mm(2) respectively. CONCLUSION: Indirect decompression employing anterior reconstruction is achieved by the increase in disc height along the posterior boarder and reduction of the slipped vertebrae in patients with degenerative spondylolisthesis. Vertebral canal square below 80 mm(2) and lateral recess depth less than 3 mm are associated with indirect decompression failures that require direct microsurgical decompression.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Borkhuu, B., et al. (2023). "Long Versus Short-segment Stabilization in Patients with Traumatic Thoracolumbar Fractures." </w:t>
      </w:r>
      <w:r w:rsidRPr="00637692">
        <w:rPr>
          <w:rFonts w:ascii="Times New Roman" w:hAnsi="Times New Roman" w:cs="Times New Roman"/>
          <w:noProof/>
          <w:sz w:val="24"/>
          <w:u w:val="single"/>
        </w:rPr>
        <w:t>Ortop Traumatol Rehabil</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25</w:t>
      </w:r>
      <w:r w:rsidRPr="00637692">
        <w:rPr>
          <w:rFonts w:ascii="Times New Roman" w:hAnsi="Times New Roman" w:cs="Times New Roman"/>
          <w:noProof/>
          <w:sz w:val="24"/>
        </w:rPr>
        <w:t>(4): 173-179.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Posterior stabilization surgery is considered the gold standard for restoring spine stability in patients with traumatic thoracolumbar </w:t>
      </w:r>
      <w:r w:rsidRPr="00637692">
        <w:rPr>
          <w:rFonts w:ascii="Times New Roman" w:hAnsi="Times New Roman" w:cs="Times New Roman"/>
          <w:noProof/>
          <w:sz w:val="24"/>
        </w:rPr>
        <w:lastRenderedPageBreak/>
        <w:t xml:space="preserve">fractures. However, whether long-segment (LS) stabilization or short-segment (SS) stabilization is an optimal approach for achieving more effective restoration of spinal stability remains unclear. MATERIAL AND METHODS: Patients who underwent posterior stabilization surgery for traumatic thoracolumbar fractures were included in the study. Radiological parameters were measured using pre- and post-surgical thoracolumbar computed tomography (CT) scans and compared between patients who received LS and SS stabilization. RESULTS: Ninety-eight consecutive patients (mean age 4414, 50% male) who underwent posterior stabilization surgery for traumatic thoracolumbar fractures were included. LS stabilization was performed in 52 patients, while SS stabilization was performed in 46 patients. Among spinal stability parameters measured on pre-surgical thoracolumbar CT scans, the anterior vertebral height (AVH) was significantly lower in the LS stabilization group compared to the SS stabilization group (14.44.0 mm vs. 16.44.0 mm, p=0.017), indicating a more severe compression fracture in the LS stabilization group. However, all parameters improved on post-surgical thoracolumbar CT scans, and there were no significant differences between LS stabilization and SS stabilization groups in terms of the restoration of spinal stability parameters. The type of stabilization (LS vs. SS stabilization) did not show an association with post-surgical measurements of spinal stability parameters (B=0.27, 95% CI -1.87 to 2.42, p=0.800 for superior inferior end plate angle (SIEA), B=0.20, 95% CI -1.33 to 1.74, p=0.796 for AVH, and B=0.39, 95% CI -1.72 to 2.50, </w:t>
      </w:r>
      <w:r w:rsidRPr="00637692">
        <w:rPr>
          <w:rFonts w:ascii="Times New Roman" w:hAnsi="Times New Roman" w:cs="Times New Roman"/>
          <w:noProof/>
          <w:sz w:val="24"/>
        </w:rPr>
        <w:lastRenderedPageBreak/>
        <w:t>p=0.714 for Cobb angle). CONCLUSIONS: Both LS and SS stabilization approaches yield similar results in terms of restoring spine stability parameters in patients with traumatic thoracolumbar fractures. The choice of surgical approach should be individualized based on the patient's overall status and the surgeon's experience.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Bucciero, A. (2010). "Nubac disc arthroplasty via the posterior approach. Technical note." </w:t>
      </w:r>
      <w:r w:rsidRPr="00637692">
        <w:rPr>
          <w:rFonts w:ascii="Times New Roman" w:hAnsi="Times New Roman" w:cs="Times New Roman"/>
          <w:noProof/>
          <w:sz w:val="24"/>
          <w:u w:val="single"/>
        </w:rPr>
        <w:t>J Neurosurg Sci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54</w:t>
      </w:r>
      <w:r w:rsidRPr="00637692">
        <w:rPr>
          <w:rFonts w:ascii="Times New Roman" w:hAnsi="Times New Roman" w:cs="Times New Roman"/>
          <w:noProof/>
          <w:sz w:val="24"/>
        </w:rPr>
        <w:t>(2): 83-89.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The author describes the details of Nubac disc arthroplasty via the posterior approach and discusses indications, limitations and benefits of this procedure. This surgical technique provides the following main steps: 1) patient positioning in a prone-kneeling position; 2) subperiosteal exposure of the index interlaminar space; 3) limited laminotomy (involving both the inferior edge of the hemilamina above and the superior edge of the hemilamina below), resection up to the medial one third of the facet joint, and partial flavectomy; 4) minimum nerve root retraction; 5) removal of eventual free disc fragments and annular cutting to obtain a small window (4 mm x 6 mm) through the annulus; 6) total nucleus pulposus evacuation; 7) annular window dilatation; 8) trial spacer implant sizing; 9) implant insertion into the disc cavity. Nubac disc arthroplasty via the posterior approach can be recommended for patients suffering from degenerative disc disease with disc herniation at L4-L5 and/or L5-S1 in order to relieve the back pain and to delay or to prevent disc degeneration progression </w:t>
      </w:r>
      <w:r w:rsidRPr="00637692">
        <w:rPr>
          <w:rFonts w:ascii="Times New Roman" w:hAnsi="Times New Roman" w:cs="Times New Roman"/>
          <w:noProof/>
          <w:sz w:val="24"/>
        </w:rPr>
        <w:lastRenderedPageBreak/>
        <w:t>status postdiscectomy. A middle height of the index disc of at least 5 mm is prerequisite for performing nucleus replacement.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Buell, T. J., et al. (2021). "Multicenter assessment of outcomes and complications associated with transforaminal versus anterior lumbar interbody fusion for fractional curve correction."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35</w:t>
      </w:r>
      <w:r w:rsidRPr="00637692">
        <w:rPr>
          <w:rFonts w:ascii="Times New Roman" w:hAnsi="Times New Roman" w:cs="Times New Roman"/>
          <w:noProof/>
          <w:sz w:val="24"/>
        </w:rPr>
        <w:t>(6): 729-742.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Few studies have compared fractional curve correction after long fusion between transforaminal lumbar interbody fusion (TLIF) and anterior lumbar interbody fusion (ALIF) for adult symptomatic thoracolumbar/lumbar scoliosis (ASLS). The objective of this study was to compare fractional correction, health-related quality of life (HRQL), and complications associated with L4-S1 TLIF versus those of ALIF as an operative treatment of ASLS. METHODS: The authors retrospectively analyzed a prospective multicenter adult spinal deformity database. Inclusion required a fractional curve &gt;/= 10 degrees , a thoracolumbar/lumbar curve &gt;/= 30 degrees , index TLIF or ALIF performed at L4-5 and/or L5-S1, and a minimum 2-year follow-up. TLIF and ALIF patients were propensity matched according to the number and type of interbody fusion at L4-S1. RESULTS: Of 135 potentially eligible consecutive patients, 106 (78.5%) achieved the minimum 2-year follow-up (mean +/- SD age 60.6 +/- 9.3 years, 85% women, 44.3% underwent TLIF, and 55.7% underwent ALIF). Index operations had mean +/- SD 12.2 +/- 3.6 posterior levels, 86.6% of patients underwent iliac fixation, 67.0% underwent TLIF/ALIF </w:t>
      </w:r>
      <w:r w:rsidRPr="00637692">
        <w:rPr>
          <w:rFonts w:ascii="Times New Roman" w:hAnsi="Times New Roman" w:cs="Times New Roman"/>
          <w:noProof/>
          <w:sz w:val="24"/>
        </w:rPr>
        <w:lastRenderedPageBreak/>
        <w:t xml:space="preserve">at L4-5, and 84.0% underwent TLIF/ALIF at L5-S1. Compared with TLIF patients, ALIF patients had greater cage height (10.9 +/- 2.1 mm for TLIF patients vs 14.5 +/- 3.0 mm for ALIF patients, p = 0.001) and lordosis (6.3 degrees +/- 1.6 degrees for TLIF patients vs 17.0 degrees +/- 9.9 degrees for ALIF patients, p = 0.001) and longer operative duration (6.7 +/- 1.5 hours for TLIF patients vs 8.9 +/- 2.5 hours for ALIF patients, p &lt; 0.001). In all patients, final alignment improved significantly in terms of the fractional curve (20.2 degrees +/- 7.0 degrees to 6.9 degrees +/- 5.2 degrees ), maximum coronal Cobb angle (55.0 degrees +/- 14.8 degrees to 23.9 degrees +/- 14.3 degrees ), C7 sagittal vertical axis (5.1 +/- 6.2 cm to 2.3 +/- 5.4 cm), pelvic tilt (24.6 degrees +/- 8.1 degrees to 22.7 degrees +/- 9.5 degrees ), and lumbar lordosis (32.3 degrees +/- 18.8 degrees to 51.4 degrees +/- 14.1 degrees ) (all p &lt; 0.05). Matched analysis demonstrated comparable fractional correction (-13.6 degrees +/- 6.7 degrees for TLIF patients vs -13.6 degrees +/- 8.1 degrees for ALIF patients, p = 0.982). In all patients, final HRQL improved significantly in terms of Oswestry Disability Index (ODI) score (42.4 +/- 16.3 to 24.2 +/- 19.9), physical component summary (PCS) score of the 36-item Short-Form Health Survey (32.6 +/- 9.3 to 41.3 +/- 11.7), and Scoliosis Research Society-22r score (2.9 +/- 0.6 to 3.7 +/- 0.7) (all p &lt; 0.05). Matched analysis demonstrated worse ODI (30.9 +/- 21.1 for TLIF patients vs 17.9 +/- 17.1 for ALIF patients, p = 0.017) and PCS (38.3 +/- 12.0 for TLIF patients vs 45.3 +/- 10.1 for ALIF patients, p = 0.020) scores for TLIF patients at the last follow-up (despite no </w:t>
      </w:r>
      <w:r w:rsidRPr="00637692">
        <w:rPr>
          <w:rFonts w:ascii="Times New Roman" w:hAnsi="Times New Roman" w:cs="Times New Roman"/>
          <w:noProof/>
          <w:sz w:val="24"/>
        </w:rPr>
        <w:lastRenderedPageBreak/>
        <w:t>differences in these parameters at baseline). The rates of total complications were similar (76.6% for TLIF patients vs 71.2% for ALIF patients, p = 0.530), but significantly more TLIF patients had rod fracture (28.6% of TLIF patients vs 7.1% of ALIF patients, p = 0.036). Multiple regression analysis demonstrated that a 1-mm increase in L4-5 TLIF cage height led to a 2.2 degrees reduction in L4 coronal tilt (p = 0.011), and a 1 degrees increase in L5-S1 ALIF cage lordosis led to a 0.4 degrees increase in L5-S1 segmental lordosis (p = 0.045). CONCLUSIONS: Operative treatment of ASLS with L4-S1 TLIF versus ALIF demonstrated comparable mean fractional curve correction (66.7% vs 64.8%), despite use of significantly larger, more lordotic ALIF cages. TLIF cage height had a significant impact on leveling L4 coronal tilt, whereas ALIF cage lordosis had a significant impact on restoration of lumbosacral lordosis. The advantages of TLIF may include reduced operative duration and hospitalization; however, associated HRQL was inferior and more rod fractures were detected in the TLIF patients included in this study.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Cetin, T., et al. (2023). "The Comparison between Herniated and Non-Herniated Disc Levels Regarding Intervertebral Disc Space Height and Disc Degeneration, A Magnetic Resonance Study." </w:t>
      </w:r>
      <w:r w:rsidRPr="00637692">
        <w:rPr>
          <w:rFonts w:ascii="Times New Roman" w:hAnsi="Times New Roman" w:cs="Times New Roman"/>
          <w:noProof/>
          <w:sz w:val="24"/>
          <w:u w:val="single"/>
        </w:rPr>
        <w:t>Diagnostics (Basel)</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13</w:t>
      </w:r>
      <w:r w:rsidRPr="00637692">
        <w:rPr>
          <w:rFonts w:ascii="Times New Roman" w:hAnsi="Times New Roman" w:cs="Times New Roman"/>
          <w:noProof/>
          <w:sz w:val="24"/>
        </w:rPr>
        <w:t>(20).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The main purpose of this study was to evaluate the intervertebral disc height and intervertebral disc degeneration between the normal group and the group with disc herniation at the level of the L4-L5 intervertebral disc by </w:t>
      </w:r>
      <w:r w:rsidRPr="00637692">
        <w:rPr>
          <w:rFonts w:ascii="Times New Roman" w:hAnsi="Times New Roman" w:cs="Times New Roman"/>
          <w:noProof/>
          <w:sz w:val="24"/>
        </w:rPr>
        <w:lastRenderedPageBreak/>
        <w:t>MRI using the Pfirrmann grading system. MATERIALS AND METHODS: 385 patients were included in this study. MRI images were reevaluated and intervertebral disc heights were measured from the anterior, middle and posterior segments. Researchers divided disc pathologies into two groups. In the non-herniated group; normal or bulging ones; in the herniated group, they included those with protrusion or extrusion. RESULTS: 385 lumbar MRI examinations meeting the study criteria were included in study. There were 56.9% (219/385) females and 43.1% (166/385) males in the study. For the whole patients in the study group, the intervertebral disc height values at the L4-5 level were measured as 12.34 mm, 11.58 mm, and 7.60 mm in the anterior, middle, and posterior localizations, respectively. CONCLUSIONS: At the L4-5 level, the height of the disc distances in the herniated group was lower than in the normal group. The Pfirrman score was found to be higher in the herniated group in terms of disc degeneration compared to the normal group.</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Charles, Y. P., et al. (2015). "Cervical sagittal alignment in idiopathic scoliosis treated by posterior instrumentation and in situ bending." </w:t>
      </w:r>
      <w:r w:rsidRPr="00637692">
        <w:rPr>
          <w:rFonts w:ascii="Times New Roman" w:hAnsi="Times New Roman" w:cs="Times New Roman"/>
          <w:noProof/>
          <w:sz w:val="24"/>
          <w:u w:val="single"/>
        </w:rPr>
        <w:t>Spine (Phila Pa 1976)</w:t>
      </w:r>
      <w:r w:rsidRPr="00637692">
        <w:rPr>
          <w:rFonts w:ascii="Times New Roman" w:hAnsi="Times New Roman" w:cs="Times New Roman"/>
          <w:noProof/>
          <w:sz w:val="24"/>
        </w:rPr>
        <w:t xml:space="preserve"> </w:t>
      </w:r>
      <w:r w:rsidRPr="00637692">
        <w:rPr>
          <w:rFonts w:ascii="Times New Roman" w:hAnsi="Times New Roman" w:cs="Times New Roman"/>
          <w:b/>
          <w:noProof/>
          <w:sz w:val="24"/>
        </w:rPr>
        <w:t>40</w:t>
      </w:r>
      <w:r w:rsidRPr="00637692">
        <w:rPr>
          <w:rFonts w:ascii="Times New Roman" w:hAnsi="Times New Roman" w:cs="Times New Roman"/>
          <w:noProof/>
          <w:sz w:val="24"/>
        </w:rPr>
        <w:t>(7): E419-427.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Retrospective radiographical analysis of cervical and thoracolumbar sagittal alignment in young adults with idiopathic scoliosis. OBJECTIVE: To analyze cervical alignment types, the relationship between cervical and thoracolumbar alignment and the effect of posterior </w:t>
      </w:r>
      <w:r w:rsidRPr="00637692">
        <w:rPr>
          <w:rFonts w:ascii="Times New Roman" w:hAnsi="Times New Roman" w:cs="Times New Roman"/>
          <w:noProof/>
          <w:sz w:val="24"/>
        </w:rPr>
        <w:lastRenderedPageBreak/>
        <w:t xml:space="preserve">instrumentation. SUMMARY OF BACKGROUND DATA: Thoracic scoliosis with hypokyphosis may decrease cervical lordosis. Additional adaptive positional changes of the mobile cervical segment may exist, because sigmoid cervical patterns are observed. Sagittal alignment of the instrumented thoracolumbar spine may influence cervical alignment. METHODS: Pre- and postoperative full-spine radiographs of 52 patients were analyzed at 8-year average follow-up. Sagittal thoracolumbar measurements were T1 slope, T1-T4 kyphosis, T4-T12 kyphosis, L1-S1 lordosis, pelvic incidence, pelvic tilt, sacral slope, sagittal vertical axis (SVA) C7, and SVA C2. Cervical measurements were C0-C2, C2-C6, C2-C4, C4-C6, and C2-T1 lordosis, chin-brow vertical angle. RESULTS: Five cervical alignment types were identified: lordotic, hypolordotic, kyphotic, sigmoid with cranial lordosis, and sigmoid with cranial kyphosis. Spinopelvic parameters and global thoracolumbar balance remained unchanged postoperatively. The average C2-C6 lordosis increased by 6.4 degrees (P &lt; 0.0001). Twenty-seven of the 52 patients changed cervical alignment postoperatively. SVA C2-C7 difference changed in this subgroup (P = 0.0159). In 21 of the 27 patients, SVA changed more than 5 mm at C2 (P = 0.0029), and in 25 of the 27 patients at C7 (P &lt; 0.0001). A correlation existed between T4-T12 kyphosis and L1-S1 lordosis, C2-C4 and L1-S1 lordosis, L1-S1 lordosis, and pelvic tilt. T1-T4 kyphosis and T1 slope correlated with C2-T1 lordosis, but proximal junctional kyphosis was not linked to a specific cervical alignment type. CONCLUSION: Postoperative adaptive changes occurred at </w:t>
      </w:r>
      <w:r w:rsidRPr="00637692">
        <w:rPr>
          <w:rFonts w:ascii="Times New Roman" w:hAnsi="Times New Roman" w:cs="Times New Roman"/>
          <w:noProof/>
          <w:sz w:val="24"/>
        </w:rPr>
        <w:lastRenderedPageBreak/>
        <w:t>C7 and C2 by shifting anteriorly or posteriorly, resulting in different radiographical cervical shapes. The amount of lumbar lordosis may influence cervical lordosis, which needs to be considered for surgical correction. Adaptive hip movements may influence thoracolumbar and cervical alignment. The amount of proximal thoracic kyphosis influenced cervical lordosis. Global thoracic hypokyphosis might influence cervical alignment, but it was not evidenced. LEVEL OF EVIDENCE: 4.</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Chen, W. J., et al. (2009). "[Misplacement patterns of the pedicle screws in surgical correction of patients with adolescent idiopathic scoliosis]." </w:t>
      </w:r>
      <w:r w:rsidRPr="00637692">
        <w:rPr>
          <w:rFonts w:ascii="Times New Roman" w:hAnsi="Times New Roman" w:cs="Times New Roman"/>
          <w:noProof/>
          <w:sz w:val="24"/>
          <w:u w:val="single"/>
        </w:rPr>
        <w:t>Zhonghua Wai Ke Za Zhi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47</w:t>
      </w:r>
      <w:r w:rsidRPr="00637692">
        <w:rPr>
          <w:rFonts w:ascii="Times New Roman" w:hAnsi="Times New Roman" w:cs="Times New Roman"/>
          <w:noProof/>
          <w:sz w:val="24"/>
        </w:rPr>
        <w:t>(22): 1725-1727.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evaluate and analyze the misplacement patterns of the pedicle screws in surgical correction of patients with adolescent idiopathic scoliosis. METHODS: For this study, 70 consecutive cases of patients with adolescent idiopathic scoliosis treated by posterior instrumented spinal fusion with pedicle screws were investigated from July 2008 to September 2008. Postoperative CT scans were performed in all cases. The patients included 58 girls and 12 boys, with a mean age of 14.5 +/- 2.7 years at surgery (range 12 - 19 years). Pedicle screws were inserted using anatomic landmark with free hand technique. A number of parameters were measured using PacsClient software (PACS) on workstation, which included distances of the penetration of medial, lateral pedicle cortex and anterior vertebral cortex. The distance between edge of aorta </w:t>
      </w:r>
      <w:r w:rsidRPr="00637692">
        <w:rPr>
          <w:rFonts w:ascii="Times New Roman" w:hAnsi="Times New Roman" w:cs="Times New Roman"/>
          <w:noProof/>
          <w:sz w:val="24"/>
        </w:rPr>
        <w:lastRenderedPageBreak/>
        <w:t>and tip of screw should be measured if left pedicle screw penetrated lateral pedicle cortex or anterior vertebral cortex. Misplacement screws with &gt; 2 mm of either pedicular cortex perforation and grievous screws with &gt;4 mm of medial pedicle perforation or contour of aorta were defined. The influencing factors for misplacement screws were analyzed. RESULTS: A total of 1030 pedicle screws were inserted, 773 in thoracic pedicle and 257 in lumbar pedicle. There were 108 (10.5%) misplacement screws, 35 of which penetrated lateral pedicle cortex, 56 of which penetrated medial pedicle cortex, 33 of which penetrated vertebral anterior cortex. Misplacement screw rate of apical vertebra, 5 segments above apical vertebra (AV-5s) and 4 segments below apical vertebra (AV + 4s) were higher than other levels. Most of grievous screws were placed in apical vertebra region. CONCLUSIONS: The risk factors for misplacement screws included Cobb angle &gt; 90 degrees and vertebrae rotation extent up to III-IV. Care should be exercised during pedicle screw instrumentation in the apical region of the main thoracic curve, AV-5s region and AV + 4s region.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Chiffolot, X., et al. (2006). "[Pedicle closing-wedge osteotomy for the treatment of fixed sagittal imbalance]." </w:t>
      </w:r>
      <w:r w:rsidRPr="00637692">
        <w:rPr>
          <w:rFonts w:ascii="Times New Roman" w:hAnsi="Times New Roman" w:cs="Times New Roman"/>
          <w:noProof/>
          <w:sz w:val="24"/>
          <w:u w:val="single"/>
        </w:rPr>
        <w:t>Rev Chir Orthop Reparatrice Appar Mot</w:t>
      </w:r>
      <w:r w:rsidRPr="00637692">
        <w:rPr>
          <w:rFonts w:ascii="Times New Roman" w:hAnsi="Times New Roman" w:cs="Times New Roman"/>
          <w:noProof/>
          <w:sz w:val="24"/>
        </w:rPr>
        <w:t xml:space="preserve"> </w:t>
      </w:r>
      <w:r w:rsidRPr="00637692">
        <w:rPr>
          <w:rFonts w:ascii="Times New Roman" w:hAnsi="Times New Roman" w:cs="Times New Roman"/>
          <w:b/>
          <w:noProof/>
          <w:sz w:val="24"/>
        </w:rPr>
        <w:t>92</w:t>
      </w:r>
      <w:r w:rsidRPr="00637692">
        <w:rPr>
          <w:rFonts w:ascii="Times New Roman" w:hAnsi="Times New Roman" w:cs="Times New Roman"/>
          <w:noProof/>
          <w:sz w:val="24"/>
        </w:rPr>
        <w:t>(3): 257-265.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OF THE STUDY: The aim of this study was to analyze x-ray results in patients who underwent pedicle subtraction osteotomy for complex deformations (flat back, kyphosis) leading to fixed sagittal imbalance. MATERIAL AND METHODS: Thirty-four patients underwent surgery </w:t>
      </w:r>
      <w:r w:rsidRPr="00637692">
        <w:rPr>
          <w:rFonts w:ascii="Times New Roman" w:hAnsi="Times New Roman" w:cs="Times New Roman"/>
          <w:noProof/>
          <w:sz w:val="24"/>
        </w:rPr>
        <w:lastRenderedPageBreak/>
        <w:t xml:space="preserve">between 1996 and March 2003 in two centers, the orthopedic surgery unit devoted to spinal surgery and sports traumatology at the Strasbourg University Hospitals and the spinal surgery unit at the Chenove Clinic (Dijon). The series included 20 women and 14 men, mean age 46.5 years (range 14-74 years) treated for: postoperative flat back (n = 19), kyphoscoliosis (n = 6), ankylosing spondylarthritis (n = 5), and malunion (n = 4). After careful planning to achieve the necessary degree of correction, the patient was installed on a Cotrel table with a stable support enabling limited blood loss and facilitated reduction maneuvers via elevation of the lower limbs. The technique started by resection of the posterior arch, the transverse processes, and the pedicles, followed by partial resection of the body with a chisel under fluoroscopic control. The closure was achieved by in situ reduction with compressive rotation. Adjacent discs were then evaluated to search for any opening which could be filled by an anterior graft to complete the stabilization. The osteosynthesis used 2-, 4-, and 6-rod assemblies. The 6-rod assemblies enabled anchoring the fixation above and below before the osteotomy. Two prebent rods completed the assembly at reduction after osteotomy. Weight-bearing started on day 4. A protective corset was worn for three months by 19 patients. The patients resumed their occupational activities on average 6.73 months postoperatively without change in activity for 63%. Overall satisfaction was close to 90% excellent outcome. RESULTS: All clinical results were analyzed with the Profil software of Surgiview. X-ray data were analyzed with Spineview. A self-administered </w:t>
      </w:r>
      <w:r w:rsidRPr="00637692">
        <w:rPr>
          <w:rFonts w:ascii="Times New Roman" w:hAnsi="Times New Roman" w:cs="Times New Roman"/>
          <w:noProof/>
          <w:sz w:val="24"/>
        </w:rPr>
        <w:lastRenderedPageBreak/>
        <w:t>clinical questionnaire was used to evaluate pain, result of the operation, and the impact on the patient's body image. On average, the wedge osteotomy measured 28.9 degrees for correction of lumbar lordosis by 31.5 degrees with a maximum of 65 degrees. The misalignment at C7 was reduced from 51 mm to 2 mm. At the pelvic level, version improved 16 degrees, sacral slope 8 degrees. There were four dura mater breaches which had to be sutured, but with no clinical consequence (one progression to meningocele). Mean intraoperative blood loss was 1400 cc (300-4500cc) for a mean operative time of 260 minutes (165-450 min). There were two early infections at day 15 postop which resolved with antibiotics. Four patients developed resolutive sciatica (n = 2) or cruralgia (n = 2) during the following months. The short-term follow-up revealed eight non-unions (25%) with rupture of osteosynthesis material and loss of correction. The opening in the adjacent discs and the insufficient posterior closure explained this mechanical complication. CONCLUSION: Pedicle subtraction osteotomy is an original operative technique reserved for specialized centers. A well-experienced team is needed to control the risks involved. Sagittal balance should be one of the important goals for modern spinal surgery.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Chua, C. X. K., et al. (2024). "Five-year radiological outcomes between decompression alone and decompression with an interlaminar device for lumbar spinal stenosis." </w:t>
      </w:r>
      <w:r w:rsidRPr="00637692">
        <w:rPr>
          <w:rFonts w:ascii="Times New Roman" w:hAnsi="Times New Roman" w:cs="Times New Roman"/>
          <w:noProof/>
          <w:sz w:val="24"/>
          <w:u w:val="single"/>
        </w:rPr>
        <w:t>J Spine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10</w:t>
      </w:r>
      <w:r w:rsidRPr="00637692">
        <w:rPr>
          <w:rFonts w:ascii="Times New Roman" w:hAnsi="Times New Roman" w:cs="Times New Roman"/>
          <w:noProof/>
          <w:sz w:val="24"/>
        </w:rPr>
        <w:t>(3): 488-500.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There is limited literature regarding radiological outcomes </w:t>
      </w:r>
      <w:r w:rsidRPr="00637692">
        <w:rPr>
          <w:rFonts w:ascii="Times New Roman" w:hAnsi="Times New Roman" w:cs="Times New Roman"/>
          <w:noProof/>
          <w:sz w:val="24"/>
        </w:rPr>
        <w:lastRenderedPageBreak/>
        <w:t xml:space="preserve">in the use of interlaminar devices as an adjunct to decompression compared to decompression alone (DA) for symptomatic lumbar spinal stenosis (LSS). This study aims to assess and compare 5-year radiological outcomes following spinal decompression and decompression with ILD (D + ILD). METHODS: We conducted a retrospective review of prospectively collected data of 94 patients who underwent spinal decompression with or without ILD insertion between 2007-2015. Patients with symptomatic LSS who met the study criteria were offered spinal decompression with or without ILD insertion. Those patients who accepted ILD insertion were placed in the D + ILD group (n=39); while those opting for DA, were placed in the DA group (n=55). Radiological indices were assessed preoperatively, immediate post-operative, 2 years and 5 years postoperatively. RESULTS: There were a total of 94 patients with 55 in the DA group and 39 in the D + ILD group. In both groups, there was no significant change post-operatively in the sagittal balance parameters namely, the mean pelvic incidence, pelvic tilt, sacral slope and pelvic incidence minus lumbar lordosis (PI - LL) during the 5-year follow-up. Comparing between the groups, there was no significant difference in sagittal balance parameters. Comparing between DA versus D + ILD, there was no significant difference in overall lordosis, but the D + ILD had a significant reduction in sagittal angle (at the index level) of 2.3 degrees compared to the DA group (P=0.01). In the control group, there was no significant difference in the anterior disc, posterior disc and foraminal height post-operatively. In the D + ILD group, there was a significant </w:t>
      </w:r>
      <w:r w:rsidRPr="00637692">
        <w:rPr>
          <w:rFonts w:ascii="Times New Roman" w:hAnsi="Times New Roman" w:cs="Times New Roman"/>
          <w:noProof/>
          <w:sz w:val="24"/>
        </w:rPr>
        <w:lastRenderedPageBreak/>
        <w:t>mean increase of 1.3 mm in anterior disc height, 1.8 mm in posterior disc height and 4.7 mm in foraminal height compared to the control group. In both groups, there was significant improvement in all clinical outcomes namely 36-item short form survey physical component summary (SF36 PCS), 36-item short form survey mental component summary (SF36 MCS) and visual analogue scale (VAS). Comparing the groups, there was significant improvement in the D + ILD group in SF36 MCS (P=0.01) but no difference in SF36 PCS or VAS. Reoperation rates were equivalent. CONCLUSIONS: Our study found that in the management of lumbar stenosis, the use of an ILD as an adjunct device compared to DA had significant improvement in anterior disc, posterior disc and foraminal height with expected focal kyphosis at the level of intervention without change in the lumbar lordosis and sagittal balance at 5 years.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Chung, N. S., et al. (2022). "Factors Affecting Slip Reduction in Oblique Lumbar Interbody Fusion With Posterior Fixation for Degenerative Spondylolisthesis." </w:t>
      </w:r>
      <w:r w:rsidRPr="00637692">
        <w:rPr>
          <w:rFonts w:ascii="Times New Roman" w:hAnsi="Times New Roman" w:cs="Times New Roman"/>
          <w:noProof/>
          <w:sz w:val="24"/>
          <w:u w:val="single"/>
        </w:rPr>
        <w:t>Global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12</w:t>
      </w:r>
      <w:r w:rsidRPr="00637692">
        <w:rPr>
          <w:rFonts w:ascii="Times New Roman" w:hAnsi="Times New Roman" w:cs="Times New Roman"/>
          <w:noProof/>
          <w:sz w:val="24"/>
        </w:rPr>
        <w:t>(8): 1786-1791.</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Retrospective case series. OBJECTIVES: Reduction of translational/angular slip is a favorable radiological result in spinal fusion for degenerative spondylolisthesis, although its clinical significance remains controversial. Few studies have investigated slip reduction and associated factors in oblique lumbar interbody fusion (OLIF) for degenerative spondylolisthesis. METHODS: This study involved a retrospective analysis of </w:t>
      </w:r>
      <w:r w:rsidRPr="00637692">
        <w:rPr>
          <w:rFonts w:ascii="Times New Roman" w:hAnsi="Times New Roman" w:cs="Times New Roman"/>
          <w:noProof/>
          <w:sz w:val="24"/>
        </w:rPr>
        <w:lastRenderedPageBreak/>
        <w:t>56 operated levels of 52 consecutive patients who underwent OLIF for degenerative spondylolisthesis and had more than 1-year of regular follow-up. Translational/angular slip, anterior/posterior disc height, and spinopelvic parameters were measured preoperatively, postoperatively at 6-weeks, and at the last follow-up. Demographic, radiological, and surgical parameters were analyzed to determine factors associated with the amount of slip reduction. RESULT: The mean follow-up duration was 30.4 +/- 12.9 months (range, 12 to 61). The mean decrease in translational slip was 5.7 +/- 2.1 mm (13.6 +/- 5.5%) and the mean increase in angular slip was 7.9 +/- 7.1 degrees at the last follow-up (both P &lt; 0.001). The amount of slip reduction was greater in female sex, age &lt; 65 years, use of a 12 degrees cage, cage position from the anterior disc margin of &lt; 7 mm, and cases with posterior decompression (laminectomy with inferior facetectomy). CONCLUSIONS: OLIF showed satisfactory translational/angular slip reduction in degenerative spondylolisthesis. Surgical techniques for optimal reduction include the use of a large angle cage, anterior cage placement, and resection of the inferior facet.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Cohn, E. L., et al. (1997). "Plain film evaluation of degenerative disk disease at the lumbosacral junction." </w:t>
      </w:r>
      <w:r w:rsidRPr="00637692">
        <w:rPr>
          <w:rFonts w:ascii="Times New Roman" w:hAnsi="Times New Roman" w:cs="Times New Roman"/>
          <w:noProof/>
          <w:sz w:val="24"/>
          <w:u w:val="single"/>
        </w:rPr>
        <w:t>Skeletal Radiol</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26</w:t>
      </w:r>
      <w:r w:rsidRPr="00637692">
        <w:rPr>
          <w:rFonts w:ascii="Times New Roman" w:hAnsi="Times New Roman" w:cs="Times New Roman"/>
          <w:noProof/>
          <w:sz w:val="24"/>
        </w:rPr>
        <w:t>(3): 161-166.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Diagnosing degenerative disk disease (DDD) at the lumbosacral junction (LSJ) on plain films is often difficult, compared with other disk levels. The purpose of this study was to determine whether criteria for diagnosis of </w:t>
      </w:r>
      <w:r w:rsidRPr="00637692">
        <w:rPr>
          <w:rFonts w:ascii="Times New Roman" w:hAnsi="Times New Roman" w:cs="Times New Roman"/>
          <w:noProof/>
          <w:sz w:val="24"/>
        </w:rPr>
        <w:lastRenderedPageBreak/>
        <w:t xml:space="preserve">DDD at the LSJ can be established for plain films. DESIGN AND PATIENTS: We retrospectively reviewed 100 lumbar MRI scans of patients who also had lumbar plain films. Using MRI as the reference standard, the LSJ was classified as normal (n=35) or exhibiting mild (n=45) or severe (n=20) DDD by two radiologists using accepted criteria. Measurements were performed on the plain films by two other radiologists and the average measurements were tabulated according to the three categories of DDD defined by MRI. Plain film measurements included the anterior and posterior disk heights (ADH, PDH), Farfan's ratio, determined by adding ADH to PDH and dividing that number by the measured anteroposterior (AP) length of the inferior end plate of L5 [(ADH+PDH)/AP length of L5], and lumbosacral angle (LSA). Subsequently, five additional radiologists interpreted the radiographs by visual inspection only, for DDD at the LSJ, both before and, several weeks later, after being provided with the quantitative data for normal versus DDD. RESULTS AND CONCLUSION: There was a statistically significant difference between normal disk and increasing severity of DDD on radiographs using the parameters of PDH and Farfan's ratio. There was no statistically significant difference regarding ADH or LSA. Diagnostic accuracy by visual inspection was not significantly altered using the quantitative data for interpretation of DDD (68% correct before, 69.5% correct after). Analysis of results indicates that PDH is the most reliable and easily used criterion for detection of DDD at the LSJ. A PDH &lt; or =5.4 mm on plain lateral film indicates DDD; PDH &gt; or =7.7 mm </w:t>
      </w:r>
      <w:r w:rsidRPr="00637692">
        <w:rPr>
          <w:rFonts w:ascii="Times New Roman" w:hAnsi="Times New Roman" w:cs="Times New Roman"/>
          <w:noProof/>
          <w:sz w:val="24"/>
        </w:rPr>
        <w:lastRenderedPageBreak/>
        <w:t>indicates the absence of DDD on plain film.</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Collins, J. D., et al. (2003). "Scheuermann's disease as a model displaying the mechanism of venous obstruction in thoracic outlet syndrome and migraine patients: MRI and MRA." </w:t>
      </w:r>
      <w:r w:rsidRPr="00637692">
        <w:rPr>
          <w:rFonts w:ascii="Times New Roman" w:hAnsi="Times New Roman" w:cs="Times New Roman"/>
          <w:noProof/>
          <w:sz w:val="24"/>
          <w:u w:val="single"/>
        </w:rPr>
        <w:t>J Natl Med Assoc</w:t>
      </w:r>
      <w:r w:rsidRPr="00637692">
        <w:rPr>
          <w:rFonts w:ascii="Times New Roman" w:hAnsi="Times New Roman" w:cs="Times New Roman"/>
          <w:noProof/>
          <w:sz w:val="24"/>
        </w:rPr>
        <w:t xml:space="preserve"> </w:t>
      </w:r>
      <w:r w:rsidRPr="00637692">
        <w:rPr>
          <w:rFonts w:ascii="Times New Roman" w:hAnsi="Times New Roman" w:cs="Times New Roman"/>
          <w:b/>
          <w:noProof/>
          <w:sz w:val="24"/>
        </w:rPr>
        <w:t>95</w:t>
      </w:r>
      <w:r w:rsidRPr="00637692">
        <w:rPr>
          <w:rFonts w:ascii="Times New Roman" w:hAnsi="Times New Roman" w:cs="Times New Roman"/>
          <w:noProof/>
          <w:sz w:val="24"/>
        </w:rPr>
        <w:t>(4): 298-306.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Kyphosis of the thoracic spine rotates the scapulae anterior laterally, clavicles and subclavius muscles anteriorly, displaces the manubrium posteriorly, which increases the slope of the first ribs. This increases tension on the anterior scalene muscles and the neurovascular bundles which causes brachial plexopathy (TOS). Scheuermann's disease (spinal osteochondrosis; juvenile kyphoscoliosis) is a disorder which consists of vertebral wedging endplate irregularity and narrowing of the intervertebral disk space causing kyphosis of the thoracic spine and may also involve the lumbar space. It occurs at puberty and involves both male and females. Abduction external rotation of the upper extremities (arms overhead) posterior inferiorly rotate the clavicles and the subclavius muscles which enhances tension on the venous drainage and neurovascular supply that diminishes venous return. This triggers complaints of thoracic outlet syndrome (TOS) and migraine headache. Bilateral magnetic resonance imaging (MRI) demonstrates compressing abnormalities of the brachial plexus. Five patients with Scheuermann's disease were imaged with the 1.5 Tesla magnet (Signa; General Electric Medical Systems, Milwaukee, WI) 3-D reconstruction MRI. T1W and T2W pulse sequences were performed in transverse, the coronal, </w:t>
      </w:r>
      <w:r w:rsidRPr="00637692">
        <w:rPr>
          <w:rFonts w:ascii="Times New Roman" w:hAnsi="Times New Roman" w:cs="Times New Roman"/>
          <w:noProof/>
          <w:sz w:val="24"/>
        </w:rPr>
        <w:lastRenderedPageBreak/>
        <w:t>transverse oblique, sagittal, and coronal abduction external rotation planes using 4 mm slice thickness and 512 x 256 matrix size. Water bags were used to enhance the signal to noise ratio. Magnetic resonance angiography (MRA) 2-D Time Of Flight (TOF) was obtained to compression for anatomic display evaluate perfusion of the brachial plexus. MRI and MRA captured sites of brachial plexus. One patient was selected for this presentation, which demonstrates the compression of the brachial plexus and venous obstruction which triggered complaints of thoracic outlet syndrome.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Coulier, B. (2000). "[Evaluation of lumbar canal stenosis: decubitus imaging methods versus flexion-extension myelography and surface measurements versus the diameter of the dural sac]." </w:t>
      </w:r>
      <w:r w:rsidRPr="00637692">
        <w:rPr>
          <w:rFonts w:ascii="Times New Roman" w:hAnsi="Times New Roman" w:cs="Times New Roman"/>
          <w:noProof/>
          <w:sz w:val="24"/>
          <w:u w:val="single"/>
        </w:rPr>
        <w:t>JBR-BTR</w:t>
      </w:r>
      <w:r w:rsidRPr="00637692">
        <w:rPr>
          <w:rFonts w:ascii="Times New Roman" w:hAnsi="Times New Roman" w:cs="Times New Roman"/>
          <w:noProof/>
          <w:sz w:val="24"/>
        </w:rPr>
        <w:t xml:space="preserve"> </w:t>
      </w:r>
      <w:r w:rsidRPr="00637692">
        <w:rPr>
          <w:rFonts w:ascii="Times New Roman" w:hAnsi="Times New Roman" w:cs="Times New Roman"/>
          <w:b/>
          <w:noProof/>
          <w:sz w:val="24"/>
        </w:rPr>
        <w:t>83</w:t>
      </w:r>
      <w:r w:rsidRPr="00637692">
        <w:rPr>
          <w:rFonts w:ascii="Times New Roman" w:hAnsi="Times New Roman" w:cs="Times New Roman"/>
          <w:noProof/>
          <w:sz w:val="24"/>
        </w:rPr>
        <w:t>(2): 61-67.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Though CT and MRI are presently the most frequently required noninvasive methods for the diagnosis of lumbar spinal stenosis (LSS), imaging of a supine patient may not demonstrate the maximal spinal stenosis shown by upright flexion-extension myelography (FEM). Our prospective study tries to assess the averaging discrepancies between the supine CT-myelograms and the upright FEM in 50 patients. Considering all L2-L3 to L4-L5 vertebral levels, a mean underestimation of 16% of the diameter of the dural sac is found when and CT-myelograms are compared with extension myelography. Meaningful clinical discrepancies of 30% and more are found in 15.5% of these levels, the L5-S1 level remaining rather stable. Marked variations--but of less critical diagnostic </w:t>
      </w:r>
      <w:r w:rsidRPr="00637692">
        <w:rPr>
          <w:rFonts w:ascii="Times New Roman" w:hAnsi="Times New Roman" w:cs="Times New Roman"/>
          <w:noProof/>
          <w:sz w:val="24"/>
        </w:rPr>
        <w:lastRenderedPageBreak/>
        <w:t>interest--are also found between flexion and extension with, for flexion, a mean underestimation of 20% and discrepancies of 30% and more in 18.33% of L2-L3 to L4-L5 levels. Paradoxical results--CT diameters inferior to extension diameters--concern 22% of all studied levels but are of little clinical significance; only small discrepancies of 8.2% are found in a majority of non stenotic levels--with a maximal intensity for the L5-S1 level rarely implicated in LSS-. Measuring the mean cross-sectional surface occupied by the neural elements in the dural sac on CT-myelograms (189 evaluations), our study also empirically confirms a 60 to 80 mm2 are++ being the landmark of absolute stenosis. Finally, measurements of the cross-sectional area of the dural sac-109 L2-L5 levels inferior to 8.5 mm on CT myelograms or CT studies--show a large dispersion of areas for diameters superior to 6.5 mm and confirm cross-sectional area of the dural sac to be a much reliable parameter of LSS than diameter of the dural sac. We conclude that upright FEM--while not a first-line imaging modality for LSS--should be performed to exclude functional or dynamic position-dependent LSS in the patients whose symptoms are not explained by routine cross-sectional imaging, as long as no other upright technology is available.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Cui, X. and G. Wang (2017). "Radiographic anatomical relationship between spinous process and pedicle in thoracolumbar and lumbar spine." </w:t>
      </w:r>
      <w:r w:rsidRPr="00637692">
        <w:rPr>
          <w:rFonts w:ascii="Times New Roman" w:hAnsi="Times New Roman" w:cs="Times New Roman"/>
          <w:noProof/>
          <w:sz w:val="24"/>
          <w:u w:val="single"/>
        </w:rPr>
        <w:t>Medicine (Baltimore)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96</w:t>
      </w:r>
      <w:r w:rsidRPr="00637692">
        <w:rPr>
          <w:rFonts w:ascii="Times New Roman" w:hAnsi="Times New Roman" w:cs="Times New Roman"/>
          <w:noProof/>
          <w:sz w:val="24"/>
        </w:rPr>
        <w:t>(21): e6732.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lastRenderedPageBreak/>
        <w:tab/>
        <w:t xml:space="preserve">Pedicle screws are widely used in spinal surgeries, but it remains technically demanding to place. There are numerous studies on the anatomy of pedicle; however, there is very little insight on the relationship between the pedicle and the spinous process, which is an important part of the spinal posterior column.The aim of the study was to investigate the radiographic anatomical relationship between spinous processes and pedicles in the thoracolumbar and lumbar spine, in order to reveal a novel entrance point for pedicle screw insertion.Sixty candidates were enrolled in this study; cases were excluded with degenerative disorders and other disorders as osteoporosis, deformity, and tumor. Radiographs and computer tomography scans between T10 and L5 were obtained on each case. The distance was measured that between the superior margin of spinous process root and the superior border, the inferior border and the axis of pedicle. In laboratory, 5 fresh cadavers were used to imitate the pedicle screw insertion.The basic reference point was supposed as the intersection between the horizontal line of superior margin of spinous process root and the central vertical line of the superior facet. For T10 to T12, the pedicle axis was 5 mm beyond the reference point. For L1 to L4, the pedicle axis was at the reference point. At L5, the pedicle axis was 5 mm beneath the reference point. In laboratory, 80 screws were all inserted into pedicles successfully according to the newly referred entrance point.The study reveals the radiographic anatomical relationship between the pedicle and the spinous process. The pedicle axis is around the horizontal line of the superior margin of </w:t>
      </w:r>
      <w:r w:rsidRPr="00637692">
        <w:rPr>
          <w:rFonts w:ascii="Times New Roman" w:hAnsi="Times New Roman" w:cs="Times New Roman"/>
          <w:noProof/>
          <w:sz w:val="24"/>
        </w:rPr>
        <w:lastRenderedPageBreak/>
        <w:t>spinous process root. It provides a new anatomic mark of pedicle screw entrance point.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Epstein, N. E. (2020). "Diagnosis and Safe Excision of Lumbar Synovial Cysts and Accompanying Pathology: A Perspective." </w:t>
      </w:r>
      <w:r w:rsidRPr="00637692">
        <w:rPr>
          <w:rFonts w:ascii="Times New Roman" w:hAnsi="Times New Roman" w:cs="Times New Roman"/>
          <w:noProof/>
          <w:sz w:val="24"/>
          <w:u w:val="single"/>
        </w:rPr>
        <w:t>Surg Neurol Int</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11</w:t>
      </w:r>
      <w:r w:rsidRPr="00637692">
        <w:rPr>
          <w:rFonts w:ascii="Times New Roman" w:hAnsi="Times New Roman" w:cs="Times New Roman"/>
          <w:noProof/>
          <w:sz w:val="24"/>
        </w:rPr>
        <w:t>: 33.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Lumbar synovial cysts are often not sufficiently diagnosed prior to spine surgery. Utilizing both MR and CT studies is critical for recognizing the full extent/severity of these lesions. METHODS: In patients with chronic, acute, or subacute lumbar disease, obtaining both MR and CT studies is critical to correctly diagnose; disc disease, hypertrophy/ossification of the yellow ligament (OYL), stenosis, with/without degenerative spondylolisthesis, and/or synovial cysts (SC). RESULTS: MR T2 weighted images directly demonstrate hyperintensity within a SC. They initially cause lateral recess/caudad nerve root and/foraminal compromise, with larger extrusions causing significant lateral thecal sac, and far lateral/superior cephalad root compromise. CT 2 mm cuts often better demonstrate mid-vertebral level compression of cephalad nerve roots with/without SC calcification, along with the extent of mid-vertebral stenosis, hypertrophy/OYL, and DS. When CT studies directly document SC calcification, it alerts the surgeon to the increased potential risk of creating a cerebrospinal fluid fistula with full SC excision, and should prompt the adoption of alternative measures such as decompression/partial removal. Most critically, surgery for synovial </w:t>
      </w:r>
      <w:r w:rsidRPr="00637692">
        <w:rPr>
          <w:rFonts w:ascii="Times New Roman" w:hAnsi="Times New Roman" w:cs="Times New Roman"/>
          <w:noProof/>
          <w:sz w:val="24"/>
        </w:rPr>
        <w:lastRenderedPageBreak/>
        <w:t>cysts often warrants a 2-level laminectomy for fuller visualization of the cephalad and caudad nerve roots, and clearer differentiation of neural tissues from the large fibrotic SC capsule, to effect safer removal. CONCLUSIONS: Preoperatively, establishing the full cephalad and cauda extent of lumbar synovial cysts with both MR and CT studies is critical. Anticipation and better visualization of the foraminal/far lateral and superior extent of these lesions often warrants more extensive multilevel laminectomies for thecal sac and both cephalad and caudad root decompression.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Fan, J., et al. (2016). "Evaluation of surgical outcome of Jack vertebral dilator kyphoplasty for osteoporotic vertebral compression fracture-clinical experience of 218 cases." </w:t>
      </w:r>
      <w:r w:rsidRPr="00637692">
        <w:rPr>
          <w:rFonts w:ascii="Times New Roman" w:hAnsi="Times New Roman" w:cs="Times New Roman"/>
          <w:noProof/>
          <w:sz w:val="24"/>
          <w:u w:val="single"/>
        </w:rPr>
        <w:t>J Orthop Surg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11</w:t>
      </w:r>
      <w:r w:rsidRPr="00637692">
        <w:rPr>
          <w:rFonts w:ascii="Times New Roman" w:hAnsi="Times New Roman" w:cs="Times New Roman"/>
          <w:noProof/>
          <w:sz w:val="24"/>
        </w:rPr>
        <w:t>(1): 56.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Osteoporotic vertebral compression fracture is a serious complication of osteoporosis. Various vertebral kyphoplasty surgeries, which have their own unique features, are commonly used for osteoporotic vertebral compression fracture. Based on the anatomic property of the thoracolumbar vertebral pedicle that its horizontal diameter is twice that of the vertical diameter, we designed Jack vertebral dilator for better restoration of the vertebral height by manipulating the mechanical force. METHODS: A total of 218 patients (236 vertebrae) with osteoporotic vertebral compression fracture were treated with Jack vertebral dilator. Surgery was successfully completed in all cases, and all the 218 patients were followed up for an average of 14.2 months (range 3 to 30 </w:t>
      </w:r>
      <w:r w:rsidRPr="00637692">
        <w:rPr>
          <w:rFonts w:ascii="Times New Roman" w:hAnsi="Times New Roman" w:cs="Times New Roman"/>
          <w:noProof/>
          <w:sz w:val="24"/>
        </w:rPr>
        <w:lastRenderedPageBreak/>
        <w:t>months). RESULTS: Bone cement leakage occurred in 12 cases, but no symptoms were reported. No other complications were noticed. The VAS scores were 8.2 +/- 1.3, 1.7 +/- 0.9, and 1.8 +/- 0.8 and the ODI was 78.2 +/- 13.3 %, 18.5 +/- 7.3 %, and 20.9 +/- 6.8 % before surgery and 1 week after surgery and at the final follow-up, respectively. The anterior vertebral body height was 19.3 +/- 3.2, 25.1 +/- 2.6, and 24.9 +/- 2.6 mm and the central vertebral body height was 18.7 +/- 3.0, 24.8 +/- 3.0, and 24.5 +/- 2.9 mm before surgery and 1 week after surgery and at the final follow-up, respectively. Cobb angle was 16.2 degrees +/- 6.6 degrees , 8.1 degrees +/- 5.6 degrees , and 8.5 degrees +/- 5.6 degrees before surgery and 1 week after surgery and at the final follow-up, respectively. CONCLUSIONS: Jack vertebral dilator kyphoplasty for osteoporotic vertebral compression fracture is safe, feasible, and effective and has the prospect of further broad application in the future.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Farber, S. H., et al. (2023). "A comparison of modern-era anterior lumbar interbody fusion and minimally invasive transforaminal lumbar interbody fusion at the lumbosacral junction."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39</w:t>
      </w:r>
      <w:r w:rsidRPr="00637692">
        <w:rPr>
          <w:rFonts w:ascii="Times New Roman" w:hAnsi="Times New Roman" w:cs="Times New Roman"/>
          <w:noProof/>
          <w:sz w:val="24"/>
        </w:rPr>
        <w:t>(6): 785-792.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Interbody fusion is the primary method for achieving arthrodesis across the lumbosacral junction in the setting of degenerative pathologies, such as spondylosis and spondylolisthesis. Two common techniques are anterior lumbar interbody fusion (ALIF) and posterior transforaminal lumbar interbody fusion (TLIF). In recent years, interbody design and technology have advanced, </w:t>
      </w:r>
      <w:r w:rsidRPr="00637692">
        <w:rPr>
          <w:rFonts w:ascii="Times New Roman" w:hAnsi="Times New Roman" w:cs="Times New Roman"/>
          <w:noProof/>
          <w:sz w:val="24"/>
        </w:rPr>
        <w:lastRenderedPageBreak/>
        <w:t xml:space="preserve">and most earlier studies comparing ALIF and TLIF did not specifically assess the lumbosacral junction. This study compared changes in radiographic and clinical parameters between patients undergoing modern-era single-level ALIF and minimally invasive surgery (MIS) TLIF at L5-S1. METHODS: Consecutive patients who underwent single-segment L5-S1 ALIF or MIS TLIF performed by the senior authors over a 6-year interval (January 1, 2016-November 30, 2021) were retrospectively reviewed. Upright radiographs were used to determine pre- and postoperative lumbar lordosis, segmental lordosis, disc angle, and neuroforaminal height. Improvements in patient-reported outcome scores (Oswestry Disability Index and SF-36) were also compared. RESULTS: Overall, 108 patients (58 [54%] men, 50 [46%] women; mean [SD] age 57.6 [13.5] years) were included in the study. ALIF was performed in 49 patients, and TLIF was performed in 59 patients. The most common treatment indications were spondylolisthesis (50%, 54/108) and spondylosis (46%, 50/108). The cohorts did not differ in terms of intraoperative (p &gt; 0.99) or postoperative (p = 0.73) complication rates. The mean (SD) hospital length of stay was significantly shorter for patients undergoing TLIF than ALIF (1.3 [0.6] days vs 2.0 [1.4] days, p &lt; 0.001). Both techniques significantly improved L5-S1 segmental lordosis, disc angle, and neuroforaminal height (p &lt;/= 0.008). ALIF versus TLIF significantly increased mean [SD] segmental lordosis (12.5 degrees [7.3 degrees ] vs 2.0 degrees [5.7 degrees ], p &lt; 0.001), disc angle (14.8 degrees [5.5 degrees ] vs 3.0 degrees [6.1 degrees ], p &lt; 0.001), and </w:t>
      </w:r>
      <w:r w:rsidRPr="00637692">
        <w:rPr>
          <w:rFonts w:ascii="Times New Roman" w:hAnsi="Times New Roman" w:cs="Times New Roman"/>
          <w:noProof/>
          <w:sz w:val="24"/>
        </w:rPr>
        <w:lastRenderedPageBreak/>
        <w:t>neuroforaminal height (4.5 [4.6] mm vs 2.4 [3.0] mm, p = 0.008). Improvements in patient-reported outcome parameters and reoperation rates were similar between cohorts. CONCLUSIONS: When treating patients at a single segment across the lumbosacral junction, ALIF resulted in significantly greater increases in segmental lordosis, L5-S1 disc angle, and neuroforaminal height compared with MIS TLIF. Improvements in clinical parameters and reoperation rates were similar between the 2 techniques.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Fu, L., et al. (2017). "Biomechanical effect of interspinous process distraction height after lumbar fixation surgery: An in vitro model." </w:t>
      </w:r>
      <w:r w:rsidRPr="00637692">
        <w:rPr>
          <w:rFonts w:ascii="Times New Roman" w:hAnsi="Times New Roman" w:cs="Times New Roman"/>
          <w:noProof/>
          <w:sz w:val="24"/>
          <w:u w:val="single"/>
        </w:rPr>
        <w:t>Proc Inst Mech Eng 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231</w:t>
      </w:r>
      <w:r w:rsidRPr="00637692">
        <w:rPr>
          <w:rFonts w:ascii="Times New Roman" w:hAnsi="Times New Roman" w:cs="Times New Roman"/>
          <w:noProof/>
          <w:sz w:val="24"/>
        </w:rPr>
        <w:t>(7): 663-672.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Pedicle screw fixation may induce abnormal activity at adjacent segment and accelerate the degeneration of lumbar vertebrae. Dynamic stabilizers could provide an intermediate solution between conservative treatment and fusion surgery. Lumbar vertebral segment cephalad to instrumented fixation was the most common localization of adjacent segment degeneration. The aim of this study is to explore the use of interspinous process devices in the lumbar vertebral segment cephalad to fixation segment in changing the mechanical distribution and limiting abnormal activity of the spine. Eight specimens were tested in the following groups: intact group, instability group (bilateral facetectomy at L3-L4), fixation group (bilateral facetectomy and pedicle screw fixation at L3-L4), and hybrid fixation group (fixation at L3-L4 and simulating </w:t>
      </w:r>
      <w:r w:rsidRPr="00637692">
        <w:rPr>
          <w:rFonts w:ascii="Times New Roman" w:hAnsi="Times New Roman" w:cs="Times New Roman"/>
          <w:noProof/>
          <w:sz w:val="24"/>
        </w:rPr>
        <w:lastRenderedPageBreak/>
        <w:t>interspinous device implantation of 6, 8, 10, 12, 14, 16, and 18 mm at L2-L3). Range of motion, motion of vertebral body, and strain distribution change were recorded. The range of motion in extension with 16- and 18-mm hybrid constructs was significantly lower than intact, instability, and fixation groups. In flexion and lateral bending, the strain values of L4 inferior articular process with 18-mm hybrid construct have a significant difference compared with other groups. In axial rotation, under the condition of a contralateral state, the strain values of L2 superior articular process with 18-mm hybrid construct have a significant difference compared with intact and fixation groups. The strain value of the L4 inferior articular process had negative correlation with height distraction in three dimensions, except extension. A negative correlation between the strain value of the L2 superior articular process and distraction height was found in contralateral bending and contralateral axial rotation. Interspinous process devices above the fixation segment can change the mechanical distribution of the spine and limit activity in some of the segments of the spine, which may delay the degeneration of the adjacent segment.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Ghenbot, Y., et al. (2023). "Simultaneous Anterior Posterior Approach for Single-Position Lateral Lumbar Interbody Fusion with Robotic Assistance: Technical Guidelines and Early Outcomes." </w:t>
      </w:r>
      <w:r w:rsidRPr="00637692">
        <w:rPr>
          <w:rFonts w:ascii="Times New Roman" w:hAnsi="Times New Roman" w:cs="Times New Roman"/>
          <w:noProof/>
          <w:sz w:val="24"/>
          <w:u w:val="single"/>
        </w:rPr>
        <w:t>World Neurosurg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170</w:t>
      </w:r>
      <w:r w:rsidRPr="00637692">
        <w:rPr>
          <w:rFonts w:ascii="Times New Roman" w:hAnsi="Times New Roman" w:cs="Times New Roman"/>
          <w:noProof/>
          <w:sz w:val="24"/>
        </w:rPr>
        <w:t>: e425-e430.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Lumbar lateral interbody fusion (LLIF) is traditionally performed in 2 stages: placing the interbody cage in the lateral decubitus </w:t>
      </w:r>
      <w:r w:rsidRPr="00637692">
        <w:rPr>
          <w:rFonts w:ascii="Times New Roman" w:hAnsi="Times New Roman" w:cs="Times New Roman"/>
          <w:noProof/>
          <w:sz w:val="24"/>
        </w:rPr>
        <w:lastRenderedPageBreak/>
        <w:t>position, then placing the percutaneous pedicle screw in the prone position. Performing interbody fusion and posterior fixation simultaneously could improve operative efficiency and clinical outcomes associated with longer operative times. We describe the operative steps and report clinical and radiographic outcomes associated with a simultaneous anterior and posterior approach (SAPA) for LLIF. METHODS: Patients who underwent SAPA LLIF performed by a single surgeon over 1 year were retrospectively reviewed. Demographic, clinical, and radiographic data were analyzed, an operative guideline was created, and a learning curve was constructed using operative times. RESULTS: SAPA LLIF was performed in 11 patients. Three patients experienced transient postoperative femoral nerve plexopathy with symptoms of ipsilateral hip flexion weakness and/or anterior thigh numbness; there were no other complications in the cohort. Radiographically, patients achieved significant increases in disc height (8.3 mm vs. 13.5 mm, P = 0.002) and foraminal height (20.2 mm vs. 25.3 mm, P = 0.0001). Patients showed significant improvements in Oswestry Disability Index (52 vs. 27.8, P = 0.002) and Patient-Reported Outcome Measurement Information System Physical Function (32.6 vs. 39, P = 0.048) and Pain Interference (64.9 vs. 59.6, P = 0.001) at 3 months. A downward trend in operative time was observed for 1-level SAPA LLIF. CONCLUSIONS: SAPA LLIF is a safe approach for LLIF that results in favorable clinical outcomes. This technique can potentially improve operative efficiency further along the course of a surgeon's learning curve.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Ghosh Md, R., et al. (2022). "Seropositive Neuromyelitis Optica in a Case of Undiagnosed Ankylosing Spondylitis: A Neuro-Rheumatological Conundrum." </w:t>
      </w:r>
      <w:r w:rsidRPr="00637692">
        <w:rPr>
          <w:rFonts w:ascii="Times New Roman" w:hAnsi="Times New Roman" w:cs="Times New Roman"/>
          <w:noProof/>
          <w:sz w:val="24"/>
          <w:u w:val="single"/>
        </w:rPr>
        <w:t>Qatar Med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2022</w:t>
      </w:r>
      <w:r w:rsidRPr="00637692">
        <w:rPr>
          <w:rFonts w:ascii="Times New Roman" w:hAnsi="Times New Roman" w:cs="Times New Roman"/>
          <w:noProof/>
          <w:sz w:val="24"/>
        </w:rPr>
        <w:t>(3): 29.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Neuromyelitis optica spectrum disorder (NMOSD) is an autoimmune astrocytopathy against foot processes of aquaporin-4 (AQP4) water channels. Patients with NMOSD tend to have other coexisting autoimmune/connective tissue diseases. However, AQP-4-antibody-positive NMOSD coexisting with ankylosing spondylitis (AS) is rare. AS is an immune-mediated disorder, a subset of axial spondyloarthropathies, which commonly manifests as chronic inflammatory back pain in young people, and it has a strong association with HLA-B27. In this study, a 35-year-old Indian man with an undiagnosed progressive axial spondyloarthropathy (i.e., AS) is reported presenting with acute-onset longitudinally extensive transverse myelitis, a clinical subset of NMOSD. Neuromyelitis optica spectrum disorder (NMOSD), a primary demyelinating disorder of the central nervous system (CNS), is an autoimmune astrocytopathy against foot processes of aquaporin-4 (AQP4) water channels, which manifests with optic neuritis, longitudinally extensive transverse myelitis (LETM), area-postrema syndrome, brainstem syndrome diencephalic syndrome, and cerebral syndrome.(1-4) Ankylosing spondylitis (AS) is an immune-mediated disorder, a subset of axial spondyloarthropathies, which commonly manifests as chronic inflammatory back pain in young people, and it has a </w:t>
      </w:r>
      <w:r w:rsidRPr="00637692">
        <w:rPr>
          <w:rFonts w:ascii="Times New Roman" w:hAnsi="Times New Roman" w:cs="Times New Roman"/>
          <w:noProof/>
          <w:sz w:val="24"/>
        </w:rPr>
        <w:lastRenderedPageBreak/>
        <w:t xml:space="preserve">strong association with HLA-B27.(5,6) AS characteristically targets the axial skeleton, peripheral joints, entheses (connective tissues between tendons/ligaments and bones), and gut.(5,6) Patients with NMOSD tend to have other coexisting autoimmune/connective tissue diseases.(7) For example, cases with NMOSD and multiple sclerosis, which are other autoimmune primary demyelinating disorders of the CNS, have been reported.(8,9) However, concurrent existence of AS and NMOSD in the same patient even over years of disease course is rare.(10,11) In addition, studies describing neurological manifestations of AS are limited,(12) and they focus on joint inflammation and long-standing bony pathology (ankylosis) related to compressive myelopathy, myelo-radiculopathy, and cauda equina syndromes.(12,13) The authors present a case of a young Indian man with an undiagnosed progressive AS (misdiagnosed and mismanaged by an indigenous medical practitioner) presenting with acute-onset LETM variant of AQP4-positive NMOSD. A 35-year-old healthy, non-comorbid man from rural India came to the outpatient department with complaints of persistent tingling, numbness, and weakness of both lower limbs (right more than left) for 10 days. The clinical picture showed acute-onset urinary retention, which was relieved by urinary catheterization. An indigenous medical practitioner had prescribed drugs to treat a urinary tract infection. His weakness gradually progressed over the following week, causing him to become bedridden. During the removal of the catheter, he felt urgency, increased frequency of micturition, and overt urinary incontinence. He gave no </w:t>
      </w:r>
      <w:r w:rsidRPr="00637692">
        <w:rPr>
          <w:rFonts w:ascii="Times New Roman" w:hAnsi="Times New Roman" w:cs="Times New Roman"/>
          <w:noProof/>
          <w:sz w:val="24"/>
        </w:rPr>
        <w:lastRenderedPageBreak/>
        <w:t xml:space="preserve">history suggestive of any girdle-like sensations, root/radicular/tract pain, vertebral pain, trauma, recent vaccination, and diarrheal or febrile illness. For the last 8 months, he had a complaint of an insidious-onset, persistent, bilateral, dull aching pain in the gluteal region accompanied by low-back pain and morning stiffness up to 1 h, which markedly improved with activity and reoccurred following long periods of inactivity. He sometimes had to rise in the middle of the night because of excruciating pain, which could be relieved after moving around the room and corridors for half an hour. He was taking over-the-counter diclofenac tablets for pain relief prescribed by some indigenous medical practitioners who told him that it was due to overwork in agricultural fields, that is, mechanical back pain. He also had a normal X-ray of the lumbosacral spine. He had no addiction liabilities, and none of the family members had ever suffered from a similar kind of illness. He had never consulted any trained medical practitioner, as his previous back-pain-related symptoms responded well to the tablets prescribed by the indigenous medical practitioner(s). During examination, he was found to have recent-onset, asymmetric spastic paraparesis (right more than left) with upper motor neuron-type urinary bladder symptoms. Cognitive assessment (assessed by the Montreal cognitive assessment test) was normal, and posterior column sensations were preserved. Sensory system examination revealed no definite sensory level. Except for the paretic lower limbs, cerebellar functions were normal in other regions. Neuro-ophthalmological examinations were also normal, and no signs of meningeal </w:t>
      </w:r>
      <w:r w:rsidRPr="00637692">
        <w:rPr>
          <w:rFonts w:ascii="Times New Roman" w:hAnsi="Times New Roman" w:cs="Times New Roman"/>
          <w:noProof/>
          <w:sz w:val="24"/>
        </w:rPr>
        <w:lastRenderedPageBreak/>
        <w:t xml:space="preserve">irritation were observed. The history and course of the disease and clinical examinations were analyzed. Selective tractopathy (early and predominant motor and autonomic tract affection) was suggested for an intramedullary demyelinating pathology affecting the anterior central cord. This case was initially classified as acute-onset non-compressive myelopathy at the lower cervical/upper dorsal region level in a patient with a pre-existing axial spondyloarthropathy. Complete blood cell count; liver, kidney, and thyroid function tests; and plasma glucose and electrolytes were normal, except for an increased erythrocyte sedimentation rate (66 mm in the first hour). Magnetic resonance imaging (MRI) of the spinal cord revealed a demyelinating LETM from C5 to D4 level (Figure 1). Meanwhile, an MRI of the sacroiliac joints revealed bilateral sacroiliitis. Brain and orbital MRIs were devoid of any lesions. Anti-aquaporin 4 (AQP-4) antibodies were tested by cell-based assay in serum and cerebrospinal fluid (CSF), and both were positive. CSF further revealed lymphocytic pleocytosis and increased intrathecal protein production. Visually evoked potential recordings were also normal. In addition, anti-myelin oligodendrocyte glycoprotein antibodies were negative. Anti-nuclear antibody (ANA), ANA-profile, autoimmune vasculitis profile (c-ANCA, p-ANCA), neurovirus panel (i.e., polymerase chain reaction for adenovirus, Epstein-Barr virus, herpes simplex viruses 1 and 2, human herpesviruses 6 and 7, cytomegalovirus, enteroviruses, varicella-zoster virus, Japanese encephalitis, and dengue virus), CSF-polymerase chain reaction for Mycobacterium </w:t>
      </w:r>
      <w:r w:rsidRPr="00637692">
        <w:rPr>
          <w:rFonts w:ascii="Times New Roman" w:hAnsi="Times New Roman" w:cs="Times New Roman"/>
          <w:noProof/>
          <w:sz w:val="24"/>
        </w:rPr>
        <w:lastRenderedPageBreak/>
        <w:t xml:space="preserve">tuberculosis, angiotensin-converting enzyme, anti-phospholipid, and anti-thyroid antibodies were negative. Anti-CCP-antibody and rheumatoid factor were also negative, including creatine phosphokinase level and serum vitamin B12. Moreover, serologies for hepatitis B, C, human immunodeficiency virus, and scrub typhus were negative. However, HLA-B27 assay was positive. The final diagnosis was AQP4-positive NMOSD associated with AS. He was placed on pulse intravenous methylprednisolone (1 g/day for 5 days). Consequently, his lower limb power improved remarkably. Cyclical rituximab therapy was initiated to prevent relapses. At 3-month follow-up, he had no residual neurological deficit except for persistence of paresthesias. Neuroimaging and visually evoked potential studies revealed no active or new lesions. After 6 months of therapy, a subjective and objective improvement was observed in disease severity based on the Ankylosing Spondylitis Disease Activity Score. Our patient satisfied the new Assessment of SpondyloArthritis International Society diagnostic/classification criteria for AS and the Wingerchuk criteria for NMOSD,(4,14) an association that has been rarely reported.(10,11) Amid the extra-articular complications of long-standing AS, neurological manifestations are considered infrequent.(15) However, subclinical neurological complications may be frequent in AS.(12) Common neurological manifestations result from bony (vertebral) ankylosis, subluxation of joints, ossification of anterior and posterior longitudinal ligaments, secondary spinal canal stenosis, bony (vertebral) fractures, and subsequent compressions over nerve </w:t>
      </w:r>
      <w:r w:rsidRPr="00637692">
        <w:rPr>
          <w:rFonts w:ascii="Times New Roman" w:hAnsi="Times New Roman" w:cs="Times New Roman"/>
          <w:noProof/>
          <w:sz w:val="24"/>
        </w:rPr>
        <w:lastRenderedPageBreak/>
        <w:t xml:space="preserve">radicles/roots/cauda equina, and inflammation-related (entrapment) peripheral neuropathies.(12,16,17) Acute transverse myelitis can occur as a subset of several primary demyelinating disorders of the CNS (i.e., multiple sclerosis, NMOSD, myelin oligodendrocyte glycoprotein antibody disease, and acute disseminated encephalomyelitis) and various systemic autoimmune connective tissue disorders (i.e., systemic lupus erythematosus, mixed connective tissue disease, Sjogren syndrome, inflammatory bowel disease, and neurosarcoidosis).(18) Acute transverse myelitis (short or long segment) is an infrequent extra-articular complication of AS.(18) It has been reported to evolve either as a distinct neurological complication of AS, or it may develop secondary to TNF-alpha-inhibitor therapy for the treatment of AS.(18,19) AS is a heritable inflammatory spondyloarthropathy that primarily affects the axial skeleton, which is mediated by T-cells; B-cells only play a minor role.(5) On the contrary, the key for the pathogenesis of NMOSD is the production of autoantibodies against AQP-4 channels expressed on astrocytes, leading to complement-mediated damage, with ensuing demyelination. Myelitis usually shows high signal intensity on the tbl2-weighted image and contrast enhancement in the spinal cord.(1-4) Despite the difference in molecular mechanisms, the diagnosis of these diseases in the same individual may not be coincidental. Recent evidence has shown T-cell-mediated inflammatory responses in cases of NMOSD.(20) In particular, Th17 and Th2-related cytokines are elevated in the CSF of NMO patients.(20) Environmental factors </w:t>
      </w:r>
      <w:r w:rsidRPr="00637692">
        <w:rPr>
          <w:rFonts w:ascii="Times New Roman" w:hAnsi="Times New Roman" w:cs="Times New Roman"/>
          <w:noProof/>
          <w:sz w:val="24"/>
        </w:rPr>
        <w:lastRenderedPageBreak/>
        <w:t xml:space="preserve">such as Escherichia coli have also been proven to aggravate autoimmunity in AS and NMOSD (however, body fluid cultures for Escherichia coli, performed in our patient, showed similar association, and they were found negative two times).(21,22) Although large-scale epidemiological studies investigating the underlying pathogenesis related to these diseases are lacking, studies have demonstrated an increased incidence of optic neuritis among patients with AS.(23) Systemic sclerosis and mixed and undifferentiated connective tissue diseases were excluded after expert opinions (from two board-certified rheumatologists and two dermatologists) because of the lack of suggestive clinical findings (e.g., absence of skin thickening, salt-and-pepper appearance, nail changes, Mauskopf facies, sclerodactyly, calcinosis cutis, Raynaud's phenomenon, other cutaneous manifestations, pulmonary arterial hypertension/interstitial lung disease, dysphagia, muscular pain/weakness renal impairments, absence of ANA, anti-centromere antibodies, anti-Scl-70, PM-Scl antibodies, anti-ds DNA, PCNA, CENP-B, anti-nucleosomes, anti-Smith, anti-U1-RNP, anti-Jo1, anti-Mi2, anti-Ro52, anti-La antibodies, and normal C3 and C4 complement levels) (The European League Against Rheumatism and the American College of Rheumatology classification criteria 2019).(24) Finally, our patient was treated with intravenous steroids followed by rituximab infusions, a monoclonal anti-CD20 antibody directed against B-cells. In particular, this patient clinically and radiologically responded to immunomodulatory drugs, which might support a possible common pathogenic </w:t>
      </w:r>
      <w:r w:rsidRPr="00637692">
        <w:rPr>
          <w:rFonts w:ascii="Times New Roman" w:hAnsi="Times New Roman" w:cs="Times New Roman"/>
          <w:noProof/>
          <w:sz w:val="24"/>
        </w:rPr>
        <w:lastRenderedPageBreak/>
        <w:t>basis of the two processes. TNF-alpha inhibitors are commonly used as novel therapeutics in AS; however, they can potentially result in serious complications, that is, secondary demyelinating disorders.(25) However, such inhibitors in this patient were not used. When used in cases of AS, they show satisfactory results.(25,26) Therefore, it was decided to treat him with rituximab only without adding any second immunomodulatory. Other possible therapeutic options include cyclophosphamide and mycophenolate mofetil, but they were not used because of their low efficacy-safety balance. Moreover, plasmapheresis was not available in our specific setting, despite solid evidence that early treatment with therapeutic strategy (5-7 courses) provides good long-term outcomes in patients with NMOSD.(27) Therefore, when dealing with a case of acute non-compressive myelopathy, history and clinical examination are important to determine the potential underlying etiology and identify an undermined systemic disorder with apparently unrelated non-specific features. Connective tissue disorders should always be considered as a differential diagnosis and be ruled out in all cases of either seropositive or seronegative NMOSD. A diagnosis of AS should be considered in relevant circumstances when dealing with a case of isolated seronegative LETM. Moreover, early diagnosis and treatment of AS are quintessential to prevent lifelong distressing disabilities. However, whether patients with AS have any extra predilection to develop NMOSD throughout their life requires further studies.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lastRenderedPageBreak/>
        <w:t xml:space="preserve">Gigante, N. and E. Pierangeli (2008). "Minimally invasive anterior approach for kyphoplasty of the first thoracic vertebra in a patient with multiple myeloma." </w:t>
      </w:r>
      <w:r w:rsidRPr="00637692">
        <w:rPr>
          <w:rFonts w:ascii="Times New Roman" w:hAnsi="Times New Roman" w:cs="Times New Roman"/>
          <w:noProof/>
          <w:sz w:val="24"/>
          <w:u w:val="single"/>
        </w:rPr>
        <w:t>Minim Invasive Neurosurg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51</w:t>
      </w:r>
      <w:r w:rsidRPr="00637692">
        <w:rPr>
          <w:rFonts w:ascii="Times New Roman" w:hAnsi="Times New Roman" w:cs="Times New Roman"/>
          <w:noProof/>
          <w:sz w:val="24"/>
        </w:rPr>
        <w:t>(1): 26-29.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A vertebral body collapse of the first thoracic vertebra (T1) was diagnosed after radiological investigation in an adult male suffering for severe dorsal pain due to suspected multiple myeloma (MM). According to the principles of minimally invasive neurosurgery and the aesthetic needs of the patient, an open T1 kyphoplasty was performed by means of a right anterior approach through the inferior brow of the neck, generally utilized for the anterior approaches to the cervical spine. The histological examination confirmed the diagnosis of MM and the postoperative radiological investigation showed a good vertebral body (VB) restoration. No gross neurological deficit was noted and the patient was discharged within a few days after a good recovery. Kyphoplasty is a percutaneous technique utilized by means of a posterior approach for VB restoration from T4 to the fifth lumbar vertebra (L5) in patients with vertebral body compression fractures (VCFs) of osteoporotic, traumatic and neoplastic origin. Anatomic obstacles make the performance of posterior kyphoplasty from T1 to T4 very difficult. To the best of our knowledge no anterior approach for T1 kyphoplasty has been reported in the literature. Our experience gives us the opportunity to emphasize this approach and this technique for the minimally invasive treatment of the VCFs of this segment of the spine.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lastRenderedPageBreak/>
        <w:t xml:space="preserve">Goel, A., et al. (2014). "Double insurance transfacetal screws for lumbar spinal stabilization." </w:t>
      </w:r>
      <w:r w:rsidRPr="00637692">
        <w:rPr>
          <w:rFonts w:ascii="Times New Roman" w:hAnsi="Times New Roman" w:cs="Times New Roman"/>
          <w:noProof/>
          <w:sz w:val="24"/>
          <w:u w:val="single"/>
        </w:rPr>
        <w:t>J Craniovertebr Junction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w:t>
      </w:r>
      <w:r w:rsidRPr="00637692">
        <w:rPr>
          <w:rFonts w:ascii="Times New Roman" w:hAnsi="Times New Roman" w:cs="Times New Roman"/>
          <w:noProof/>
          <w:sz w:val="24"/>
        </w:rPr>
        <w:t>(2): 85-87.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AIM: The authors report experience with 14 cases where two screws or "double insurance" screws were used for transfacetal fixation of each joint for stabilization of the lumbar spinal segment. The anatomical subtleties of the technique of insertion of screws are elaborated. MATERIALS AND METHODS: During the period March 2011 to June 2014, 14 patients having lumbar spinal segmental instability related to lumbar canal stenosis were treated by insertion of two screws into each articular assembly by transfacetal technique. After a wide surgical exposure, the articular cartilage was denuded and bone chips were impacted into the joint cavity. For screw insertion in an appropriate angulation, the spinous process was sectioned at its base. The screws (2.8 mm in diameter and 18 mm in length) were inserted into the substance of the medial or inferior articular facet of the rostral vertebra via the lateral limit of the lamina approximately 6-8 mm away from the edge of the articular cavity. The screws were inserted 3 mm below the superior edge and 5 mm above the inferior edge of the medial (inferior) facets and directed laterally and traversed through the articular cavity into the lateral (superior) articular facet of the caudal vertebra toward and into the region of junction of base of transverse process and of the pedicle. During the period of follow-up all treated spinal levels showed firm bone fusion. There was no complication related to insertion of the screws. There was no incidence of screw misplacement, displacementor implant rejection. </w:t>
      </w:r>
      <w:r w:rsidRPr="00637692">
        <w:rPr>
          <w:rFonts w:ascii="Times New Roman" w:hAnsi="Times New Roman" w:cs="Times New Roman"/>
          <w:noProof/>
          <w:sz w:val="24"/>
        </w:rPr>
        <w:lastRenderedPageBreak/>
        <w:t>CONCLUSIONS: Screw insertion into the firm and largely cortical bones of facets of lumbar spine can provide robust fixation and firm stabilization of the spinal segment. The large size of the facets provides an opportunity to insert two screws at each spinal segment. The firm and cortical bone material and absence on any neural or vascular structure in the course of the screw traverse provides strength and safety to the process.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Gornet, M. F., et al. (2019). "Lumbar disc arthroplasty versus anterior lumbar interbody fusion: 5-year outcomes for patients in the Maverick disc investigational device exemption study."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31</w:t>
      </w:r>
      <w:r w:rsidRPr="00637692">
        <w:rPr>
          <w:rFonts w:ascii="Times New Roman" w:hAnsi="Times New Roman" w:cs="Times New Roman"/>
          <w:noProof/>
          <w:sz w:val="24"/>
        </w:rPr>
        <w:t>(3): 347-356.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Despite evidence of its safety and effectiveness, the use of lumbar disc arthroplasty has been slow to expand due in part to concerns about late complications and the risks of revision surgery associated with early devices. More recently, FDA approval of newer devices and improving reimbursements have reversed this trend in the United States. Additional long-term data on lumbar disc arthroplasty are still needed. This study reports the 5-year results of the FDA investigational device exemption clinical trial of the Medtronic Spinal and Biologics' Maverick total disc replacement. METHODS: Patients with single-level degenerative disc disease from L4 to S1 were randomized 2:1 at 31 investigational sites. In the period from April 2003 to August 2004, 405 patients received the investigational device and 172 patients underwent the control procedure of anterior lumbar interbody fusion. Outcome measures included the </w:t>
      </w:r>
      <w:r w:rsidRPr="00637692">
        <w:rPr>
          <w:rFonts w:ascii="Times New Roman" w:hAnsi="Times New Roman" w:cs="Times New Roman"/>
          <w:noProof/>
          <w:sz w:val="24"/>
        </w:rPr>
        <w:lastRenderedPageBreak/>
        <w:t>Oswestry Disability Index (ODI), numeric rating scales (NRSs) for back and leg pain, the SF-36, disc height, interbody motion, heterotopic ossification (investigational device), adverse events (AEs), additional surgeries, and neurological status. Treatment was considered an overall success when all of the following criteria were met: 1) ODI score improvement &gt;/= 15 points over the preoperative score; 2) maintenance or improvement in neurological status compared with preoperatively; 3) disc height success, that is, no more than a 2-mm reduction in anterior or posterior height; 4) no serious AEs caused by the implant or by the implant and the surgical procedure; and 5) no additional surgery classified as a failure. RESULTS: Compared to that in the control group, improvement in the investigational group was statistically greater according to the ODI and SF-36 Physical Component Summary (PCS) at 1, 2, and 5 years; the NRS for back pain at 1 and 2 years; and the NRS for leg pain at 1 year. The rates of heterotopic ossification increased over time: 1.0% (4/382) at 1 year, 2.6% (9/345) at 2 years, and 5.9% (11/187) at 5 years. Investigational patients had fewer device-related AEs and serious device-related AEs than the control patients at both 2 and 5 years postoperatively. Noninferiority of the composite measure overall success was demonstrated at all follow-up intervals; superiority was demonstrated at 1 and 2 years. CONCLUSIONS: Lumbar disc arthroplasty is a safe and effective treatment for single-level lumbar degenerative disc disease, resulting in improved physical function and reduced pain up to 5 years after surgery.Clinical trial registration no.: NCT00635843 (clinicaltrials.gov).</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Grivas, T. B., et al. (2021). "Morphology, Development and Deformation of the Spine in Mild and Moderate Scoliosis: Are Changes in the Spine Primary or Secondary?" </w:t>
      </w:r>
      <w:r w:rsidRPr="00637692">
        <w:rPr>
          <w:rFonts w:ascii="Times New Roman" w:hAnsi="Times New Roman" w:cs="Times New Roman"/>
          <w:noProof/>
          <w:sz w:val="24"/>
          <w:u w:val="single"/>
        </w:rPr>
        <w:t>J Clin Med</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10</w:t>
      </w:r>
      <w:r w:rsidRPr="00637692">
        <w:rPr>
          <w:rFonts w:ascii="Times New Roman" w:hAnsi="Times New Roman" w:cs="Times New Roman"/>
          <w:noProof/>
          <w:sz w:val="24"/>
        </w:rPr>
        <w:t>(24).</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INTRODUCTION AND AIM OF THE STUDY: We aim to determine whether the changes in the spine in scoliogenesis of idiopathic scoliosis (IS), are primary/inherent or secondary. There is limited information on this issue in the literature. We studied the sagittal profile of the spine in IS using surface topography. MATERIAL AND METHODS: After approval of the ethics committee of the hospital, we studied 45 children, 4 boys and 41 girls, with an average age of 12.5 years (range 7.5-16.4 years), referred to the scoliosis clinic by our school screening program. These children were divided in two groups: A and B. Group A included 17 children with IS, 15 girls and 2 boys. All of them had a trunk asymmetry, measured with a scoliometer, greater than or equal to 5 degrees. Group B, (control group) included 26 children, 15 girls and 11 boys, with no trunk asymmetry and scoliometer measurement less than 2 degrees. The height and weight of children were measured. The Prujis scoliometer was used in standing Adam test in the thoracic (T), thoraco-lumbar (TL) and lumbar (L) regions. All IS children had an ATR greater than or equal to 5 degrees. The Cobb angle was assessed in the postero-anterior radiographs in Group A. A posterior truncal surface topogram, using the "Formetric 4" apparatus, was also performed and the distance from the vertebra prominence (VP) to the apex of </w:t>
      </w:r>
      <w:r w:rsidRPr="00637692">
        <w:rPr>
          <w:rFonts w:ascii="Times New Roman" w:hAnsi="Times New Roman" w:cs="Times New Roman"/>
          <w:noProof/>
          <w:sz w:val="24"/>
        </w:rPr>
        <w:lastRenderedPageBreak/>
        <w:t xml:space="preserve">the kyphosis (KA), and similarly to the apex of the lumbar lordosis (LA) was calculated. The ratio of the distances (VP-KA) for (PV-LA) was calculated. The averages of the parameters were studied, and the correlation of the ratio of distances (VP-KA) to (VP-KA) with the scoliometer and Cobb angle measurements were assessed, respectively (Pearson corr. Coeff. r), in both groups and between them. RESULTS: Regarding group A (IS), the average height was 1.55 m (range 1.37, 1.71), weight 47.76 kg (range 33, 65). The IS children had right (Rt) T or TL curves. The mean T Cobb angle was 24 degrees and 26 in L. In the same group, the kyphotic apex (KA (VPDM)) distance was -125.82 mm (range -26, -184) and the lordotic apex (LA (VPDM)) distance was -321.65 mm (range -237, -417). The correlations of the ratio of distances (KA (VPDM))/(LA (VPDM)) with the Major Curve Cobb angle measurement and scoliometer findings were non-statistically significant (Pearson r = 0.077, -0.211, p: 0.768, 0.416, respectively. Similarly, in the control group, KA (VPDM))/(LA (VPDM) was not significantly correlated with scoliometer findings (Pearson r = -0.016, -p: 0.939). DISCUSSION AND CONCLUSIONS: The lateral profile of the spine was commonly considered to be a primary aetiological factor of IS due to the fact that the kyphotic thoracic apex in IS is located in a higher thoracic vertebra (more vertebrae are posteriorly inclined), thus creating conditions of greater rotational instability and therefore greater vulnerability for IS development. Our findings do not confirm this hypothesis, since the correlation of the (VP-KA) to (VP-KA) ratio with the truncal </w:t>
      </w:r>
      <w:r w:rsidRPr="00637692">
        <w:rPr>
          <w:rFonts w:ascii="Times New Roman" w:hAnsi="Times New Roman" w:cs="Times New Roman"/>
          <w:noProof/>
          <w:sz w:val="24"/>
        </w:rPr>
        <w:lastRenderedPageBreak/>
        <w:t>asymmetry, assessed with the scoliometer and Cobb angle measurements, is non-statistically significant, in both groups A and B. In addition, the aforementioned ratio did not differ significantly between the two groups in our sample (0.39 +/- 0.11 vs. 0.44 +/- 0.08, p: 0.134). It is clear that hypokyphosis is not a primary causal factor for the commencing, mild or moderate scoliotic curve, as published elsewhere. We consider that the small thoracic hypokyphosis in developing scoliosis adds to the view that the reduced kyphosis, facilitating the axial rotation, could be considered as a permissive factor rather than a causal one, in the pathogenesis of IS. This view is consistent with previously published views and it is obviously the result of gravity, growth and muscle tone.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Habibi, H., et al. (2022). "Incidence of postoperative progressive segment degeneration at decompression and adjacent segments after minimally invasive lumbar decompression surgery: a 5-year follow-up study." </w:t>
      </w:r>
      <w:r w:rsidRPr="00637692">
        <w:rPr>
          <w:rFonts w:ascii="Times New Roman" w:hAnsi="Times New Roman" w:cs="Times New Roman"/>
          <w:noProof/>
          <w:sz w:val="24"/>
          <w:u w:val="single"/>
        </w:rPr>
        <w:t>J Neurosurg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37</w:t>
      </w:r>
      <w:r w:rsidRPr="00637692">
        <w:rPr>
          <w:rFonts w:ascii="Times New Roman" w:hAnsi="Times New Roman" w:cs="Times New Roman"/>
          <w:noProof/>
          <w:sz w:val="24"/>
        </w:rPr>
        <w:t>(1): 96-103.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There are several reported studies on the incidence of adjacent segment disease (ASD) after lumbar fusion surgery; however, the incidence of ASD after decompression surgery has not been well studied. In this study the authors aimed to investigate the incidence of progressive segment degeneration (PSD) at the decompression and adjacent segments 5 years after minimally invasive lumbar decompression surgery. METHODS: We investigated data from 168 patients (mean age, 69.5 +/- 9.2 years) who underwent bilateral </w:t>
      </w:r>
      <w:r w:rsidRPr="00637692">
        <w:rPr>
          <w:rFonts w:ascii="Times New Roman" w:hAnsi="Times New Roman" w:cs="Times New Roman"/>
          <w:noProof/>
          <w:sz w:val="24"/>
        </w:rPr>
        <w:lastRenderedPageBreak/>
        <w:t>microscopic or microendoscopic decompression surgery via a unilateral approach and were followed up for more than 5 years. Outcomes were self-reported visual analog scale (VAS) scores for low-back pain, leg pain, and leg numbness and physician-assessed Japanese Orthopaedic Association (JOA) scores for back pain. Changes in the disc height and movement of the adjacent lumbar segments were compared using preoperative and 5-year postoperative lateral full-length standing whole-spine radiographic images. PSD was defined as loss of disc height &gt; 3 mm and progression of anterior or posterior slippage &gt; 3 mm. The incidence and clinical impact of PSD were investigated. RESULTS: The mean JOA score improved significantly in all patients from 13.4 points before surgery to 24.1 points at the latest follow-up (mean recovery rate 67.8%). PSD at the decompression site was observed in 43.5% (73/168) of the patients. The proportions of patients with loss of disc height &gt; 3 mm and slippage progression were 16.1% (27/168) and 36.9%, respectively (62/168: 41 anterior and 21 posterior). The proportion of patients with PSD at the adjacent segment was 20.5% (35/168), with 5.4% (9/168) of the patients with loss of disc height &gt; 3 mm and 16.0% (27/168: 13 anterior and 14 posterior) with slippage progression. There was no significant difference in the clinical outcomes between patients with and those without PSD. CONCLUSIONS: Radiological ASD was observed even in the case of decompression surgery alone. However, there was no correlation with symptom deterioration, measured by the VAS and JOA scores.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Heo, D. H., et al. (2020). "Is it sufficient to treat adult lumbar spinal deformity using anterior lumbar interbody fusion with percutaneous pedicle screw fixation?" </w:t>
      </w:r>
      <w:r w:rsidRPr="00637692">
        <w:rPr>
          <w:rFonts w:ascii="Times New Roman" w:hAnsi="Times New Roman" w:cs="Times New Roman"/>
          <w:noProof/>
          <w:sz w:val="24"/>
          <w:u w:val="single"/>
        </w:rPr>
        <w:t>J Clin Neurosci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81</w:t>
      </w:r>
      <w:r w:rsidRPr="00637692">
        <w:rPr>
          <w:rFonts w:ascii="Times New Roman" w:hAnsi="Times New Roman" w:cs="Times New Roman"/>
          <w:noProof/>
          <w:sz w:val="24"/>
        </w:rPr>
        <w:t>: 210-219.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Anterior lumbar interbody fusion (ALIF) has been performed for lumbar spinal restoration and stabilization without extensive paraspinal muscle damage or massive bleeding. The authors retrospectively investigated surgical results of multilevel ALIF followed by percutaneous pedicle screw fixation (PPSF) in adult lumbar spinal deformity (ALSD). This study included 28 patients with degenerative lumbar spinal deformity, who underwent selective multilevel ALIF and PPSF between January 2013 and August 2016 at our hospital. Standing X-rays were performed and coronal Cobb angle (CCA) of scoliosis, sagittal vertical axis (SVA), lumbar lordosis (LL), thoracic kyphosis (TK), pelvic tilt (PT), and sacral slope (SS) were measured. Pain and functional assessment were performed using visual analogue scale (VAS) scores for low back pain and leg pain, and Oswestry Disability Index (ODI) scores. CCA, SVA and LL were significantly improved immediately after surgery and relatively well maintained until the last follow-up. After surgery, PT was significantly decreased and SS was increased, respectively. However, cases with SVA &gt; 95 mm or PT &gt; 30 degrees showed a loss of correction in sagittal balance parameters to a greater extent at the last follow-up compared to the group of patients with minor sagittal imbalance. VAS scores for back and radicular pain, </w:t>
      </w:r>
      <w:r w:rsidRPr="00637692">
        <w:rPr>
          <w:rFonts w:ascii="Times New Roman" w:hAnsi="Times New Roman" w:cs="Times New Roman"/>
          <w:noProof/>
          <w:sz w:val="24"/>
        </w:rPr>
        <w:lastRenderedPageBreak/>
        <w:t>and ODI score were significantly decreased at the final follow-up (p &lt; 0.05). Multilevel ALIF with PPSF yielded favorable clinical and radiological outcomes in coronal and sagittal balance without severe surgical mortality or morbidity in patients with ALSD. However, correction loss in sagittal balance was observed in cases with SVA &gt; 95 mm or PT &gt; 30 .</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Hong, S. J., et al. (2016). "Resorption of Massive Lumbar Disc Herniation on MRI Treated with Epidural Steroid Injection: A Retrospective Study of 28 Cases." </w:t>
      </w:r>
      <w:r w:rsidRPr="00637692">
        <w:rPr>
          <w:rFonts w:ascii="Times New Roman" w:hAnsi="Times New Roman" w:cs="Times New Roman"/>
          <w:noProof/>
          <w:sz w:val="24"/>
          <w:u w:val="single"/>
        </w:rPr>
        <w:t>Pain Physician</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19</w:t>
      </w:r>
      <w:r w:rsidRPr="00637692">
        <w:rPr>
          <w:rFonts w:ascii="Times New Roman" w:hAnsi="Times New Roman" w:cs="Times New Roman"/>
          <w:noProof/>
          <w:sz w:val="24"/>
        </w:rPr>
        <w:t>(6): 381-388.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Although herniated disc fragments may resolve spontaneously, the optimal treatment option for massive lumbar disc herniation (LDH) has not been determined. OBJECTIVE: To evaluate the extent of reduction in the size of massive LDH on magnetic resonance imaging (MRI) and the pain relief effect of transforaminal epidural steroid injection (TFESI) during the study period. STUDY DESIGN: Retrospective evaluation. SETTING: Hospital and ambulatory pain clinic, Korea. METHODS: After Institutional Review Board approval, we conducted a retrospective review of 28 patients who underwent at least 2 MRIs during the period from January 2012 to December 2014. The size of the herniated mass was determined from the ratio of the anterior-posterior diameter of the spinal canal (C-value) to the maximum anterior-posterior diameter of the herniated disc (H-value) on axial MRI (C-H ratio). We also analyzed visual analogue scale (VAS) scores at baseline (T0), 2 </w:t>
      </w:r>
      <w:r w:rsidRPr="00637692">
        <w:rPr>
          <w:rFonts w:ascii="Times New Roman" w:hAnsi="Times New Roman" w:cs="Times New Roman"/>
          <w:noProof/>
          <w:sz w:val="24"/>
        </w:rPr>
        <w:lastRenderedPageBreak/>
        <w:t>weeks after the first and second TFESI (T1, T2), and at the second follow-up MRI (T3). RESULTS: The mean C-value was 18.3 +/- 2.9 mm. The mean H-value changed from 10.4 +/- 1.9 mm to 4.5 +/- 2.7 mm, and the mean C-H ratio changed from 58 +/- 1.0% to 24 +/- 1.4% (P &lt; 0.001). Twenty-four of 28 patients demonstrated a reduction in the size of the herniation, and the mean reduction rate of the C-H ratio was 59%. In 4 patients, the LDH had not resolved on MRI, but the symptoms had diminished to such an extent that surgery was not required. The mean VAS score had significantly decreased at T1 and showed a continued decrease at the time of the last follow-up (P &lt; 0.001). LIMITATIONS: This is a retrospective study and only offers data for patients who chose not to undergo surgery. In addition, the timing of repeat MRI was not standardized. CONCLUSION: The majority of cases of massive LDH demonstrated resolution at variable points between 3 and 21 months. TFESI could provide effective pain relief for patients with massive LDH in the interval without severe neurologic deterioration.IRB approval: Kangdong Sacred Heart Hospital: IRB Number # 14-1-10.</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Hu, H., et al. (2023). "[Development and validation of an automatic diagnostic tool for lumbar stability based on deep learning]." </w:t>
      </w:r>
      <w:r w:rsidRPr="00637692">
        <w:rPr>
          <w:rFonts w:ascii="Times New Roman" w:hAnsi="Times New Roman" w:cs="Times New Roman"/>
          <w:noProof/>
          <w:sz w:val="24"/>
          <w:u w:val="single"/>
        </w:rPr>
        <w:t>Zhongguo Xiu Fu Chong Jian Wai Ke Za Zhi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37</w:t>
      </w:r>
      <w:r w:rsidRPr="00637692">
        <w:rPr>
          <w:rFonts w:ascii="Times New Roman" w:hAnsi="Times New Roman" w:cs="Times New Roman"/>
          <w:noProof/>
          <w:sz w:val="24"/>
        </w:rPr>
        <w:t>(1): 81-90.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develop an automatic diagnostic tool based on deep learning for lumbar spine stability and validate diagnostic accuracy. METHODS: </w:t>
      </w:r>
      <w:r w:rsidRPr="00637692">
        <w:rPr>
          <w:rFonts w:ascii="Times New Roman" w:hAnsi="Times New Roman" w:cs="Times New Roman"/>
          <w:noProof/>
          <w:sz w:val="24"/>
        </w:rPr>
        <w:lastRenderedPageBreak/>
        <w:t xml:space="preserve">Preoperative lumbar hyper-flexion and hyper-extension X-ray films were collected from 153 patients with lumbar disease. The following 5 key points were marked by 3 orthopedic surgeons: L(4) posteroinferior, anterior inferior angles as well as L(5) posterosuperior, anterior superior, and posterior inferior angles. The labeling results of each surgeon were preserved independently, and a total of three sets of labeling results were obtained. A total of 306 lumbar X-ray films were randomly divided into training (n=156), validation (n=50), and test (n=100) sets in a ratio of 3ratio1ratio2. A new neural network architecture, Swin-PGNet was proposed, which was trained using annotated radiograph images to automatically locate the lumbar vertebral key points and calculate L(4, 5) intervertebral Cobb angle and L(4) lumbar sliding distance through the predicted key points. The mean error and intra-class correlation coefficient (ICC) were used as an evaluation index, to compare the differences between surgeons' annotations and Swin-PGNet on the three tasks (key point positioning, Cobb angle measurement, and lumbar sliding distance measurement). Meanwhile, the change of Cobb angle more than 11 degrees was taken as the criterion of lumbar instability, and the lumbar sliding distance more than 3 mm was taken as the criterion of lumbar spondylolisthesis. The accuracy of surgeon annotation and Swin-PGNet in judging lumbar instability was compared. RESULTS: 1 in circle Key point: The mean error of key point location by Swin-PGNet was (1.407+/-0.939) mm, and by different surgeons was (3.034+/-2.612) mm. 2 in circle Cobb angle: The mean error of Swin-PGNet was (2.062+/-1.352) degrees and the </w:t>
      </w:r>
      <w:r w:rsidRPr="00637692">
        <w:rPr>
          <w:rFonts w:ascii="Times New Roman" w:hAnsi="Times New Roman" w:cs="Times New Roman"/>
          <w:noProof/>
          <w:sz w:val="24"/>
        </w:rPr>
        <w:lastRenderedPageBreak/>
        <w:t>mean error of surgeons was (3.580+/-2.338) degrees . There was no significant difference between Swin-PGNet and surgeons (P&gt;0.05), but there was a significant difference between different surgeons (P&lt;0.05). 3 in circle Lumbar sliding distance: The mean error of Swin-PGNet was (1.656+/-0.878) mm and the mean error of surgeons was (1.884+/-1.612) mm. There was no significant difference between Swin-PGNet and surgeons and between different surgeons (P&gt;0.05). The accuracy of lumbar instability diagnosed by surgeons and Swin-PGNet was 75.3% and 84.0%, respectively. The accuracy of lumbar spondylolisthesis diagnosed by surgeons and Swin-PGNet was 70.7% and 71.3%, respectively. There was no significant difference between Swin-PGNet and surgeons, as well as between different surgeons (P&gt;0.05). 4 in circle Consistency of lumbar stability diagnosis: The ICC of Cobb angle among different surgeons was 0.913 [95%CI (0.898, 0.934)] (P&lt;0.05), and the ICC of lumbar sliding distance was 0.741 [95%CI (0.729, 0.796)] (P&lt;0.05). The result showed that the annotating of the three surgeons were consistent. The ICC of Cobb angle between Swin-PGNet and surgeons was 0.922 [95%CI (0.891, 0.938)] (P&lt;0.05), and the ICC of lumbar sliding distance was 0.748 [95%CI(0.726, 0.783)] (P&lt;0.05). The result showed that the annotating of Swin-PGNet were consistent with those of surgeons. CONCLUSION: The automatic diagnostic tool for lumbar instability constructed based on deep learning can realize the automatic identification of lumbar instability and spondylolisthesis accurately and conveniently, which can effectively assist clinical diagnosis.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Huang, C. C., et al. (2024). "Minimally-invasive trans-facet lumbar interbody fusion using a dual-dimension expandable cage: preliminary results of a multi-institutional retrospective study." </w:t>
      </w:r>
      <w:r w:rsidRPr="00637692">
        <w:rPr>
          <w:rFonts w:ascii="Times New Roman" w:hAnsi="Times New Roman" w:cs="Times New Roman"/>
          <w:noProof/>
          <w:sz w:val="24"/>
          <w:u w:val="single"/>
        </w:rPr>
        <w:t>J Spine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10</w:t>
      </w:r>
      <w:r w:rsidRPr="00637692">
        <w:rPr>
          <w:rFonts w:ascii="Times New Roman" w:hAnsi="Times New Roman" w:cs="Times New Roman"/>
          <w:noProof/>
          <w:sz w:val="24"/>
        </w:rPr>
        <w:t>(3): 403-415.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Minimally-invasive trans-facet lumbar interbody fusion (LIF) is an emerging technique that offers the advantages of being safe, enabling decompression, and facilitating patient recovery. An innovative cage that expands in two dimensions has been introduced to restore segmental lordosis and disc height while minimizing the risk of cage subsidence. This study aimed to report our surgical technique of trans-facet LIF utilizing the innovative cag and to report the early clinical outcomes. METHODS: We retrospectively reviewed the medical records and radiographs of patients who underwent trans-facet LIF with dual-dimension expandable cages from two institutions: Duke University Hospital and Vail-Summit Orthopaedics and Neurosurgery. The analysis covered patient demographics, Oswestry Disability Index (ODI), visual analogue scale (VAS) for back pain, surgical data, complications, and radiographic parameters. Clinical outcomes were compared between pre- and one year post-operation, while radiographic outcomes were compared between pre- and three months post-operation. RESULTS: Twenty patients with a mean age of 61.2 years were included. Seventeen patients (85.0%) had spondylolisthesis, and L4/5 (68.2%) was the most common pathology level. Twelve patients (60.0%) underwent awake surgery, and the mean operative time </w:t>
      </w:r>
      <w:r w:rsidRPr="00637692">
        <w:rPr>
          <w:rFonts w:ascii="Times New Roman" w:hAnsi="Times New Roman" w:cs="Times New Roman"/>
          <w:noProof/>
          <w:sz w:val="24"/>
        </w:rPr>
        <w:lastRenderedPageBreak/>
        <w:t>was 164.5+/-36.1 minutes, with an estimated blood loss of 64.0+/-39.5 mL and a hospital stay of 1.75+/-1.2 days. Four patients (20.0%) experienced cage subsidence; however, none required additional surgery. The VAS score significantly improved from a preoperative average of 7.3+/-2.7 to 2.6+/-1.6 one year post-operation (P=0.02). The ODI score also showed a significant decrease, from 48.7+/-22.9 preoperatively to 16.4+/-11.1 one year postoperatively (P=0.03). Notably, 80% and 83.3% of patients achieved the minimum clinically important difference in VAS and ODI scores, respectively. The degree of spondylolisthesis was significantly reduced from a median of 5.9 mm preoperatively to 0 mm postoperatively (P&lt;0.001). Additionally, both anterior and posterior disc heights significantly increased after surgery, from 9.8+/-4.7 to 15.1+/-2.6 mm (anterior) and from 4.9+/-3.3 to 10.5+/-2.2 mm (posterior) (P&lt;0.001 for both). The mean segmental lordosis increased by 2.9 degrees and was associated with cage height (P=0.03), while spinopelvic parameters remained unchanged. CONCLUSIONS: Minimally-invasive trans-facet LIF with dual-dimension expandable cages demonstrates a substantial capacity for spondylolisthesis reduction and disc height restoration, and provides good short-term clinical outcomes. It may be the most appropriate method for deploying this large cage as it allows for a large, unobstructed pathway to the disc. However, future studies are needed to determine the long-term outcomes, including the arthrodesis rate.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lastRenderedPageBreak/>
        <w:t xml:space="preserve">Huang, Z. B., et al. (2021). "[Short-segment pedicle screw fixation combined with vertebroplasty for the treatment of Kummell disease with kyphosis]." </w:t>
      </w:r>
      <w:r w:rsidRPr="00637692">
        <w:rPr>
          <w:rFonts w:ascii="Times New Roman" w:hAnsi="Times New Roman" w:cs="Times New Roman"/>
          <w:noProof/>
          <w:sz w:val="24"/>
          <w:u w:val="single"/>
        </w:rPr>
        <w:t>Zhongguo Gu Shang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34</w:t>
      </w:r>
      <w:r w:rsidRPr="00637692">
        <w:rPr>
          <w:rFonts w:ascii="Times New Roman" w:hAnsi="Times New Roman" w:cs="Times New Roman"/>
          <w:noProof/>
          <w:sz w:val="24"/>
        </w:rPr>
        <w:t>(8): 694-700.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explore the clinical effects of posterior short-segment pedicle screw internal fixation combined with vertebroplasty for the treatment of Kummell disease with kyphosis. METHODS: Twenty-four patients with Kummell disease complicated with kyphosis treated by posterior short-segment pedicle screw internal fixation combined with vertebroplasty from January 2016 to December 2018 were retrospectively analyzed, including 6 males and 18 females, aged 63 to 85 (73.1+/-6.5) years old. The clinical effect was evaluate by visual analogue scale (VAS), Oswestry Disability Index (ODI), the anterior height of injured vertebral body, and the sagittal Cobb angle of the affected segment beforeoperation, at 3 days and final follow up after operation. And the surgical complications were observed. RESULTS: All 24 patients were followed up from 12 to 24 months with an average of (15.5+/-3.2) months. The VAS score was decreased from 5.21+/-1.06 preoperatively to 2.38+/-0.58 at 3 days postoperatively and 1.71+/-0.75 at final follow-up;ODI was decreased from (50.4+/-13.5)% preoperatively to (20.9+/-8.0)% at 3 days postoperatively and (16.7+/-9.6)% at final follow-up;the anterior height of injured vertebral body was restored from (8.0+/-4.2) mm before surgery to (18.1+/-5.0) mm at 3 days after surgery and (16.8+/-5.1) mm at final follow up;the sagittal Cobb angle of affected segment was decreased from (19.5+/-6.3) degrees </w:t>
      </w:r>
      <w:r w:rsidRPr="00637692">
        <w:rPr>
          <w:rFonts w:ascii="Times New Roman" w:hAnsi="Times New Roman" w:cs="Times New Roman"/>
          <w:noProof/>
          <w:sz w:val="24"/>
        </w:rPr>
        <w:lastRenderedPageBreak/>
        <w:t>preoperatively to (7.6+/-2.1) degrees at 3 days after surgery and(8.4+/-1.7) degrees at final follow-up. VAS, ODI, anterior height of injured vertebral body, and sagittal Cobb angle of affected segment were significantly improved at 3 days after operation and at final follow-up (P&lt;0.05). Two patients had complications, including asymptomaticcement leakage in 1 patient and superficial wound infection in 1 patient. CONCLUSION: Posterior short-segment pedicle screw internal fixation combined with vertebroplasty for the treatment of Kummell disease with kyphosis has relatively small surgical trauma, excellent clinical results, good vertebral height recovery, satisfactory correction of kyphotic angle, and fewer complications, etc. It is a safe and effective surgical method to treat Kummell disease with kyphosis.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Inanami, H., et al. (2021). "Partial Resection of Spinous Process for the Elderly Patients with Thoraco-Lumbar Kyphosis: Technical Report." </w:t>
      </w:r>
      <w:r w:rsidRPr="00637692">
        <w:rPr>
          <w:rFonts w:ascii="Times New Roman" w:hAnsi="Times New Roman" w:cs="Times New Roman"/>
          <w:noProof/>
          <w:sz w:val="24"/>
          <w:u w:val="single"/>
        </w:rPr>
        <w:t>Medicina (Kaunas)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57</w:t>
      </w:r>
      <w:r w:rsidRPr="00637692">
        <w:rPr>
          <w:rFonts w:ascii="Times New Roman" w:hAnsi="Times New Roman" w:cs="Times New Roman"/>
          <w:noProof/>
          <w:sz w:val="24"/>
        </w:rPr>
        <w:t>(2).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and objectives: Global sagittal imbalance with lumbar hypo-lordosis can cause low back pain (LBP) during standing and/or walking. This condition has recently been well-known as one of the major causes of reduced health-related quality of life (HRQOL) in elderly populations. Decrease in disc space of anterior elements and an increase in the spinous process height of posterior elements may both contribute to the decrease in lordosis of the lumbar spine. To correct the sagittal imbalance, the mainstream option is still a highly invasive surgery, such as long-segment fusion with posterior wedge osteotomy. </w:t>
      </w:r>
      <w:r w:rsidRPr="00637692">
        <w:rPr>
          <w:rFonts w:ascii="Times New Roman" w:hAnsi="Times New Roman" w:cs="Times New Roman"/>
          <w:noProof/>
          <w:sz w:val="24"/>
        </w:rPr>
        <w:lastRenderedPageBreak/>
        <w:t>Therefore, we developed a treatment that is partial resection of several spinous processes of thoraco-lumbar spine (PRSP) and lumbar extension exercise to improve the flexibility of the spine as postoperative rehabilitation. Materials and Methods: Consecutively, seven patients with over 60 mm of sagittal vertical axis (SVA) underwent PRSP. The operation was performed with several small midline skin incisions under general anesthesia. After splitting the supraspinous ligaments, the cranial or caudal tip of the spinous process of several thoraco-lumbar spines was removed, and postoperative rehabilitation was followed to improve extension flexibility. Results: The average follow-up period was 13.0 months. The average blood loss and operation time were 11.4 mL and 47.4 min, respectively. The mean SVA improved from 119 to 93 mm but deteriorated in one case. The mean numerical rating scale of low back pain improved from 6.6 to 3.7 without any exacerbations. The mean Oswestry Disability Index score was improved from 32.4% to 19.1% in six cases, with one worsened case. Conclusions: We performed PRSP and lumbar extension exercise for the patients with LBP due to lumbar kyphosis. This minimally invasive treatment was considered to be effective in improving the symptoms of low back pain and HRQOL, especially of elderly patients with lumbar kyphosis.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Jinzaki, M., et al. (2020). "Development of Upright Computed Tomography With Area Detector for Whole-Body Scans: Phantom Study, Efficacy on Workflow, Effect of Gravity on Human Body, and Potential Clinical Impact." </w:t>
      </w:r>
      <w:r w:rsidRPr="00637692">
        <w:rPr>
          <w:rFonts w:ascii="Times New Roman" w:hAnsi="Times New Roman" w:cs="Times New Roman"/>
          <w:noProof/>
          <w:sz w:val="24"/>
          <w:u w:val="single"/>
        </w:rPr>
        <w:t>Invest Radiol</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55</w:t>
      </w:r>
      <w:r w:rsidRPr="00637692">
        <w:rPr>
          <w:rFonts w:ascii="Times New Roman" w:hAnsi="Times New Roman" w:cs="Times New Roman"/>
          <w:noProof/>
          <w:sz w:val="24"/>
        </w:rPr>
        <w:t>(2): 73-83.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lastRenderedPageBreak/>
        <w:tab/>
        <w:t xml:space="preserve">OBJECTIVES: Multiple human systems are greatly affected by gravity, and many disease symptoms are altered by posture. However, the overall anatomical structure and pathophysiology of the human body while standing has not been thoroughly analyzed due to the limitations of various upright imaging modalities, such as low spatial resolution, low contrast resolution, limited scan range, or long examination time. Recently, we developed an upright computed tomography (CT), which enables whole-torso cross-sectional scanning with 3-dimensional acquisition within 15 seconds. The purpose of this study was to evaluate the performance, workflow efficacy, effects of gravity on a large circulation system and the pelvic floor, and potential clinical impact of upright CT. MATERIALS AND METHODS: We compared noise characteristics, spatial resolution, and CT numbers in a phantom between supine and upright CT. Thirty-two asymptomatic volunteers (48.4 +/- 11.5 years) prospectively underwent both CT examinations with the same scanning protocols on the same day. We conducted a questionnaire survey among these volunteers who underwent the upright CT examination to determine their opinions regarding the stability of using the pole throughout the acquisition (closed question), as well as safety and comfortability throughout each examination (both used 5-point scales). The total access time (sum of entry time and exit time) and gravity effects on a large circulation system and the pelvic floor were evaluated using the Wilcoxon signed-rank test and the Mann-Whitney U test. For a large circulation system, the areas of the vena cava and aorta were evaluated at 3 </w:t>
      </w:r>
      <w:r w:rsidRPr="00637692">
        <w:rPr>
          <w:rFonts w:ascii="Times New Roman" w:hAnsi="Times New Roman" w:cs="Times New Roman"/>
          <w:noProof/>
          <w:sz w:val="24"/>
        </w:rPr>
        <w:lastRenderedPageBreak/>
        <w:t xml:space="preserve">points (superior vena cava or ascending aorta, at the level of the diaphragm, and inferior vena cava or abdominal aorta). For the pelvic floor, distances were evaluated from the bladder neck to the pubococcygeal line and the anorectal junction to the pubococcygeal line. We also examined the usefulness of the upright CT in patients with functional diseases of spondylolisthesis, pelvic floor prolapse, and inguinal hernia. RESULTS: Noise characteristics, spatial resolution, and CT numbers on upright CT were comparable to those of supine CT. In the volunteer study, all volunteers answered yes regarding the stability of using the pole, and most reported feeling safe (average rating of 4.2) and comfortable (average rating of 3.8) throughout the upright CT examination. The total access time for the upright CT was significantly reduced by 56% in comparison with that of supine CT (upright: 41 +/- 9 seconds vs supine: 91 +/- 15 seconds, P &lt; 0.001). In the upright position, the area of superior vena cava was 80% smaller than that of the supine position (upright: 39.9 +/- 17.4 mm vs supine: 195.4 +/- 52.2 mm, P &lt; 0.001), the area at the level of the diaphragm was similar (upright: 428.3 +/- 87.9 mm vs supine: 426.1 +/- 82.0 mm, P = 0.866), and the area of inferior vena cava was 37% larger (upright: 346.6 +/- 96.9 mm vs supine: 252.5 +/- 93.1 mm, P &lt; 0.001), whereas the areas of aortas did not significantly differ among the 3 levels. The bladder neck and anorectal junction significantly descended (9.4 +/- 6.0 mm and 8.0 +/- 5.6 mm, respectively, both P &lt; 0.001) in the standing position, relative to their levels in the supine position. This tendency of the bladder neck to descend was more </w:t>
      </w:r>
      <w:r w:rsidRPr="00637692">
        <w:rPr>
          <w:rFonts w:ascii="Times New Roman" w:hAnsi="Times New Roman" w:cs="Times New Roman"/>
          <w:noProof/>
          <w:sz w:val="24"/>
        </w:rPr>
        <w:lastRenderedPageBreak/>
        <w:t>prominent in women than in men (12.2 +/- 5.2 mm in women vs 6.7 +/- 5.6 mm in men, P = 0.006). In 3 patients, upright CT revealed lumbar foraminal stenosis, bladder prolapse, and inguinal hernia; moreover, it clarified the grade or clinical significance of the disease in a manner that was not apparent on conventional CT. CONCLUSIONS: Upright CT was comparable to supine CT in physical characteristics, and it significantly reduced the access time for examination. Upright CT was useful in clarifying the effect of gravity on the human body: gravity differentially affected the volume and shape of the vena cava, depending on body position. The pelvic floor descended significantly in the standing position, compared with its location in the supine position, and the descent of the bladder neck was more prominent in women than in men. Upright CT could potentially aid in objective diagnosis and determination of the grade or clinical significance of common functional diseases.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Kaiser, J., et al. (2020). "Heterogeneity and Spatial Distribution of Intravertebral Trabecular Bone Mineral Density in the Lumbar Spine Is Associated With Prevalent Vertebral Fracture." </w:t>
      </w:r>
      <w:r w:rsidRPr="00637692">
        <w:rPr>
          <w:rFonts w:ascii="Times New Roman" w:hAnsi="Times New Roman" w:cs="Times New Roman"/>
          <w:noProof/>
          <w:sz w:val="24"/>
          <w:u w:val="single"/>
        </w:rPr>
        <w:t>J Bone Miner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35</w:t>
      </w:r>
      <w:r w:rsidRPr="00637692">
        <w:rPr>
          <w:rFonts w:ascii="Times New Roman" w:hAnsi="Times New Roman" w:cs="Times New Roman"/>
          <w:noProof/>
          <w:sz w:val="24"/>
        </w:rPr>
        <w:t>(4): 641-648.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The spatial heterogeneity in trabecular bone density within the vertebral centrum is associated with vertebral strength and could explain why volumetric bone mineral density (vBMD) exhibits low sensitivity in identifying fracture risk. This study evaluated whether the heterogeneity and spatial distribution of trabecular vBMD are associated with prevalent vertebral fracture. We examined </w:t>
      </w:r>
      <w:r w:rsidRPr="00637692">
        <w:rPr>
          <w:rFonts w:ascii="Times New Roman" w:hAnsi="Times New Roman" w:cs="Times New Roman"/>
          <w:noProof/>
          <w:sz w:val="24"/>
        </w:rPr>
        <w:lastRenderedPageBreak/>
        <w:t xml:space="preserve">the volumetric quantitative computed tomography (QCT) scans of the L(3) vertebra in 148 participants in the Framingham Heart Study Multidetector CT study. Of these individuals, 37 were identified as cases of prevalent fracture, and 111 were controls, matched on sex and age with three controls per case. vBMD was calculated within 5-mm contiguous cubic regions of the centrum. Two measures of heterogeneity were calculated: (i) interquartile range (IQR); and (ii) quartile coefficient of variation (QCV). Ratios in the spatial distributions of the trabecular vBMD were also calculated: anterior/posterior, central/outer, superior/mid-transverse, and inferior/mid-transverse. Heterogeneity and spatial distributions were compared between cases and controls using Wilcoxon rank sum tests and t tests and tested for association with prevalent fractures with conditional logistic regressions independent of integral vBMD. Prevalent fracture cases had lower mean +/- SD integral vBMD (134 +/- 38 versus165 +/- 42 mg/cm(3) , p &lt; .001), higher QCV (0.22 +/- 0.13 versus 0.17 +/- 0.09, p = .003), and lower anterior/posterior rBMD (0.65 +/- 0.13 versus 0.78 +/- 0.16, p &lt; .001) than controls. QCV was positively associated with increased odds of prevalent fracture (OR 1.61; 95% CI, 1.04 to 2.49; p = .034), but this association was not independent of integral vBMD (p = .598). Increased anterior/posterior trabecular vBMD ratio was associated with decreased odds of prevalent fracture independent of integral vBMD (OR 0.38; 95% CI, 0.20 to 0.71; p = .003). In conclusion, increased trabecular vBMD in the anterior versus posterior centrum, but not trabecular vBMD heterogeneity, </w:t>
      </w:r>
      <w:r w:rsidRPr="00637692">
        <w:rPr>
          <w:rFonts w:ascii="Times New Roman" w:hAnsi="Times New Roman" w:cs="Times New Roman"/>
          <w:noProof/>
          <w:sz w:val="24"/>
        </w:rPr>
        <w:lastRenderedPageBreak/>
        <w:t>was associated with decreased risk of prevalent fracture independent of integral vBMD. Regional measurements of trabecular vBMD could aid in determining the risk and underlying mechanisms of vertebral fracture. (c) 2019 American Society for Bone and Mineral Research.</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Kallan, S. Z., et al. (2022). "Reduction of lumbar hyperlordosis in a pediatric: a Chiropractic Biophysics((R)) case report." </w:t>
      </w:r>
      <w:r w:rsidRPr="00637692">
        <w:rPr>
          <w:rFonts w:ascii="Times New Roman" w:hAnsi="Times New Roman" w:cs="Times New Roman"/>
          <w:noProof/>
          <w:sz w:val="24"/>
          <w:u w:val="single"/>
        </w:rPr>
        <w:t>J Phys Ther Sci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34</w:t>
      </w:r>
      <w:r w:rsidRPr="00637692">
        <w:rPr>
          <w:rFonts w:ascii="Times New Roman" w:hAnsi="Times New Roman" w:cs="Times New Roman"/>
          <w:noProof/>
          <w:sz w:val="24"/>
        </w:rPr>
        <w:t>(9): 646-650.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To demonstrate the reduction of lumbar hyperlordosis, sacral base angle and anterior thoracic translation posture in an 11-year-old female. [Participant and Methods] A pediatric patient presented with lumbar hyperlordosis and underwent Chiropractic BioPhysics((R)) treatment protocols to reduce her spinal deformity and correlated symptoms. Symptoms included thoracolumbar, hip, knee and ankle pains and lower extremity weakness. Radiographs confirmed lumbar hyperlordosis, increased sacral base angle and a forward translated thoracic posture. Spinal traction as well as corrective exercises and spinal manipulative therapy was performed over an 11-month period. [Results] After 57 treatments, there was a 13.4 degrees reduction in L1-L5 lordosis, an 11.8 degrees reduction in sacral base angle and a 13.8 mm reduction in anterior thoracic translation. The improved structural changes correlated with improved symptoms. [Conclusion] Lumbar hyperlordosis can be reduced in pediatric patients presenting with hyperlordosis and associated symptomatology. Routine radiography may be warranted in the diagnosis of </w:t>
      </w:r>
      <w:r w:rsidRPr="00637692">
        <w:rPr>
          <w:rFonts w:ascii="Times New Roman" w:hAnsi="Times New Roman" w:cs="Times New Roman"/>
          <w:noProof/>
          <w:sz w:val="24"/>
        </w:rPr>
        <w:lastRenderedPageBreak/>
        <w:t>lumbar spine deformities in pediatrics. Further research into the non-surgical reduction of lumbar spine hyperlordosis is needed.</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Kelbl, M., et al. (2019). "[Assessment of Reduction Abilities of an Expandable Stent in Treating Osteoporosis-Related Fractures of Th/L (Thoracolumbar) Spine]." </w:t>
      </w:r>
      <w:r w:rsidRPr="00637692">
        <w:rPr>
          <w:rFonts w:ascii="Times New Roman" w:hAnsi="Times New Roman" w:cs="Times New Roman"/>
          <w:noProof/>
          <w:sz w:val="24"/>
          <w:u w:val="single"/>
        </w:rPr>
        <w:t>Acta Chir Orthop Traumatol Cech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86</w:t>
      </w:r>
      <w:r w:rsidRPr="00637692">
        <w:rPr>
          <w:rFonts w:ascii="Times New Roman" w:hAnsi="Times New Roman" w:cs="Times New Roman"/>
          <w:noProof/>
          <w:sz w:val="24"/>
        </w:rPr>
        <w:t>(1): 39-45.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OF THE STUDY The method of stabilising the osteoporosis-related spinal fractures using an expandable stent (vertebral body stent - VBS) and bone cement is generally accepted for its minimal invasiveness, a low risk of complications and confirmed analgesic effect. The efficiency of reduction of a compressed vertebra is, however, still discussed in the literature. Our hypothesis was that the stent expansion in the vertebral body can achieve a statistically significant reduction in the anterior, middle and posterior part of the vertebra. MATERIAL AND METHODS The patients in whom the VBS technique was used to treat an osteoporosis-related fracture of Th/L spine in the period 2010-2014 were included in the study, namely 29 patients with 31treated fractures. The following radiographic parameters were monitored - anterior, middle and posterior vertebral body height, kyphotic angle between the upper and lower endplates of the vertebral body. Also, the radiation burden, painfulness according to VAS score and occurrence of complications were monitored. The minimum follow-up was 12 months. RESULTS The mean height of the anterior part of the vertebral body before the surgery, on the 1st postoperative day and </w:t>
      </w:r>
      <w:r w:rsidRPr="00637692">
        <w:rPr>
          <w:rFonts w:ascii="Times New Roman" w:hAnsi="Times New Roman" w:cs="Times New Roman"/>
          <w:noProof/>
          <w:sz w:val="24"/>
        </w:rPr>
        <w:lastRenderedPageBreak/>
        <w:t xml:space="preserve">at 6 weeks, 3 months, 6 months and 12 months was 23.5/25.4/23.9/23.6/23.6 mm respectively. The mean height of the middle part of the vertebral body at the same intervals was 17.9/24.0/23.4/22.9/22.9/22.9 mm. The mean height of the posterior part of the vertebral body was 29.6/29.8/29.4/29.3/29.2/29.2 mm. The kyphotic angle between the endplates of the vertebral body was 8.6/5.3/7.4/7.9/8.0/8.0 degrees . The mean VAS values were 8.2/2.4/2.0/1.9/1.8/1.7. The mean duration of surgery was 54.3 minutes. The mean time of fluoroscopy was 33.4 s. The mean radiation dose was 443.1 cGycm2. The observed complications comprised 2 cases of dilatation balloon rupture, one case of a failure to expand the stents in a healed fracture due to incorrect indication. In total, four cases of cement leakage outside the vertebral body were reported, always with no clinical response. DISCUSSION All the authors agree that the method brings immediate analgesic effect, comparable to kyphoplasty or vertebroplasty. In our cohort, good reduction ability of the implant in the middle part of the vertebral body was confirmed. This has been confirmed also by other authors. Nonetheless, at a longer time interval the loss of correction was observed, which was reported only by Hartmann (5). The other authors mostly did not take into account the longer-term outcomes. CONCLUSIONS The hypothesis that the stent is capable of a statistically significant reduction in the anterior, middle and posterior portion of the vertebral body was only partially confirmed. A statistically significant reduction was seen only in the middle portion of the vertebral body. In the anterior portion </w:t>
      </w:r>
      <w:r w:rsidRPr="00637692">
        <w:rPr>
          <w:rFonts w:ascii="Times New Roman" w:hAnsi="Times New Roman" w:cs="Times New Roman"/>
          <w:noProof/>
          <w:sz w:val="24"/>
        </w:rPr>
        <w:lastRenderedPageBreak/>
        <w:t>of the vertebral body the reduction was demonstrable only immediately after the surgery, while the later follow-up checks revealed the loss of correction. The statistically significant improvement of the kyphotic angle between the endplates of the injured vertebra was also seen only on the first postoperative radiographs and at later follow-up checks the improvement was no more significant. The change in the height of the posterior portion of the vertebral body was not statistically significant at any of the follow-up intervals. Key words:osteoporosis, vertebral fracture, vertebral body augmentation, stentoplasty, vertebral body stent.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Khalife, M., et al. (2021). "Isthmic spondylolisthesis treated with circumferential arthrodesis (ALIF and posterior fixation): correction, fusion and indirect decompression." </w:t>
      </w:r>
      <w:r w:rsidRPr="00637692">
        <w:rPr>
          <w:rFonts w:ascii="Times New Roman" w:hAnsi="Times New Roman" w:cs="Times New Roman"/>
          <w:noProof/>
          <w:sz w:val="24"/>
          <w:u w:val="single"/>
        </w:rPr>
        <w:t>Acta Orthop Belg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87</w:t>
      </w:r>
      <w:r w:rsidRPr="00637692">
        <w:rPr>
          <w:rFonts w:ascii="Times New Roman" w:hAnsi="Times New Roman" w:cs="Times New Roman"/>
          <w:noProof/>
          <w:sz w:val="24"/>
        </w:rPr>
        <w:t>(4): 787-794.</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There is no consensus regarding the choice of the surgical technique for isthmic spondylolisthesis treatment, although they all aim to a common goal, achieving fusion at the index level while restoring an appropriate lordosis and remove potential radicular compression. Analyze outcome of circumferential arthrodesis (CA) with ALIF (Anterior Lumbar Interbody Fusion) and pedicle screw fixation for the treatment of all-grade isthmic spondylolisthesis, with indirect neurological decompression. Retrospective study of isthmic spondylolisthesis treated with CA, with one-year follow-up. Clinical scores were collected at one year: VAS-L, VAS-R and ODI. Pelvic parameters, L4-S1 </w:t>
      </w:r>
      <w:r w:rsidRPr="00637692">
        <w:rPr>
          <w:rFonts w:ascii="Times New Roman" w:hAnsi="Times New Roman" w:cs="Times New Roman"/>
          <w:noProof/>
          <w:sz w:val="24"/>
        </w:rPr>
        <w:lastRenderedPageBreak/>
        <w:t>lordosis and at index and adjacent levels, and lumbo-sacral angle (LSA) were measured pre- and post-operatively and at last follow-up. Foraminal surface and diameters were measured pre- operatively and at follow-up on CT-Scan. Level of evidence: IV. 87 patients were included. Mean VAS-L was 2.3, mean VAS-R was 1, and mean ODI was 13.8%. 10% of the patients presented a high-grade spondylolisthesis and 50% a grade II. Mean lordosis at index level shifted from 6 degrees to 18 degrees , L4-S1 lordosis increased from 37 to 45 degrees and LSA shifted from 116 to 125 degrees (p&lt;0.001). The foraminal surface increased from 50mm 2 to 70mm 2 at last follow-up mostly through the supero-inferior diameter, shifting from 7.4mm to 9.5mm (p&lt;0.001). In LSA&lt;90 degrees group, mean correction was 20 degrees at index level, 13 degrees at L4-S1 and 21 degrees for LSA versus 11 degrees , 8 degrees and 8 degrees respectively in LSA&gt;90 degrees group (p&lt;0.001). Fusion rate was estimated at 96.5%. One infection, 5 sympathetic dysfunctions, one retrograde ejaculation, one iliac vein injury, one incisional hernia, one lateral femoral cutaneous nerve injury and two adjacent syndromes have been noted. CA is an efficient technique for the treatment of isthmic spondylolisthesis of all grades, with an acceptable rate of complications. It allows a restoration of the regional lordosis as well as a foraminal widening, avoiding additional decompression.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Kim, S. M., et al. (2022). "Surgical sequence in anterior column realignment with posterior osteotomy is important for degree of adult spinal deformity correction: </w:t>
      </w:r>
      <w:r w:rsidRPr="00637692">
        <w:rPr>
          <w:rFonts w:ascii="Times New Roman" w:hAnsi="Times New Roman" w:cs="Times New Roman"/>
          <w:noProof/>
          <w:sz w:val="24"/>
        </w:rPr>
        <w:lastRenderedPageBreak/>
        <w:t xml:space="preserve">advantages and indications for posterior to anterior sequence." </w:t>
      </w:r>
      <w:r w:rsidRPr="00637692">
        <w:rPr>
          <w:rFonts w:ascii="Times New Roman" w:hAnsi="Times New Roman" w:cs="Times New Roman"/>
          <w:noProof/>
          <w:sz w:val="24"/>
          <w:u w:val="single"/>
        </w:rPr>
        <w:t>BMC Musculoskelet Disord</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23</w:t>
      </w:r>
      <w:r w:rsidRPr="00637692">
        <w:rPr>
          <w:rFonts w:ascii="Times New Roman" w:hAnsi="Times New Roman" w:cs="Times New Roman"/>
          <w:noProof/>
          <w:sz w:val="24"/>
        </w:rPr>
        <w:t>(1): 1004.</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We hypothesized that posterior osteotomy prior to ACR (Anterior column realignment) through P-A-P surgical sequence would permit a greater correction for deformity corrective surgery than the traditional A-P sequence without posterior osteotomy. This study aimed to determine the impact of the P-A-P sequence on the restoration of lumbar lordosis (LL) compared to the A-P sequence in deformity corrective surgery for adult spinal deformity (ASD) patients and to identify the characteristics of patients who require this sequence. METHODS: Between 2017 and 2019, 260 ASD patients who had undergone combined corrective surgery were reviewed retrospectively. This study included 178 patients who underwent posterior osteotomy before the ACR (P-A group) and 82 patients who underwent the A-P sequence (A-P group). Sagittal spinopelvic parameters were determined from pre- and postoperative whole-spine radiographs and compared between the groups. To find better indications for the P-A-P sequence, we conducted additional analysis on postoperative outcomes of patients in the A-P group. RESULTS: The P-A group showed a significantly higher change in LL (53.7 degrees vs. 44.3 degrees , p &lt; 0.001), C7 sagittal vertical axis (C7 SVA: 197.4 mm vs. 146.1 mm, p = 0.021), segmental lordosis (SL) L2/3 (16.2 degrees vs. 14.4 degrees , p = 0.043), SL L3/4 (16.2 degrees vs. 13.8 degrees , p = 0.004), and SL L4/5 (15.1 degrees vs. 11.3 degrees , p = 0.001) compared to the A-P group. At the final follow-up, </w:t>
      </w:r>
      <w:r w:rsidRPr="00637692">
        <w:rPr>
          <w:rFonts w:ascii="Times New Roman" w:hAnsi="Times New Roman" w:cs="Times New Roman"/>
          <w:noProof/>
          <w:sz w:val="24"/>
        </w:rPr>
        <w:lastRenderedPageBreak/>
        <w:t>pelvic incidence (PI) minus LL mismatch (PI - LL mismatch) was significantly higher in the A-P group (13.4 degrees vs. 2.9 degrees , p &lt; 0.001). Stepwise logistic regression analysis showed that age &gt;/= 75 years (odds ratio [OR] = 2.151; 95% confidence interval [CI], 1.414-3.272; p &lt; 0.001), severe osteoporosis (OR = 2.824; 95% CI, 1.481-5.381; p = 0.002), rigid lumbar curve with dynamic changes in LL &lt; 10 degrees (OR = 5.150; 95% CI, 2.296-11.548; p &lt; 0.001), and severe facet joint osteoarthritis (OR = 4.513; 95% CI, 1.958-10.402; p &lt; 0.001) were independent risk factors for PI - LL mismatch &gt;/= 10 degrees after A-P surgery. CONCLUSION: P-A-P sequence for deformity corrective surgery in ASD offers greater LL correction than the A-P sequence. Indications for the procedure include patients aged &gt;/= 75 years, severe osteoporosis, rigid lumbar curve with dynamic change in LL &lt; 10 degrees , or more than four facet joints of Pathria grade 3 in the lumbar region.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Kiyohara, M., et al. (2020). "Anatomical Evaluation of Lumbar Arteries for Lateral Lumbar Interbody Fusion with Magnetic Resonance Imaging." </w:t>
      </w:r>
      <w:r w:rsidRPr="00637692">
        <w:rPr>
          <w:rFonts w:ascii="Times New Roman" w:hAnsi="Times New Roman" w:cs="Times New Roman"/>
          <w:noProof/>
          <w:sz w:val="24"/>
          <w:u w:val="single"/>
        </w:rPr>
        <w:t>Spine Surg Relat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4</w:t>
      </w:r>
      <w:r w:rsidRPr="00637692">
        <w:rPr>
          <w:rFonts w:ascii="Times New Roman" w:hAnsi="Times New Roman" w:cs="Times New Roman"/>
          <w:noProof/>
          <w:sz w:val="24"/>
        </w:rPr>
        <w:t>(1): 69-73.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INTRODUCTION: Lateral lumbar interbody fusion (LLIF) is becoming a more common surgical treatment option for adult degenerative lumbar conditions. LLIF is a mini-open access technique with wound retractors, and postoperative hematoma due to segmental vessels injury is reported. Thus, it is considered that there is a need to conduct detailed preoperative examinations to identify </w:t>
      </w:r>
      <w:r w:rsidRPr="00637692">
        <w:rPr>
          <w:rFonts w:ascii="Times New Roman" w:hAnsi="Times New Roman" w:cs="Times New Roman"/>
          <w:noProof/>
          <w:sz w:val="24"/>
        </w:rPr>
        <w:lastRenderedPageBreak/>
        <w:t>where the lumbar vessels are. As far as we know, there are only a few studies investigating the location of the lumbar arteries. This study evaluates the anatomical position of lumbar arteries using magnetic resonance imaging (MRI). METHODS: We studied 101 MRIs of patients with lumbar disease. The length from the upper and lower end plates of the vertebra to the lumbar arteries was measured. The measurement was conducted with coronal MRI images of every quarter slice of L1 to L4 vertebrae. We also investigated sagittal MRI images to determine whether the lumbar vessels are located on intervertebral disc in each level from L1/2 to L5/S1. RESULTS: The lumbar vessels are not always located at the center of the vertebrae. Some lumbar vessels are located within 8 mm from the end plates. Especially in L4, the lumbar vessels tended to go down from the anterior cranial side to the posterior caudal side (P &lt; 0.01). 8, 24, and 54 lumbar vessels are located at the anterior quarter, the center, and the posterior quarter slice of the vertebrae, respectively, in L4. There were seven lumbar vessels in total located on the vertebral disc level. CONCLUSIONS: It is necessary to investigate where the lumbar arteries are located to prevent its injury in LLIF, because the lumbar artery is not always located at the center of a vertebra. MRIs may provide a valuable information to avoid vascular injury during LLIF.</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Ko, M. J., et al. (2019). "Correction of Spondylolisthesis by Lateral Lumbar Interbody Fusion Compared with Transforaminal Lumbar Interbody Fusion at L4-5." </w:t>
      </w:r>
      <w:r w:rsidRPr="00637692">
        <w:rPr>
          <w:rFonts w:ascii="Times New Roman" w:hAnsi="Times New Roman" w:cs="Times New Roman"/>
          <w:noProof/>
          <w:sz w:val="24"/>
          <w:u w:val="single"/>
        </w:rPr>
        <w:t xml:space="preserve">J Korean </w:t>
      </w:r>
      <w:r w:rsidRPr="00637692">
        <w:rPr>
          <w:rFonts w:ascii="Times New Roman" w:hAnsi="Times New Roman" w:cs="Times New Roman"/>
          <w:noProof/>
          <w:sz w:val="24"/>
          <w:u w:val="single"/>
        </w:rPr>
        <w:lastRenderedPageBreak/>
        <w:t>Neurosurg Soc</w:t>
      </w:r>
      <w:r w:rsidRPr="00637692">
        <w:rPr>
          <w:rFonts w:ascii="Times New Roman" w:hAnsi="Times New Roman" w:cs="Times New Roman"/>
          <w:noProof/>
          <w:sz w:val="24"/>
        </w:rPr>
        <w:t xml:space="preserve"> </w:t>
      </w:r>
      <w:r w:rsidRPr="00637692">
        <w:rPr>
          <w:rFonts w:ascii="Times New Roman" w:hAnsi="Times New Roman" w:cs="Times New Roman"/>
          <w:b/>
          <w:noProof/>
          <w:sz w:val="24"/>
        </w:rPr>
        <w:t>62</w:t>
      </w:r>
      <w:r w:rsidRPr="00637692">
        <w:rPr>
          <w:rFonts w:ascii="Times New Roman" w:hAnsi="Times New Roman" w:cs="Times New Roman"/>
          <w:noProof/>
          <w:sz w:val="24"/>
        </w:rPr>
        <w:t>(4): 422-431.</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In an aging society, the number of patients with symptomatic degenerative spondylolisthesis (DS) is increasing and there is an emerging need for fusion surgery. However, few studies have compared transforaminal lumbar interbody fusion (TLIF) and lateral lumbar interbody fusion (LLIF) for the treatment of patients with DS. The purpose of this study was to investigate the clinical and radiological outcomes between TLIF and LLIF in DS. METHODS: We enrolled patients with symptomatic DS at L4-5 who underwent TLIF with open pedicle screw fixation (TLIF group, n=41) or minimally invasive LLIF with percutaneous pedicle screw fixation (LLIF group, n=39) and were followed-up for more than one year. Clinical (visual analog scale and Oswestry disability index) and radiological outcomes (spondylolisthesis rate, segmental sagittal angle [SSA], mean disc height [MDH], intervertebral foramen height [FH], cage subsidence, and fusion rate) were assessed. And we assessed the changes in radiological parameters between the postoperative and the last follow-up periods. RESULTS: Preoperative radiological parameters were not significantly different between the two groups. LLIF was significantly superior to TLIF in immediate postoperative radiological results, including reduction of spondylolisthesis rate (3.8% and 7.2%), increase in MDH (13.9 mm and 10.3 mm) and FH (21.9 mm and 19.4 mm), and correction of SSA (18.9 degrees and 15.6 degrees ) (p&lt;0.01), and the changes were more stable from the postoperative period to the last follow-up (p&lt;0.01). Cage subsidence was </w:t>
      </w:r>
      <w:r w:rsidRPr="00637692">
        <w:rPr>
          <w:rFonts w:ascii="Times New Roman" w:hAnsi="Times New Roman" w:cs="Times New Roman"/>
          <w:noProof/>
          <w:sz w:val="24"/>
        </w:rPr>
        <w:lastRenderedPageBreak/>
        <w:t>observed significantly less in LLIF (n=6) than TLIF (n=21). Fusion rate was not different between the two groups. The clinical outcomes did not differ significantly at any time point between the two groups. Complications were not statistically significant. However, TLIF showed chronic mechanical problems with screw loosening in four patients and LLIF showed temporary symptoms associated with the surgical approach, such as psoas and ileus muscle symptoms in three and two cases, respectively. CONCLUSION: LLIF was more effective than TLIF for spondylolisthesis reduction, likely due to the higher profile cage and ligamentotactic effect. In addition, LLIF showed mechanical stability of the reduction level by using a cage with a larger footprint. Therefore, LLIF should be considered a surgical option before TLIF for patients with unstable DS.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Kucharzyk, D. W. and L. E. Miller (2020). "Two-year Clinical and Radiographic Results with a Multidimensional, Expandable Interbody Implant in Minimally Invasive Lumbar Spine Surgery." </w:t>
      </w:r>
      <w:r w:rsidRPr="00637692">
        <w:rPr>
          <w:rFonts w:ascii="Times New Roman" w:hAnsi="Times New Roman" w:cs="Times New Roman"/>
          <w:noProof/>
          <w:sz w:val="24"/>
          <w:u w:val="single"/>
        </w:rPr>
        <w:t>Cureus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12</w:t>
      </w:r>
      <w:r w:rsidRPr="00637692">
        <w:rPr>
          <w:rFonts w:ascii="Times New Roman" w:hAnsi="Times New Roman" w:cs="Times New Roman"/>
          <w:noProof/>
          <w:sz w:val="24"/>
        </w:rPr>
        <w:t>(2): e7070.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Introduction Minimally invasive spine surgery has become more prevalent in recent years, but the delivery of interbody devices with small footprints may insufficiently restore the disc space, which may lead to instability and non-union. Vertically expandable interbody implants have partially addressed this limitation, but lateral fusion support remains a concern. The purpose of this study was to evaluate two-year safety and effectiveness outcomes with a multidimensional, expandable interbody fusion device (Luna 3D Interbody </w:t>
      </w:r>
      <w:r w:rsidRPr="00637692">
        <w:rPr>
          <w:rFonts w:ascii="Times New Roman" w:hAnsi="Times New Roman" w:cs="Times New Roman"/>
          <w:noProof/>
          <w:sz w:val="24"/>
        </w:rPr>
        <w:lastRenderedPageBreak/>
        <w:t xml:space="preserve">Fusion System, Benvenue Medical, Inc., Santa Clara, CA) that is delivered through a minimally invasive approach (6-8 mm) that expands in situ to approximate an anterior lumbar interbody fusion footprint of 25 mm diameter. Material and methods This was a retrospective, single-center study that evaluated the clinical utility of a multi-expandable interbody cage in patients undergoing posterior or transforaminal lumbar interbody fusion. Key patient-reported outcomes included back pain severity, leg pain severity, and the Oswestry Disability Index (ODI). Radiographic assessments included disc height (anterior, posterior, and average), foraminal height, segmental lordosis, subsidence, implant migration, and pseudarthrosis. Patients were followed at regular intervals over two years postprocedure. Results A total of 50 consecutive patients were treated with transforaminal lumbar interbody fusion (TLIF) using the multidimensional expandable implant. Procedural blood loss was minimal (median 200 ml) and the mean hospital stay was 2.1 days. Perioperative complications were reported in three patients and included a dural tear, postoperative ileus, and end-plate violation. All complications were successfully managed conservatively. There were no nerve root injuries or perioperative infections. Over the two-year follow-up period, one case of subsidence and one case of implant migration were noted on radiographic imaging but required no treatment. Comparing the values reported at baseline and two years, the mean ODI score decreased by 61%, back pain severity decreased by 67%, and leg pain severity decreased by 80% (all p&lt;0.001). </w:t>
      </w:r>
      <w:r w:rsidRPr="00637692">
        <w:rPr>
          <w:rFonts w:ascii="Times New Roman" w:hAnsi="Times New Roman" w:cs="Times New Roman"/>
          <w:noProof/>
          <w:sz w:val="24"/>
        </w:rPr>
        <w:lastRenderedPageBreak/>
        <w:t>Comparing radiographic measures from baseline to two years, anterior disc height increased from 7.6 mm to 15.5 mm, posterior disc height increased from 2.9 mm to 10.1 mm, average disc height increased from 5.6 mm to 13.3 mm, foraminal height increased from 12.2 mm to 20.2 mm, and segmental lordosis increased from 6.2 degrees to 14.0 degrees (all changes p&lt;0.001). One case of non-union was observed and the corresponding two-year fusion rate was 98%. Conclusions The utilization of a minimally invasive, multidimensional, expandable interbody implant was safe and effective over two years of clinical follow-up. The implant allows the surgeon to re-establish sagittal balance and to provide a larger surface area for fusion as compared to traditional minimally invasive interbody devices.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Kulkarni, A. G., et al. (2018). "The Use of Tubular Retractors for Translaminar Discectomy for Cranially and Caudally Extruded Discs." </w:t>
      </w:r>
      <w:r w:rsidRPr="00637692">
        <w:rPr>
          <w:rFonts w:ascii="Times New Roman" w:hAnsi="Times New Roman" w:cs="Times New Roman"/>
          <w:noProof/>
          <w:sz w:val="24"/>
          <w:u w:val="single"/>
        </w:rPr>
        <w:t>Indian J Orthop</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52</w:t>
      </w:r>
      <w:r w:rsidRPr="00637692">
        <w:rPr>
          <w:rFonts w:ascii="Times New Roman" w:hAnsi="Times New Roman" w:cs="Times New Roman"/>
          <w:noProof/>
          <w:sz w:val="24"/>
        </w:rPr>
        <w:t>(3): 328-333.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The conventional interlaminar approach is adequate for access to most disc herniations in lumbar spine surgery. The access to cranially and caudally migrated disc fragments, by conventional interlaminar fenestration, requires an extension of the fenestration with the potential destruction of the facet joint complex and consequent postsurgical instability. To describe the technique and results of the translaminar technique of targeted discectomy using tubular retractors for the surgical treatment of cranially and caudally extruded </w:t>
      </w:r>
      <w:r w:rsidRPr="00637692">
        <w:rPr>
          <w:rFonts w:ascii="Times New Roman" w:hAnsi="Times New Roman" w:cs="Times New Roman"/>
          <w:noProof/>
          <w:sz w:val="24"/>
        </w:rPr>
        <w:lastRenderedPageBreak/>
        <w:t xml:space="preserve">discs. MATERIALS AND METHODS: The study period extended from January 2008 to December 2014. All patients with lumbar herniated discs who failed conservative management were selected for surgery and underwent routine erect radiographs and magnetic resonance imaging (MRI) of the lumbar spine. The patients with cranially or caudally migrated discs were included in this study. The technique involves approaching migrated disc through an oval window (sculpted through an 18 mm tubular retractor using a burr) in the lamina precisely over the location of the migrated disc as predicted by the preoperative MRI (inferior lamina for inferior migration and superior lamina for superior migration). The perioperative parameters studied were operative time, blood loss, complications, Oswestry Disability Index (ODI), and visual analog scale (VAS) for leg pain before surgery and at last followup. In the study, 4 patients underwent a postoperative computed tomography-scan with a three-dimensional reconstruction to visualize the oval window and to rule out any pars fracture. All technical difficulties and complications were analyzed. RESULTS: 17 patients in the age group of 41-58 years underwent the translaminar technique of targeted discectomy. The migration of disc was cranial in 12 patients and caudal in 5 patients. Fourteen of the affected discs were at the L4-L5 level and three were at the L5-S1 level. The mean VAS (leg pain) scale improved from 8 to 1 and the mean ODI changed from 59.8 to 23.6. There were no intraoperative or postoperative complications encountered in this study. Furthermore, no patient in the present study required a conventional </w:t>
      </w:r>
      <w:r w:rsidRPr="00637692">
        <w:rPr>
          <w:rFonts w:ascii="Times New Roman" w:hAnsi="Times New Roman" w:cs="Times New Roman"/>
          <w:noProof/>
          <w:sz w:val="24"/>
        </w:rPr>
        <w:lastRenderedPageBreak/>
        <w:t>laminotomy or medial facetectomy. There was no evidence of iatrogenic pars injury or instability at the last followup. There were no recurrences till the last followup. CONCLUSIONS: The targeted translaminar approach preserves structures important for segmental spinal stability thus causing minimal anatomical disruption. This approach allows access to the extruded disc fragment and intervertebral disc space comparable to classical approaches.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Lambrechts, M. J., et al. (2023). "A Comparison of Radiographic Alignment between Bilateral and Unilateral Interbody Cages in Patients Undergoing Transforaminal Lumbar Interbody Fusion." </w:t>
      </w:r>
      <w:r w:rsidRPr="00637692">
        <w:rPr>
          <w:rFonts w:ascii="Times New Roman" w:hAnsi="Times New Roman" w:cs="Times New Roman"/>
          <w:noProof/>
          <w:sz w:val="24"/>
          <w:u w:val="single"/>
        </w:rPr>
        <w:t>Asian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w:t>
      </w:r>
      <w:r w:rsidRPr="00637692">
        <w:rPr>
          <w:rFonts w:ascii="Times New Roman" w:hAnsi="Times New Roman" w:cs="Times New Roman"/>
          <w:noProof/>
          <w:sz w:val="24"/>
        </w:rPr>
        <w:t>(4): 666-675.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Retrospective cohort study. PURPOSE: To compare radiographic outcomes between unilateral and bilateral cage placement in transforaminal lumbar interbody fusions (TLIF) and to determine if the rate of fusion at the 1-year postoperative point was different in patients who received bilateral versus unilateral cages. OVERVIEW OF LITERATURE: There is no clear evidence to dictate whether bilateral or unilateral cages promote superior radiographic or surgical outcomes in TLIF. METHODS: Patients &gt;18 years old who underwent primary one- or two-level TLIFs at our institution were identified and propensitymatched in a 3:1 fashion (unilateral:bilateral). Patient demographics, surgical characteristics, and radiographic outcomes, including vertebral endplate obliquity, segmental lordosis, subsidence, and fusion status, were compared between groups. RESULTS: Of the 184 patients included, 46 </w:t>
      </w:r>
      <w:r w:rsidRPr="00637692">
        <w:rPr>
          <w:rFonts w:ascii="Times New Roman" w:hAnsi="Times New Roman" w:cs="Times New Roman"/>
          <w:noProof/>
          <w:sz w:val="24"/>
        </w:rPr>
        <w:lastRenderedPageBreak/>
        <w:t>received bilateral cages. Bilateral cage placement was associated with greater subsidence (1.06+/-1.25 mm vs. 0.59+/-1.16 mm, p=0.028) and enhanced restoration of segmental lordosis (5.74 degrees +/-14.1 degrees vs. -1.57 degrees +/-10.9 degrees , p=0.002) at the 1-year postoperative point, while unilateral cage placement was associated with an increased correction of endplate obliquity (-2.02 degrees +/-4.42 degrees vs. 0.24 degrees +/-2.81 degrees , p&lt;0.001). Bilateral cage placement was significantly associated with radiographic fusion on bivariate analysis (89.1% vs. 70.3%, p=0.018) and significantly predicted radiographic fusion on multivariable regression analysis (estimate, 1.35; odds ratio, 3.87; 95% confidence interval, 1.51-12.05; p=0.010). CONCLUSIONS: Bilateral interbody cage placement in TLIF procedures was associated with restoration of lumbar lordosis and increased fusion rates. However, endplate obliquity correction was significantly greater for patients who received a unilateral cage.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Lazennec, J. Y., et al. (1997). "Surgery of the deformities in ankylosing spondylitis: our experience of lumbar osteotomies in 31 patients."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6</w:t>
      </w:r>
      <w:r w:rsidRPr="00637692">
        <w:rPr>
          <w:rFonts w:ascii="Times New Roman" w:hAnsi="Times New Roman" w:cs="Times New Roman"/>
          <w:noProof/>
          <w:sz w:val="24"/>
        </w:rPr>
        <w:t>(4): 222-232.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Corrective surgery for kyphotic deformities of the spine in ankylosing spondylitis is a major surgery for rare indications. The authors report 31 lumbar osteotomies. The goal is to correct the deformity through a posterior limited approach and to minimise the neurological risks. The modifications developed by the authors for monosegmental closing wedge osteotomies are explained. </w:t>
      </w:r>
      <w:r w:rsidRPr="00637692">
        <w:rPr>
          <w:rFonts w:ascii="Times New Roman" w:hAnsi="Times New Roman" w:cs="Times New Roman"/>
          <w:noProof/>
          <w:sz w:val="24"/>
        </w:rPr>
        <w:lastRenderedPageBreak/>
        <w:t>The posterior resection is rhomboid shaped with a bilateral lamina removal. An osteotomy is performed in a forwards direction on the lateral aspects of the vertebral body without bone resection. This osteoclasty allows progressive vertebral body compression. Pediclectomy is associated if the corresponding foramen at the osteotomy level becomes too narrow in the process of redressing the spine. The resection level is adjusted so that superior and inferior posterior arches come into contact with a good compression. The authors point out the risk of lateral translation. Before the osteotomy, the two adjacent vertebrae are implanted with 5-mm cylindrical pedicular screws, so that posterior fixation can be carried out at any time. Posterior monobloc fixation allows for very great compression of the osteoclasty. The authors compare the results of their experiences in opening and closing osteotomy. They progressively changed their technique for closing osteotomies, because of published vascular complications and mechanical risks (instability and pseudarthrosis in opening osteotomies). Closing osteotomy also minimises the risk of stenosis with radicular compression or traction if an important correction is performed. The level of the osteotomy varied in this series, which had a correction rate of up to 75 degrees. The choice of level depends on secondary effects on pelvic position and projection of the centre of gravity. The preferred procedure remains a monosegmental correction because it is faster and easier, with minimum bleeding. Short monobloc posterior fixation is sufficient to maintain reduction and to obtain stability from posterior compression.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Le, T. V., et al. (2012). "The effect of the retroperitoneal transpsoas minimally invasive lateral interbody fusion on segmental and regional lumbar lordosis." </w:t>
      </w:r>
      <w:r w:rsidRPr="00637692">
        <w:rPr>
          <w:rFonts w:ascii="Times New Roman" w:hAnsi="Times New Roman" w:cs="Times New Roman"/>
          <w:noProof/>
          <w:sz w:val="24"/>
          <w:u w:val="single"/>
        </w:rPr>
        <w:t>ScientificWorldJournal</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2012</w:t>
      </w:r>
      <w:r w:rsidRPr="00637692">
        <w:rPr>
          <w:rFonts w:ascii="Times New Roman" w:hAnsi="Times New Roman" w:cs="Times New Roman"/>
          <w:noProof/>
          <w:sz w:val="24"/>
        </w:rPr>
        <w:t>: 516706.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BACKGROUND: The minimally invasive lateral interbody fusion (MIS LIF) in the lumbar spine can correct coronal Cobb angles, but the effect on sagittal plane correction is unclear. METHODS: A retrospective review of thirty-five patients with lumbar degenerative disease who underwent MIS LIF without supplemental posterior instrumentation was undertaken to study the radiographic effect on the restoration of segmental and regional lumbar lordosis using the Cobb angles on pre- and postoperative radiographs. Mean disc height changes were also measured. RESULTS: The mean follow-up period was 13.3 months. Fifty total levels were fused with a mean of 1.42 levels fused per patient. Mean segmental Cobb angle increased from 11.10 degrees to 13.61 degrees (P &lt; 0.001) or 22.6%. L2-3 had the greatest proportional increase in segmental lordosis. Mean regional Cobb angle increased from 52.47 degrees to 53.45 degrees (P = 0.392). Mean disc height increased from 6.50 mm to 10.04 mm (P &lt; 0.001) or 54.5%. CONCLUSIONS: The MIS LIF improves segmental lordosis and disc height in the lumbar spine but not regional lumbar lordosis. Anterior longitudinal ligament sectioning and/or the addition of a more lordotic implant may be necessary in cases where significant increases in regional lumbar lordosis are desired.</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Li, Y. M., et al. (2022). "Laterally placed expandable interbody spacers with and without adjustable lordosis improve patient outcomes: A preliminary one-year chart review." </w:t>
      </w:r>
      <w:r w:rsidRPr="00637692">
        <w:rPr>
          <w:rFonts w:ascii="Times New Roman" w:hAnsi="Times New Roman" w:cs="Times New Roman"/>
          <w:noProof/>
          <w:sz w:val="24"/>
          <w:u w:val="single"/>
        </w:rPr>
        <w:t>Clin Neurol Neurosurg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213</w:t>
      </w:r>
      <w:r w:rsidRPr="00637692">
        <w:rPr>
          <w:rFonts w:ascii="Times New Roman" w:hAnsi="Times New Roman" w:cs="Times New Roman"/>
          <w:noProof/>
          <w:sz w:val="24"/>
        </w:rPr>
        <w:t>: 107123.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BACKGROUND/OBJECTIVES: Minimally invasive lateral lumbar interbody fusion (MIS LLIF) has been employed to treat degenerative disc disease, with reduced complication profiles in comparison to other open anterior and posterior techniques. The technique permits the use of larger, coronal-spanning interbody spacers to restore height and alignment. However, large static spacers have historically been associated with iatrogenic complications during trialing and insertion. Developments in expandable technology have the potential for incrementally larger increases in both height and lordosis in a controlled expansion in situ, minimizing endplate violation. However, further clinical and radiographic data are needed to investigate the effect of expansion technology. METHODS: A retrospective, single-surgeon chart review was performed on 103 consecutive patients, all of whom underwent MIS LLIF surgery at 1-2 contiguous level(s) with expandable spacers [66/103 patients were implanted with lordotically actuated (adjustable lordosis) spacers, and 37/103 with non-adjustable lordosis spacers]. Clinical and radiographic functional outcomes were collected and compared at both preoperative and postoperative time points up to 12-month follow-up. Parametric and nonparametric tests were utilized when they were appropriate, with a P value &lt; 0.05 being significant. RESULTS: </w:t>
      </w:r>
      <w:r w:rsidRPr="00637692">
        <w:rPr>
          <w:rFonts w:ascii="Times New Roman" w:hAnsi="Times New Roman" w:cs="Times New Roman"/>
          <w:noProof/>
          <w:sz w:val="24"/>
        </w:rPr>
        <w:lastRenderedPageBreak/>
        <w:t xml:space="preserve">One-hundred twenty-five levels were instrumented on 103 consecutive cases. Average age was 58.2 +/- 12.1 years; 42.1% (45/107) were female; 78.6% (81/103) were 1-level cases; 21.4% (22/103) were 2-level cases; 44.8% (56/125) were performed at L4-L5 and 34.4% (43/125) at L3-4. Average estimated blood loss was 24.6 +/- 12.3cc. Mean operative time was 61.0 +/- 19.1 min, and mean fluoroscopic time was 28.2 +/- 14.6 s. Visual Analog Scale (VAS) back and leg pain scores decreased significantly by an average of 6.5 +/- 1.3 points at 12 months (P &lt; 0.001). Oswestry Disability Index (ODI) scores significantly decreased at final follow-up by a mean of 62.0 +/- 12.4 points (P &lt; 0.001). Lumbar lordosis significantly improved by a mean of 3.1 +/- 8.8 degrees , while segmental lordosis significantly improved by 3.9 +/- 3.1 degrees at 12 months (P &lt; 0.001). Anterior, middle, and posterior disc heights all experienced significant increases at 12 months by averages of 5.1 +/- 3.1, 4.5 +/- 2.9, and 2.4 +/- 2.2 mm, respectively (P &lt; 0.001). Neuroforaminal height significantly increased at 12 months by a mean of 3.7 +/- 3.7 mm (P &lt; 0.001). There was 99% fusion at all levels, with no findings of radiolucency and 1% pseudarthrosis observed. Only 1 (1/125, 0.8%) case of subsidence and 7 (7/125, 5.6%) cases of suspected, asymptomatic radiographic adjacent segment degeneration were reported, with no secondary revision surgeries through 12-month follow-up. CONCLUSION: Significant improvement of disc height, neuroforaminal height, segmental lordosis, and indirect decompression was achieved and maintained up to 1-year follow-up from baseline. Clinical outcomes were </w:t>
      </w:r>
      <w:r w:rsidRPr="00637692">
        <w:rPr>
          <w:rFonts w:ascii="Times New Roman" w:hAnsi="Times New Roman" w:cs="Times New Roman"/>
          <w:noProof/>
          <w:sz w:val="24"/>
        </w:rPr>
        <w:lastRenderedPageBreak/>
        <w:t>significantly improved based on appreciable decreases in VAS pain and ODI scores at final follow-up. Minimal complications were reported, with significant radiographic and patient reported outcomes observed. The use of expandable spacers, with and without adjustable lordosis, was shown to improve outcomes for the studied patient population.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Li, Y. M., et al. (2021). "Laterally Placed Expandable Interbody Spacers With and Without Adjustable Lordosis Improve Radiographic and Clinical Outcomes: A Two-Year Follow-Up Study." </w:t>
      </w:r>
      <w:r w:rsidRPr="00637692">
        <w:rPr>
          <w:rFonts w:ascii="Times New Roman" w:hAnsi="Times New Roman" w:cs="Times New Roman"/>
          <w:noProof/>
          <w:sz w:val="24"/>
          <w:u w:val="single"/>
        </w:rPr>
        <w:t>Cureus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13</w:t>
      </w:r>
      <w:r w:rsidRPr="00637692">
        <w:rPr>
          <w:rFonts w:ascii="Times New Roman" w:hAnsi="Times New Roman" w:cs="Times New Roman"/>
          <w:noProof/>
          <w:sz w:val="24"/>
        </w:rPr>
        <w:t>(12): e20302.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Introduction Interbody spacers are necessary for achieving disc height restoration when surgical intervention is used for the treatment of severe degenerative disc disease. Minimally invasive lateral lumbar interbody fusion (MIS LLIF) is a popular surgical approach that historically uses large static interbody spacers through a lateral approach. However, static spacers have been associated with iatrogenic distraction and excessive impaction forces, which may increase the risk of subsidence and loss of lordosis, compromising stability. Expandable interbody spacers with or without adjustable lordosis may help address these concerns by maximizing segmental lordosis and aiding in sagittal balance correction. This study describes the clinical and radiographic outcomes of patients treated with expandable interbody spacers with or without adjustable lordosis, for MIS LLIF. Materials and methods This is retrospective, single-surgeon Institutional Review Board-exempt chart review was of 103 </w:t>
      </w:r>
      <w:r w:rsidRPr="00637692">
        <w:rPr>
          <w:rFonts w:ascii="Times New Roman" w:hAnsi="Times New Roman" w:cs="Times New Roman"/>
          <w:noProof/>
          <w:sz w:val="24"/>
        </w:rPr>
        <w:lastRenderedPageBreak/>
        <w:t xml:space="preserve">consecutive patients who had undergone MIS LLIF at one to two contiguous level(s) utilizing expandable interbody spacers with or without adjustable lordosis (66/103 patients had adjustable lordosis spacers). Collection of clinical and radiographic functional outcomes occurred at preoperative and postoperative time points through 24 months. Results One-hundred and three consecutive patients were evaluated-average age, 58.2 +/- 12.1 years; 42.1% (45/107) were female. There were 78.6% (81/103) one-level cases and 21.4% (22/103) two-level cases for a total of 125 levels; 44.8% (56/125) were performed at L4-5 and 34.4% (43/125) at L3-4. The average estimated blood loss was 24.6 +/- 12.3cc. Mean operative time was 61.0 +/- 19.1 min, and mean fluoroscopic time was 28.2 +/- 14.6 sec. Visual Analog Scale (VAS) back and leg pain scores decreased significantly by an average of 7.1 +/- 1.0 points at 24 months (p&lt;0.001). Oswestry Disability Index (ODI) scores significantly decreased by a mean of 67.4 +/- 8.9 points at 24 months (p&lt;0.001). Lumbar lordosis significantly improved by a mean of 3.1 +/- 8.8 degrees at 24 months (p=0.001). Anterior, middle, and posterior disc height significantly increased at 24 months by averages of 4.7 +/- 3.1, 4.0 +/- 3.0, and 2.1 +/- 2.2mm, respectively (p&lt;0.001). Neuroforaminal height had significantly increased at 24 months by a mean of 3.0 +/- 3.6mm (p&lt;0.001). Segmental lordosis significantly improved by 3.7 +/- 2.9 degrees at 24 months (p&lt;0.001). There were 51 patients with abnormal preoperative Pelvic Incidence-Lumbar Lordosis (PI-LL) measurements that significantly improved by 9.1 +/- 4.9 degrees (p&lt;0.001) and </w:t>
      </w:r>
      <w:r w:rsidRPr="00637692">
        <w:rPr>
          <w:rFonts w:ascii="Times New Roman" w:hAnsi="Times New Roman" w:cs="Times New Roman"/>
          <w:noProof/>
          <w:sz w:val="24"/>
        </w:rPr>
        <w:lastRenderedPageBreak/>
        <w:t>52 patients with normal preoperative PI-LL measurements that improved by 0.2 +/- 4.6 degrees (p=0.748) at 24 months. One-hundred percent fusion occurred at all levels, and no findings of radiolucency were observed. One case of subsidence (1/125, 0.8%) was reported at 24 months. No implanted-related complications were reported, with 0% pseudoarthrosis and no secondary surgery required at the operative levels. Conclusion Indirect decompression and sagittal correction were achieved and maintained through a 24-month follow-up. Functional clinical outcomes significantly improved based on decreased VAS pain and ODI scores at 24 months. This study resulted in positive clinical and radiographic outcomes for patients who underwent MIS LLIF with expandable interbody spacers with or without adjustable lordosis.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Li, Y. M., et al. (2021). "Expandable Technology Improves Clinical and Radiographic Outcomes of Minimally Invasive Lateral Lumbar Interbody Fusion for Degenerative Disc Disease." </w:t>
      </w:r>
      <w:r w:rsidRPr="00637692">
        <w:rPr>
          <w:rFonts w:ascii="Times New Roman" w:hAnsi="Times New Roman" w:cs="Times New Roman"/>
          <w:noProof/>
          <w:sz w:val="24"/>
          <w:u w:val="single"/>
        </w:rPr>
        <w:t>Int J Spine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15</w:t>
      </w:r>
      <w:r w:rsidRPr="00637692">
        <w:rPr>
          <w:rFonts w:ascii="Times New Roman" w:hAnsi="Times New Roman" w:cs="Times New Roman"/>
          <w:noProof/>
          <w:sz w:val="24"/>
        </w:rPr>
        <w:t>(1): 87-93.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Static interbody spacers are standard of care for minimally invasive lateral lumbar interbody fusion (MIS LLIF). However, placement of large static interbody spacers typically requires multiple trialing, endplate preparation, and forceful impaction. A lateral expandable interbody spacer with adjustable lordosis can be inserted at a reduced height, to optimize the endplate-to-endplate fit. This study describes radiographic and clinical outcomes in </w:t>
      </w:r>
      <w:r w:rsidRPr="00637692">
        <w:rPr>
          <w:rFonts w:ascii="Times New Roman" w:hAnsi="Times New Roman" w:cs="Times New Roman"/>
          <w:noProof/>
          <w:sz w:val="24"/>
        </w:rPr>
        <w:lastRenderedPageBreak/>
        <w:t xml:space="preserve">patients treated using lateral titanium expandable interbody spacers with adjustable lordosis using MIS LLIF. METHODS: This is a single-surgeon, retrospective, institutional review board-exempt chart review of 24 consecutive patients who underwent MIS LLIF at 1-2 contiguous level(s) using expandable spacers with adjustable lordosis. Radiographic and clinical functional outcomes were collected and compared at preoperative and postoperative time points up to 24 months. Parametric and nonparametric tests were used when appropriate. Statistical results were significant if P &lt; .05. RESULTS: Twenty-four consecutive patients were evaluated with an average age of 57.8 +/- 12.6 years; 45.8% were female. Visual analog scale for back pain improved by 7.3 +/- 1.0 points, whereas Oswestry Disability Index scores improved by a mean of 67.5 +/- 11.3 points at 24 months (P &lt; .001). Lumbar lordosis improved by a mean of 6.3 +/- 10.1 degrees at 24 months (P &lt; .001). There were 29 spinal levels, with 41.4% at L4-5 and 34.5% at L3-4. Anterior, middle, and posterior disc height significantly increased at 24 months by means of 4.5 +/- 2.9 mm, 4.0 +/- 2.8 mm, and 2.6 +/- 1.9 mm, respectively (P &lt; .001). Neuroforaminal height significantly improved by 3.3 +/- 3.9 mm at 24 months (P &lt; .001). Segmental lordosis improved by 3.6 +/- 3.0 degrees at 24 months. CONCLUSIONS: This study showed significant positive clinical and radiographic outcomes for patients who underwent MIS LLIF using expandable interbody spacers with adjustable lordosis. Correction of sagittal alignment was achieved and maintained up to 2-year follow-up. The use of expandable spacers with </w:t>
      </w:r>
      <w:r w:rsidRPr="00637692">
        <w:rPr>
          <w:rFonts w:ascii="Times New Roman" w:hAnsi="Times New Roman" w:cs="Times New Roman"/>
          <w:noProof/>
          <w:sz w:val="24"/>
        </w:rPr>
        <w:lastRenderedPageBreak/>
        <w:t>adjustable lordosis was shown to be safe and effective in this cohort. LEVEL OF EVIDENCE: 3.</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Limmahakhun, S., et al. (2019). "In Vivo analysis of spinopelvic kinematics and peak head-cup contact in total hip arthroplasty patients with lumbar degenerative disc disease." </w:t>
      </w:r>
      <w:r w:rsidRPr="00637692">
        <w:rPr>
          <w:rFonts w:ascii="Times New Roman" w:hAnsi="Times New Roman" w:cs="Times New Roman"/>
          <w:noProof/>
          <w:sz w:val="24"/>
          <w:u w:val="single"/>
        </w:rPr>
        <w:t>J Orthop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37</w:t>
      </w:r>
      <w:r w:rsidRPr="00637692">
        <w:rPr>
          <w:rFonts w:ascii="Times New Roman" w:hAnsi="Times New Roman" w:cs="Times New Roman"/>
          <w:noProof/>
          <w:sz w:val="24"/>
        </w:rPr>
        <w:t>(3): 674-680.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Anterior instability after total hip arthroplasty (THA) has been described in patients with thoracolumbar kyphotic deformity. Although compensatory posterior pelvic tilt with subsequent increased functional anteversion has been described as the mechanism, there is a paucity of in vivo data. The purpose of our study was to compare pelvic tilt, anteversion, inclination, and position of head-cup contact points in patients with lumbar degenerative disc disease (DDD) and a matched patient cohort without DDD. A total of 50 THA, 18 hips with lumbar DDD and 32 hips without DDD, underwent CT imaging for 3D hip reconstruction. Component orientations and in vivo hip gait kinematics was quantified using a validated dual fluoroscopic imaging system. Hip kinematics and head-cup contact points were compared. Patients with lumbar DDD demonstrated decreased maximum (5.9 degrees +/- 4.2 degrees vs. 9.3 degrees +/- 5.4 degrees , p = 0.02) and minimum (2.4 degrees +/- 4.1 degrees vs. 6.2 degrees +/- 5.6 degrees , p = 0.01) anterior pelvic tilt, and increased maximum cup anteversion (29.3 degrees +/- 8.7 degrees vs. 25.1 degrees +/- 8.1 degrees , p = 0.05). The peak head-cup contact points were shifted closer to the anterior </w:t>
      </w:r>
      <w:r w:rsidRPr="00637692">
        <w:rPr>
          <w:rFonts w:ascii="Times New Roman" w:hAnsi="Times New Roman" w:cs="Times New Roman"/>
          <w:noProof/>
          <w:sz w:val="24"/>
        </w:rPr>
        <w:lastRenderedPageBreak/>
        <w:t>edge of the polyethylene (7.8 +/- 1.7 mm vs. 9.6 +/- 2.2 mm, p = 0.02). Patients with lumbar degenerative disc disease demonstrated increased posterior pelvic tilt, functional acetabular anteversion, inclination as well as shifting of the peak head-cup contact pattern significantly closer to an anterior edge, suggesting sagittal spinopelvic deformity may predispose to anterior instability in THA patients during upright activities. (c) 2019 Orthopaedic Research Society. Published by Wiley Periodicals, Inc. J Orthop Res.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Liu, J., et al. (2023). "Comparison of Lumbosacral Fusion Grade in Patients after Transforaminal and Anterior Lumbar Interbody Fusion with Minimum 2-Year Follow-Up." </w:t>
      </w:r>
      <w:r w:rsidRPr="00637692">
        <w:rPr>
          <w:rFonts w:ascii="Times New Roman" w:hAnsi="Times New Roman" w:cs="Times New Roman"/>
          <w:noProof/>
          <w:sz w:val="24"/>
          <w:u w:val="single"/>
        </w:rPr>
        <w:t>Orthop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15</w:t>
      </w:r>
      <w:r w:rsidRPr="00637692">
        <w:rPr>
          <w:rFonts w:ascii="Times New Roman" w:hAnsi="Times New Roman" w:cs="Times New Roman"/>
          <w:noProof/>
          <w:sz w:val="24"/>
        </w:rPr>
        <w:t>(9): 2334-2341.</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Generally, anterior lumbar interbody fusion (ALIF) was believed superior to transforaminal lumbar interbody fusion (TLIF) in induction of fusion. However, many studies have reported comparable results in lumbosacral fusion rate between the two approaches. This study aimed to evaluate the realistic lumbosacral arthrodesis rates following ALIF and TLIF in patients with degenerative spondylolisthesis as measured by CT and radiology. METHODS: Ninety-six patients who underwent single-level L5-S1 fusion through ALIF (n = 48) or TLIF (n = 48) for degenerative spondylolisthesis at the Spine Center, University of California San Francisco, between October 2014 and December 2017 were retrospectively evaluated. Fusion was independently evaluated and categorized as solid fusion, indeterminate fusion, or pseudarthroses by two </w:t>
      </w:r>
      <w:r w:rsidRPr="00637692">
        <w:rPr>
          <w:rFonts w:ascii="Times New Roman" w:hAnsi="Times New Roman" w:cs="Times New Roman"/>
          <w:noProof/>
          <w:sz w:val="24"/>
        </w:rPr>
        <w:lastRenderedPageBreak/>
        <w:t xml:space="preserve">radiologists using the modified Brantigan-Steffee-Fraser (mBSF) grade. Clinical data on sex, age, body mass index, Meyerding grade, smoking status, follow-up times, complications, and radiological parameters including disc height, disc angle, segmental lordosis, and overall lumbar lordosis were collected. The fusion results and clinical and radiographic data were statistically compared between the ALIF and TLIF groups by using t-test or chi-square test. RESULTS: The mean follow-up period was 37.5 (ranging from 24 to 51) months. Clear, solid radiographic fusions were higher in the ALIF group compared with the TLIF group at the last follow-up (75% vs 47.9%, p = 0.006). Indeterminate fusion occurred in 20.8% (10/48) of ALIF cases and in 43.8% (21/48) of TLIF cases (p = 0.028). Radiographic pseudarthrosis was not significantly different between the TLIF and ALIF groups (16.7% vs 8.3%; p = 0.677). In subgroup analysis of the patients without bone morphogenetic protein (BMP), the solid radiographic fusion rate was significantly higher in the ALIF group than that in the TLIF group (78.6% vs 45.5%; p = 0.037). There were no differences in sex, age, body mass index, Meyerding grade, smoking status, or follow-up time between the two groups (p &gt; 0.05). The ALIF group had more improvement in disc height (7.8 mm vs 4.7 mm), disc angle (5.2 degrees vs 1.5 degrees ), segmental lordosis (7.0 degrees vs 2.5 degrees ), and overall lumbar lordosis (4.7 degrees vs 0.7 degrees ) compared with the TLIF group (p &lt; 0.05). Overall complication rates were similar between the TLIF and ALIF groups (10.4% vs 8.33%; p &gt; 0.999). CONCLUSIONS: With a minimum 2-year </w:t>
      </w:r>
      <w:r w:rsidRPr="00637692">
        <w:rPr>
          <w:rFonts w:ascii="Times New Roman" w:hAnsi="Times New Roman" w:cs="Times New Roman"/>
          <w:noProof/>
          <w:sz w:val="24"/>
        </w:rPr>
        <w:lastRenderedPageBreak/>
        <w:t>radiographic analysis of arthrodesis at lumbosacral level by radiologists, the rate of solid radiographic fusions was higher in the ALIF group compared with the TLIF group, whereas the TLIF group had a higher rate of indeterminate fusion. Radiographic pseudarthrosis did not differ significantly between the TLIF and ALIF groups.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Liu, X. G., et al. (2022). "A superior articular process morphology of 5th lumbar vertebra prone to screws placement failure: an anatomical study of 299 patients." </w:t>
      </w:r>
      <w:r w:rsidRPr="00637692">
        <w:rPr>
          <w:rFonts w:ascii="Times New Roman" w:hAnsi="Times New Roman" w:cs="Times New Roman"/>
          <w:noProof/>
          <w:sz w:val="24"/>
          <w:u w:val="single"/>
        </w:rPr>
        <w:t>J Orthop Surg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w:t>
      </w:r>
      <w:r w:rsidRPr="00637692">
        <w:rPr>
          <w:rFonts w:ascii="Times New Roman" w:hAnsi="Times New Roman" w:cs="Times New Roman"/>
          <w:noProof/>
          <w:sz w:val="24"/>
        </w:rPr>
        <w:t>(1): 505.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PURPOSES: This study aimed to investigate whether the morphology of the superior articular processes of L5 vertebra affected the accuracy of pedicle screw placement by reviewing 299 patients who had undergone L5 pedicle screw fixation over the past 12 months and measuring relevant parameters. METHODS: We retrospectively analyzed patients who underwent L5 vertebra fixation at our spine surgery department from October 20, 2020 to October 20, 2021. Patients with spondylolisthesis, spondylolysis, and scoliosis were excluded. Parameters associated with the superior articular process were analyzed, including Mammillary process-Spinal canal Distance (MCD), Inter-Facet Distance (IFD), Inter-Pedicle Distance (IPD), Zygapophysial Joints Angle (ZJA), Superior Articular Width, and Lateral Recess Transverse Diameter. The L5 vertebral body was reconstructed by Mimics 21.0, and the simulated L5 screws were inserted at multiple entry points to measure the Maximum Safe </w:t>
      </w:r>
      <w:r w:rsidRPr="00637692">
        <w:rPr>
          <w:rFonts w:ascii="Times New Roman" w:hAnsi="Times New Roman" w:cs="Times New Roman"/>
          <w:noProof/>
          <w:sz w:val="24"/>
        </w:rPr>
        <w:lastRenderedPageBreak/>
        <w:t>Transverse Angle (STA(max)). RESULTS: A total of 299 patients who underwent L5 vertebra fixation with 556 pedicle screws were analyzed. An MCD &lt; 6 mm was associated with a significant increase in screw placement failure rate and decrease in ZJA. The MCD was positively correlated with IFD. No significant change in IPD was observed. Mimics software analysis showed that the STA(max) decreased with a decrease of MCD. When WBV &lt; 6 mm, 93% of the trans-mammillary vertical line was located within 50% of the pedicle. CONCLUSIONS: The superior articular process tended to narrow the spinal canal and exhibit a steep and a "cloverleaf" morphology when the MCD was &lt; 6 mm. This morphology increased the risk of operator mis-judgement resulting in screw placement failure. Assessment of the relationship between the trans-mammillary vertical line and the pedicle represents a simple method to predict abnormal morphology of the superior articular process before surgery.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Louie, P. K., et al. (2022). "Revision Strategies for Harrington Rod Instrumentation: Radiographic Outcomes and Complications." </w:t>
      </w:r>
      <w:r w:rsidRPr="00637692">
        <w:rPr>
          <w:rFonts w:ascii="Times New Roman" w:hAnsi="Times New Roman" w:cs="Times New Roman"/>
          <w:noProof/>
          <w:sz w:val="24"/>
          <w:u w:val="single"/>
        </w:rPr>
        <w:t>Global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12</w:t>
      </w:r>
      <w:r w:rsidRPr="00637692">
        <w:rPr>
          <w:rFonts w:ascii="Times New Roman" w:hAnsi="Times New Roman" w:cs="Times New Roman"/>
          <w:noProof/>
          <w:sz w:val="24"/>
        </w:rPr>
        <w:t>(4): 654-662.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Retrospective case series. OBJECTIVE: The purpose of this study is to evaluate the clinical and radiographic outcomes following revision surgery following Harrington rod instrumentation. METHODS: Patients who underwent revision surgery with a minimum of 1-year follow-up for flatback syndrome following Harrington rod instrumentation for adolescent idiopathic scoliosis were identified from a multicenter dataset. Baseline demographics and </w:t>
      </w:r>
      <w:r w:rsidRPr="00637692">
        <w:rPr>
          <w:rFonts w:ascii="Times New Roman" w:hAnsi="Times New Roman" w:cs="Times New Roman"/>
          <w:noProof/>
          <w:sz w:val="24"/>
        </w:rPr>
        <w:lastRenderedPageBreak/>
        <w:t>intraoperative information were obtained. Preoperative, initial postoperative, and most recent spinopelvic parameters were compared. Postoperative complications and reoperations were subsequently evaluated. RESULTS: A total of 41 patients met the inclusion criteria with an average follow-up of 27.7 months. Overall, 14 patients (34.1%) underwent a combined anterior-posterior fusion, and 27 (65.9%) underwent an osteotomy for correction. Preoperatively, the most common lower instrumented vertebra (LIV) was at L3 and L4 (61%), whereas 85% had a LIV to the pelvis after revision. The mean preoperative pelvic incidence-lumbar lordosis mismatch and C7 sagittal vertical axis were 23.7 degrees and 89.6 mm. This was corrected to 8.1 degrees and 28.9 mm and maintained to 9.04 degrees and 34.4 mm at latest follow-up. Complications included deep wound infection (12.2%), durotomy (14.6%), implant related failures (14.6%), and temporary neurologic deficits (22.0%). Eight patients underwent further revision surgery at an average of 7.4 months after initial revision. CONCLUSIONS: There are multiple surgical techniques to address symptomatic flatback syndrome in patients with previous Harrington rod instrumentation for adolescent idiopathic scoliosis. At an average of 27.7 months follow-up, pelvic incidence-lumbar lordosis mismatch and C7 sagittal vertical axis can be successfully corrected and maintained. However, complication and reoperation rates remain high.</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Lu, S., et al. (2018). "Long-term clinical results following Charite III lumbar total disc </w:t>
      </w:r>
      <w:r w:rsidRPr="00637692">
        <w:rPr>
          <w:rFonts w:ascii="Times New Roman" w:hAnsi="Times New Roman" w:cs="Times New Roman"/>
          <w:noProof/>
          <w:sz w:val="24"/>
        </w:rPr>
        <w:lastRenderedPageBreak/>
        <w:t xml:space="preserve">replacement." </w:t>
      </w:r>
      <w:r w:rsidRPr="00637692">
        <w:rPr>
          <w:rFonts w:ascii="Times New Roman" w:hAnsi="Times New Roman" w:cs="Times New Roman"/>
          <w:noProof/>
          <w:sz w:val="24"/>
          <w:u w:val="single"/>
        </w:rPr>
        <w:t>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18</w:t>
      </w:r>
      <w:r w:rsidRPr="00637692">
        <w:rPr>
          <w:rFonts w:ascii="Times New Roman" w:hAnsi="Times New Roman" w:cs="Times New Roman"/>
          <w:noProof/>
          <w:sz w:val="24"/>
        </w:rPr>
        <w:t>(6): 917-925.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CONTEXT: Lumbar total disc replacement (TDR) operation represents an alternative to lumbar fusion for the treatment of symptomatic lumbar intervertebral disc degeneration and has gained increasing attention in recent years. PURPOSE: This study aimed to assess clinical outcomes in a cohort of patients with TDR and the long-term survival rate of the prostheses. STUDY DESIGN: This is a retrospective, single-center clinical study. PATIENT SAMPLE: The sample comprised 30 patients, giving a total of 35 prostheses after an average follow-up (FU) of 15.2 years following TDR, which was performed for the treatment of lumbar degenerative disc disease. OUTCOME MEASURES: Clinical evaluation included visual analog scale (VAS) and the Oswestry Disability Index (ODI). Radiological parameters of intervertebral disc height (IDH), range of motion (ROM), lumbar lordosis, lumbar scoliosis, and prosthesis position were evaluated in surgical and adjacent levels. Complications and re-operation rates were also assessed. METHODS: Clinical evaluation and radiological parameters were evaluated preoperatively and at final FU. All data were collected by members of our department, including research assistants and nurses who were not involved in the decision making of this study. RESULTS: Thirty of the 35 patients participated in the final FU. The cumulative survival rate of the prosthesis at a mean FU of 15.4 years was 100%. The clinical success rate was 93.3%. The VAS and ODI scores at final FU were significantly lower than preoperatively (p&lt;.001). The average </w:t>
      </w:r>
      <w:r w:rsidRPr="00637692">
        <w:rPr>
          <w:rFonts w:ascii="Times New Roman" w:hAnsi="Times New Roman" w:cs="Times New Roman"/>
          <w:noProof/>
          <w:sz w:val="24"/>
        </w:rPr>
        <w:lastRenderedPageBreak/>
        <w:t>ROM of the operated and superior adjacent segment decreased significantly at the final FU, whereas the inferior adjacent segment was not affected. The IDH of all surgical and adjacent levels were well maintained at the final FU. Ten patients had a lumbar scoliosis &gt;3 degrees and the mean angle was 8.5 degrees , of which 7 had left convex curvature. Three prostheses were offset more than 5 mm from the midline on the coronal plane. Four prostheses showed subsidence. Twenty-six operative segments and five adjacent segments showed heterotopic ossification. Two patients of the total 35-patient cohort underwent a secondary operation. CONCLUSIONS: Satisfactory clinical results and good prosthesis survival can be achieved in the long term. Lumbar TDR surgeries also have the potential to reduce the incidence of adjacent segment disease.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Lu, Z., et al. (2023). "Effect of the preoperative assessment of the anteroposterior diameters of the spinal canal and dural area on the efficacy of oblique lumbar interbody fusion in patients with lumbar spinal stenosis." </w:t>
      </w:r>
      <w:r w:rsidRPr="00637692">
        <w:rPr>
          <w:rFonts w:ascii="Times New Roman" w:hAnsi="Times New Roman" w:cs="Times New Roman"/>
          <w:noProof/>
          <w:sz w:val="24"/>
          <w:u w:val="single"/>
        </w:rPr>
        <w:t>J Orthop Surg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18</w:t>
      </w:r>
      <w:r w:rsidRPr="00637692">
        <w:rPr>
          <w:rFonts w:ascii="Times New Roman" w:hAnsi="Times New Roman" w:cs="Times New Roman"/>
          <w:noProof/>
          <w:sz w:val="24"/>
        </w:rPr>
        <w:t>(1): 440.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The purpose of this study was to quantify the degree of lumbar spinal stenosis by assessing the anterior and posterior vertebral canal diameter and dural area, determine the sensitivity of the anterior and posterior spinal canal diameter, dural area and dural occupying rate in predicting the postoperative efficacy of oblique lumbar interbody fusion (OLIF) for patients with single-stage lumbar spinal stenosis, and identify the corresponding indicators suggesting that OLIF surgery should not be performed. METHODS: </w:t>
      </w:r>
      <w:r w:rsidRPr="00637692">
        <w:rPr>
          <w:rFonts w:ascii="Times New Roman" w:hAnsi="Times New Roman" w:cs="Times New Roman"/>
          <w:noProof/>
          <w:sz w:val="24"/>
        </w:rPr>
        <w:lastRenderedPageBreak/>
        <w:t xml:space="preserve">In a retrospective analysis of patients who had previously undergone OLIF surgery in our hospital, we included a total of 104 patients with lumbar spinal stenosis who had previously undergone single-stage surgery in our hospital. Three independent observers were employed to measure the anterior and posterior diameter of the spinal canal (AD, mm), dural area (CSA, mm(2)), the spinal canal area (SCA, mm(2)), and the ratio of the dural area to the spinal canal area (DM, %) at the disc level with the most severe stenosis on MRI. According to the values of AD and CSA in preoperative MRI, patients were divided into three groups: A, B, and C (Group A: AD &gt; 12 and 100 &lt; CSA &lt;/= 130, group B: Except A and C, group C: AD &lt;/= 10 and CSA &lt;/= 75). Preoperative and postoperative clinical outcome scores (Japanese Orthopaedic Association [JOA] score, VAS score, modified Macnab standard) of 104 patients were statistically. RESULTS: There were significant differences in the preoperative and postoperative clinical correlation scores among the mild, moderate and severe lumbar spinal stenosis groups. The improvement rate of the post treatment JOA score, the difference between the preoperative and postoperative VAS score, and the modified Macnab standard were compared pairwise. There was no statistical significance in the improvement rate of the post treatment JOA score, the difference between the preoperative and postoperative VAS score, and the modified Macnab standard between Group A and Group B (P = 0.125, P = 0.620, P = 0.803). There were statistically significant differences between Group A and Group C and between Group B </w:t>
      </w:r>
      <w:r w:rsidRPr="00637692">
        <w:rPr>
          <w:rFonts w:ascii="Times New Roman" w:hAnsi="Times New Roman" w:cs="Times New Roman"/>
          <w:noProof/>
          <w:sz w:val="24"/>
        </w:rPr>
        <w:lastRenderedPageBreak/>
        <w:t>and Group C in the improvement rate of the JOA score, the difference in the pre- and postoperative VAS score, and the modified Macnab standard. The anterior and posterior vertebral canal diameter and dural area are sensitive predictors of the postoperative efficacy of OLIF surgery for single-stage lumbar spinal stenosis. Moreover, when the anterior and posterior vertebral canal diameter was less than 6.545 mm and the dural area was less than 34.43 mm(2), the postoperative effect of OLIF surgery was poor. CONCLUSIONS: All the patients with mild, moderate, and severe lumbar spinal stenosis achieved curative effects after OLIF surgery. Patients with mild and moderate lumbar spinal stenosis had better curative effects, and there was no significant difference between them, while patients with severe lumbar spinal stenosis had poor curative effects. Both the anteroposterior diameter of the spinal canal and the dural area of the spinal canal were sensitive in predicting the curative effect of OLIF surgery for single-stage lumbar spinal stenosis. When the anterior and posterior vertebral canal diameter was less than 6.545 mm and the dural area was less than 34.43 mm(2), the postoperative effect of OLIF surgery was poor.</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Maiman, D., et al. (2020). "Intervertebral foramen narrowing during vertical dynamic loading." </w:t>
      </w:r>
      <w:r w:rsidRPr="00637692">
        <w:rPr>
          <w:rFonts w:ascii="Times New Roman" w:hAnsi="Times New Roman" w:cs="Times New Roman"/>
          <w:noProof/>
          <w:sz w:val="24"/>
          <w:u w:val="single"/>
        </w:rPr>
        <w:t>Traffic Inj Prev</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21</w:t>
      </w:r>
      <w:r w:rsidRPr="00637692">
        <w:rPr>
          <w:rFonts w:ascii="Times New Roman" w:hAnsi="Times New Roman" w:cs="Times New Roman"/>
          <w:noProof/>
          <w:sz w:val="24"/>
        </w:rPr>
        <w:t>(sup1): S163-S165.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The goal of the present study was to examine the effect of vertebral body fracture on the InterVertebral Foraminal IVF parameters with an input acceleration to the seat bottom in the inferior-to-superior direction. </w:t>
      </w:r>
      <w:r w:rsidRPr="00637692">
        <w:rPr>
          <w:rFonts w:ascii="Times New Roman" w:hAnsi="Times New Roman" w:cs="Times New Roman"/>
          <w:noProof/>
          <w:sz w:val="24"/>
        </w:rPr>
        <w:lastRenderedPageBreak/>
        <w:t>METHODS: A series of 43 isolated lumbar spines underwent vertical dynamic loading using the vertical accelerative device to determine the influence of inferior to superior loading through the lumbar spine on the intervertebral foramen (IVF) geometries. Existence of foraminal stenosis was quantified using pre- and post-test computed tomography (CT) images. Foraminal height (IVF_Ht) and posterior disk height (PD_Ht) were the key IVF parameters. RESULTS: There was a significant (p &lt; 0.05) decrease in the post-test IVF measurements compared to the pretest measurements. Furthermore, 30% of the total 49 AIS 2 cases and 70% of the total 21 AIS 3 cases had IVF values below the literature reported thresholds for IVF_Ht of &lt; 15 mm and PD_Ht of &lt; 4 mm, indicating likely occurrence of foraminal stenosis. CONCLUSIONS: These results underscore the need to assess foraminal geometry in compression fractures of the lumbar spine from vertical dynamic loading.</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Meyer, M., et al. (2020). "Isolated unstable burst fractures of the fifth lumbar vertebra: functional and radiological outcome after posterior stabilization with reconstruction of the anterior column: About 6 cases and literature review." </w:t>
      </w:r>
      <w:r w:rsidRPr="00637692">
        <w:rPr>
          <w:rFonts w:ascii="Times New Roman" w:hAnsi="Times New Roman" w:cs="Times New Roman"/>
          <w:noProof/>
          <w:sz w:val="24"/>
          <w:u w:val="single"/>
        </w:rPr>
        <w:t>Orthop Traumatol Surg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106</w:t>
      </w:r>
      <w:r w:rsidRPr="00637692">
        <w:rPr>
          <w:rFonts w:ascii="Times New Roman" w:hAnsi="Times New Roman" w:cs="Times New Roman"/>
          <w:noProof/>
          <w:sz w:val="24"/>
        </w:rPr>
        <w:t>(6): 1215-1220.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INTRODUCTION: L5 burst fractures represent a small percentage of all spine fractures. Treatment strategy has not yet been standardized. Anatomical features and their biomechanical characteristics create fracture patterns which differ from those at the thoracolumbar junction. The objective of this study was to </w:t>
      </w:r>
      <w:r w:rsidRPr="00637692">
        <w:rPr>
          <w:rFonts w:ascii="Times New Roman" w:hAnsi="Times New Roman" w:cs="Times New Roman"/>
          <w:noProof/>
          <w:sz w:val="24"/>
        </w:rPr>
        <w:lastRenderedPageBreak/>
        <w:t>evaluate L5 burst fracture surgical treatment outcomes after posterior stabilization and reconstruction of the anterior column. PATIENTS AND METHODS: Six patients with fifth lumbar isolated unstable burst fractures were analyzed. Medical records, radiographs, and clinical scores were obtained. The results were evaluated based on restoration of vertebral body height, spinal lordosis/kyphosis, canal compromise and sagittal alignment at several phases of treatment. RESULTS: No patient showed neurologic deterioration, regardless of treatment. The median preoperative anterior vertebral height was 41mm and postoperative was 48mm. The median preoperative kyphotic angle as measured by Cobb angle (local and regional) was 21.5 degrees and 33 degrees which improved respectively by 7.5 and 5.5 degrees following instrumentation. The median amount of backward protrusion of bony fragment into the canal was measured at 67% preoperatively and at 35% postoperatively. There were no pseudarthrosis and anterior arthrodesis solid fusion was visible in all cases. There were a sagittal alignment restoration. At one year of follow up, fusion was obtained in all the cases, all patients had minimal to moderate disability using Oswestry Disability Index. The ability to return to work revealed a good-to-excellent long-term result. DISCUSSION: The results of treatment of 5th lumbar unstable burst fractures with posterior stabilization and reconstruction of the anterior column show benefit on durable functional outcome, spine stabilization and radiologic parameters. LEVEL OF EVIDENCE: IV, retrospective study.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Modi, H. N., et al. (2008). "Accuracy and safety of pedicle screw placement in neuromuscular scoliosis with free-hand technique."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w:t>
      </w:r>
      <w:r w:rsidRPr="00637692">
        <w:rPr>
          <w:rFonts w:ascii="Times New Roman" w:hAnsi="Times New Roman" w:cs="Times New Roman"/>
          <w:noProof/>
          <w:sz w:val="24"/>
        </w:rPr>
        <w:t>(12): 1686-1696.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It is a retrospective analytic study of 1,009 transpedicular screws (689 thoracic and 320 lumbosacral), inserted with free-hand technique in neuromuscular scoliosis using postoperative CT scan. The aim of paper was to determine the accuracy and safety of transpedicular screw placement with free-hand technique in neuromuscular scoliosis and to compare the accuracy at different levels in such population. All studies regarding accuracy and safety of pedicle screw in scoliosis represent idiopathic scoliosis using various techniques such as free-hand, navigation, image intensifier, etc., for screw insertion. Anatomies of vertebrae and pedicle are distorted in scoliosis, hence accurate and safe placement of pedicle screw is prerequisite for surgery. Between 2004 and 2006, 37 consecutive patients, average age 20 years (9-44 years), of neuromuscular scoliosis were operated with posterior pedicle screw fixation using free-hand technique. Accuracy of pedicle screws was studied on postoperative CT scan. Placement up to 2 mm medial side and 4 mm lateral side was considered within-safe zone. Of the 1,009 screws, 273 screws were displaced medially, laterally or on the anterior side showing that 73% screws (68% in thoracic and 82.5% in lumbar spine) were accurately placed within pedicle. Considering the safe zone, 93.3% (942/1009, 92.4% in thoracic and 95.3% in lumbar spine) of the screws were within the safe zone. Comparing accuracy according to severity of curve, </w:t>
      </w:r>
      <w:r w:rsidRPr="00637692">
        <w:rPr>
          <w:rFonts w:ascii="Times New Roman" w:hAnsi="Times New Roman" w:cs="Times New Roman"/>
          <w:noProof/>
          <w:sz w:val="24"/>
        </w:rPr>
        <w:lastRenderedPageBreak/>
        <w:t>accuracy was 75% in group 1 (curve &lt;90 degrees ) and 69% in group 2 (curve &gt;90 degrees) with a safety of 94.8 and 91.2%, respectively (P = 0.35). Comparing the accuracy at different thoracic levels, it showed 67, 64 and 72% accuracy in upper, middle and lower thoracic levels with safety of 96.6, 89.2 and 93.1%, respectively, exhibiting no statistical significant difference (P = 0.17). Pedicle screw placement in neuromuscular scoliosis with free-hand technique is accurate and safe as other conditions.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Morimoto, T., et al. (2024). "Thick Skin on the Dorsal Spine in Osteoproliferative Disease: Ossification of the Posterior Longitudinal Ligament and Diffuse Idiopathic Skeletal Hyperostosis." </w:t>
      </w:r>
      <w:r w:rsidRPr="00637692">
        <w:rPr>
          <w:rFonts w:ascii="Times New Roman" w:hAnsi="Times New Roman" w:cs="Times New Roman"/>
          <w:noProof/>
          <w:sz w:val="24"/>
          <w:u w:val="single"/>
        </w:rPr>
        <w:t>Cureus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16</w:t>
      </w:r>
      <w:r w:rsidRPr="00637692">
        <w:rPr>
          <w:rFonts w:ascii="Times New Roman" w:hAnsi="Times New Roman" w:cs="Times New Roman"/>
          <w:noProof/>
          <w:sz w:val="24"/>
        </w:rPr>
        <w:t>(6): e62235.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Although the correlation between reduced skin thickness and reduced bone density has been investigated, no study has evaluated skin thickness and osteoproliferative diseases, including ossification of the posterior longitudinal ligament (OPLL) and diffuse idiopathic skeletal hyperostosis (DISH). Methodology This retrospective cohort study consisted of 99 consecutive patients aged &gt;/=60 years treated for spinal surgery at our hospital between January 2022 and March 2023. Skin thickness was measured at the dorsal side of the cervical, thoracic, and lumbar vertebrae on the sagittal cross-section image of whole-spine CT. Based on the median value, skin thickness was categorized into two groups based on a median thickness of 4 mm. Bone mineral density (BMD) was assessed. The sum of the vertebral body and </w:t>
      </w:r>
      <w:r w:rsidRPr="00637692">
        <w:rPr>
          <w:rFonts w:ascii="Times New Roman" w:hAnsi="Times New Roman" w:cs="Times New Roman"/>
          <w:noProof/>
          <w:sz w:val="24"/>
        </w:rPr>
        <w:lastRenderedPageBreak/>
        <w:t>intervertebral bridging osteophytes of the anterior longitudinal and posterior longitudinal ligament were defined as the OALL index and OPLL index. Serum levels of bone metabolism-related markers, such as tartrate-resistant acid phosphatase type 5b, procollagen I N-propeptide, 25-hydroxyvitamin D, and periostin, were measured. To assess the association between skin thickness and imaging findings, we calculated the adjusted odds ratios, adjusting for age, sex, and body mass index (BMI) and using univariate and multivariate logistic regression analyses. Results No significant differences were found in skin thickness in the three dorsal regions of the cervical, thoracic, and lumbar spine (median = 3.3 mm versus 3.5 mm versus 3.4 mm, p = 0.357) and bone metabolism-related markers. Adjusting for age, sex, and BMI, cervical, thoracic, and lumbar skin thicknesses were related to DISH, the OPLL index, and the OPLL and OPLL index, respectively. Conclusions Skin thickness did not correlate with BMD but with the amount of spinal ossification. A correlation was found between skin thickness and vertebral and intervertebral ossification; vertebral osteophytes, OPLL, and DISH may be more common in thicker skin.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Muschik, M. T., et al. (2006). "Comparison of anterior and posterior double-rod instrumentation for thoracic idiopathic scoliosis: results of 141 patients."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15</w:t>
      </w:r>
      <w:r w:rsidRPr="00637692">
        <w:rPr>
          <w:rFonts w:ascii="Times New Roman" w:hAnsi="Times New Roman" w:cs="Times New Roman"/>
          <w:noProof/>
          <w:sz w:val="24"/>
        </w:rPr>
        <w:t>(7): 1128-1138.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Ventral derotation spondylodesis, according to Zielke, achieves good results in operative treatment of idiopathic thoracic scolioses. Corrections of scoliotic </w:t>
      </w:r>
      <w:r w:rsidRPr="00637692">
        <w:rPr>
          <w:rFonts w:ascii="Times New Roman" w:hAnsi="Times New Roman" w:cs="Times New Roman"/>
          <w:noProof/>
          <w:sz w:val="24"/>
        </w:rPr>
        <w:lastRenderedPageBreak/>
        <w:t xml:space="preserve">major and secondary curve as well as derotation of the spine are reliably performed. The high rate of rod fractures with subsequent correction loss as well as a proportionate kyphogenic effect represents a problem. By keeping to the correcting principle, anterior double-rod instrumentation (Halm-Zielke Instrumentation) is to be stable in a similar way as posterior double-rod systems. Thus, it is done to facilitate brace-free postoperative care and to prevent excessive kyphotic pattern of the spine. In this prospective study, we retrospectively collected data. We performed radiological follow-up of two groups of patients with idiopathic thoracic scoliosis (King II, III and IV) undergoing an operation with posterior approach (USS instrumentation, posterior group, n=104) in 1997 and 1998 or being corrected with an anterior fusion (Halm-Zielke instrumentation, anterior group, n=37) between 2000 and 2001. Mean age of all patients for operation was 15+/-4 years. Follow-up was performed after 4+/-2 years on average. Preoperative measurements of the major and secondary curve, the lateral profile, rotation and frontal balance (C7 to S1) did not show any significant differences apart from a more severe scoliotic curve in the lumbar spine for the anterior group with appropriately higher lumbar rotation. During follow-up we noticed similar corrections of the thoracic major and lumbar curve in both groups ranging from 49 to 56%. In case of hypokyphotic (T4-T12&lt;or=20 degrees ) scoliosis a kyphogenic effect on the thoracic spine was achieved with both surgical methods. Hyperkyphotic (T4-T12&gt;or=40 degrees ) scolioses were flattened by posterior spinal fusion; the </w:t>
      </w:r>
      <w:r w:rsidRPr="00637692">
        <w:rPr>
          <w:rFonts w:ascii="Times New Roman" w:hAnsi="Times New Roman" w:cs="Times New Roman"/>
          <w:noProof/>
          <w:sz w:val="24"/>
        </w:rPr>
        <w:lastRenderedPageBreak/>
        <w:t>effect of anterior spinal fusion was not significant. Correction of thoracic and lumbar rotation in the anterior group by 37 or 30% was more significant than in the posterior group by 27 or 20%. There was no impact of anterior technique on the balance of the spine whereas the latter shifted by an average of 7 mm to the left in the posterior group. The number of fused segments was significantly smaller in the anterior group with 7+/-1 vertebral bodies (posterior, 11+/-1 vertebral bodies). Rates of complication were identical with 11 or 12% in both groups during follow-up. Anterior and posterior double-rod instrumentations result in comparable corrections for idiopathic thoracic scoliosis of the major and secondary curve. In case of posterior technique, however, four vertebral bodies less were integrated in spondylodesis on average. Balance of the spine did not change after anterior spondylodesis; however, it declined by using the posterior technique. Augmentation of the anterior threaded rod combined with a solid second rod significantly decreases the rate of implant breakages and reliably reduces consecutive correction losses.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Okubo, T., et al. (2023). "Incidence and predictive factors of shoulder imbalance after selective anterior spinal fusion surgery in Lenke type 5C adolescent idiopathic scoliosis." </w:t>
      </w:r>
      <w:r w:rsidRPr="00637692">
        <w:rPr>
          <w:rFonts w:ascii="Times New Roman" w:hAnsi="Times New Roman" w:cs="Times New Roman"/>
          <w:noProof/>
          <w:sz w:val="24"/>
          <w:u w:val="single"/>
        </w:rPr>
        <w:t>N Am Spine Soc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14</w:t>
      </w:r>
      <w:r w:rsidRPr="00637692">
        <w:rPr>
          <w:rFonts w:ascii="Times New Roman" w:hAnsi="Times New Roman" w:cs="Times New Roman"/>
          <w:noProof/>
          <w:sz w:val="24"/>
        </w:rPr>
        <w:t>: 100203.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No study has assessed the incidence or predictors of postoperative shoulder imbalance (PSI) in patients with Lenke type 5C adolescent idiopathic scoliosis (AIS) who underwent selective anterior spinal </w:t>
      </w:r>
      <w:r w:rsidRPr="00637692">
        <w:rPr>
          <w:rFonts w:ascii="Times New Roman" w:hAnsi="Times New Roman" w:cs="Times New Roman"/>
          <w:noProof/>
          <w:sz w:val="24"/>
        </w:rPr>
        <w:lastRenderedPageBreak/>
        <w:t xml:space="preserve">fusion (ASF). This study evaluated the incidence and predictors of shoulder imbalance after selective ASF for Lenke type 5C AIS. METHODS: In total, 62 patients with Lenke type 5C AIS (4 men and 58 women, mean age at surgery of 15.5 +/- 1.5 years) were included and divided into the following two groups according to the radiographic shoulder height (RSH) at the final follow-up: PSI and non-PSI groups. All patients in this study underwent a whole-spine radiological evaluation. Various spinal coronal and sagittal profiles on radiographs were compared between the 2 groups. The clinical outcomes were assessed using the Scoliosis Research Society (SRS)-22 questionnaires. RESULTS: The mean final follow-up duration was 8.6 +/- 2.7 years. PSI was observed in 10 patients (16.1%) immediately after surgery; however, in the long-term follow-up period, PSI improved in 3 patients spontaneously, whereas the remaining 7 patients had residual PSI. The preoperative RSH and correction rates of the major curve immediately after surgery or at the final follow-up were significantly larger in the PSI group than in the non-PSI group (p=.001, p=.023, and p=.019, respectively). Receiver operating characteristic curve analysis indicated that the cutoff values for preoperative RSH and the correction rates immediately after surgery and at the final follow-up were 11.79 mm (p=.002; area under the curve [AUC], 0.948), 71.0% (p=.026; AUC, 0.822), and 65.4% (p=.021; AUC, 0.835), respectively. No statistically significant difference was observed in the preoperative and final follow-up SRS-22 scores in any domain between the PSI and non-PSI groups. CONCLUSIONS: Paying attention to the </w:t>
      </w:r>
      <w:r w:rsidRPr="00637692">
        <w:rPr>
          <w:rFonts w:ascii="Times New Roman" w:hAnsi="Times New Roman" w:cs="Times New Roman"/>
          <w:noProof/>
          <w:sz w:val="24"/>
        </w:rPr>
        <w:lastRenderedPageBreak/>
        <w:t>preoperative RSH and avoiding excessive correction of the major curve can prevent the occurrence of shoulder imbalance after selective ASF for Lenke type 5C AIS.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Oswald, K. A. C., et al. (2023). "Anterior thoracolumbar column reconstruction with the vertebral body stent-safety and efficacy."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32</w:t>
      </w:r>
      <w:r w:rsidRPr="00637692">
        <w:rPr>
          <w:rFonts w:ascii="Times New Roman" w:hAnsi="Times New Roman" w:cs="Times New Roman"/>
          <w:noProof/>
          <w:sz w:val="24"/>
        </w:rPr>
        <w:t>(3): 934-949.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The aim of this study was to assess safety and efficacy of vertebral body stenting (VBS) by analyzing (1) radiographic outcome, (2) clinical outcome, and (3) perioperative complications in patients with vertebral compression fractures treated with VBS at minimum 6-month follow-up. METHODS: In this retrospective cohort study, 78 patients (61 +/- 14 [21-90] years; 67% female) who have received a vertebral body stent due to a traumatic, osteoporotic or metastatic thoracolumbar compression fracture at our hospital between 2012 and 2020 were included. Median follow-up was 0.9 years with a minimum follow-up of 6 months. Radiographic and clinical outcome was analyzed directly, 6 weeks, 12 weeks, 6 months postoperatively, and at last follow-up. RESULTS: Anterior vertebral body height of all patients improved significantly by mean 6.2 +/- 4.8 mm directly postoperatively (p &lt; 0.0001) and remained at 4.3 +/- 5.1 mm at last follow-up compared to preoperatively (p &lt; 0.0001). The fracture kyphosis angle of all patients improved significantly by mean 5.8 +/- 6.9 degrees directly postoperatively (p &lt; 0.0001) and remained at mean 4.9 +/- 6.9 degrees at last follow-up compared to preoperatively (p &lt; </w:t>
      </w:r>
      <w:r w:rsidRPr="00637692">
        <w:rPr>
          <w:rFonts w:ascii="Times New Roman" w:hAnsi="Times New Roman" w:cs="Times New Roman"/>
          <w:noProof/>
          <w:sz w:val="24"/>
        </w:rPr>
        <w:lastRenderedPageBreak/>
        <w:t>0.0001). The segmental kyphosis angle of all patients improved significantly by mean 7.1 +/- 7.6 degrees directly postoperatively (p &lt; 0.0001) and remained at mean 2.8 +/- 7.8 degrees at last follow-up compared to preoperatively (p = 0.03). Back pain was ameliorated from a preoperative median Numeric Rating Scale value of 6.5 to 3.0 directly postoperatively and further bettered to 1.0 six months postoperatively (p = 0.0001). Revision surgery was required in one patient after 0.4 years. CONCLUSION: Vertebral body stenting is a safe and effective treatment option for osteoporotic, traumatic and metastatic compression fractures.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Oyekan, A., et al. (2023). "Multilevel tandem spondylolisthesis associated with a reduced "safe zone" for a transpsoas lateral lumbar interbody fusion at L4-5." </w:t>
      </w:r>
      <w:r w:rsidRPr="00637692">
        <w:rPr>
          <w:rFonts w:ascii="Times New Roman" w:hAnsi="Times New Roman" w:cs="Times New Roman"/>
          <w:noProof/>
          <w:sz w:val="24"/>
          <w:u w:val="single"/>
        </w:rPr>
        <w:t>Neurosurg Focus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54</w:t>
      </w:r>
      <w:r w:rsidRPr="00637692">
        <w:rPr>
          <w:rFonts w:ascii="Times New Roman" w:hAnsi="Times New Roman" w:cs="Times New Roman"/>
          <w:noProof/>
          <w:sz w:val="24"/>
        </w:rPr>
        <w:t>(1): E5.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The aim of this study was to investigate the effect of degenerative spondylolisthesis (DS) on psoas anatomy and the L4-5 safe zone during lateral lumbar interbody fusion (LLIF). METHODS: In this retrospective, single-institution analysis, patients managed for low-back pain between 2016 and 2021 were identified. Inclusion criteria were adequate lumbar MR images and radiographs. Exclusion criteria were spine trauma, infection, metastases, transitional anatomy, or prior surgery. There were three age and sex propensity-matched cohorts: 1) controls without DS; 2) patients with single-level DS (SLDS); and 3) patients with multilevel, tandem DS (TDS). Axial T2-weighted </w:t>
      </w:r>
      <w:r w:rsidRPr="00637692">
        <w:rPr>
          <w:rFonts w:ascii="Times New Roman" w:hAnsi="Times New Roman" w:cs="Times New Roman"/>
          <w:noProof/>
          <w:sz w:val="24"/>
        </w:rPr>
        <w:lastRenderedPageBreak/>
        <w:t xml:space="preserve">MRI was used to measure the apical (ventral) and central positions of the psoas relative to the posterior tangent line at the L4-5 disc. Lumbar lordosis (LL), pelvic incidence (PI), pelvic tilt (PT), sacral slope (SS), and PI-LL mismatch were measured on lumbar radiographs. The primary outcomes were apical and central psoas positions at L4-5, which were calculated using stepwise multivariate linear regression including demographics, spinopelvic parameters, and degree of DS. Secondary outcomes were associations between single- and multilevel DS and spinopelvic parameters, which were calculated using one-way ANOVA with Bonferroni correction for between-group comparisons. RESULTS: A total of 230 patients (92 without DS, 92 with SLDS, and 46 with TDS) were included. The mean age was 68.0 +/- 8.9 years, and 185 patients (80.4%) were female. The mean BMI was 31.0 +/- 7.1, and the mean age-adjusted Charlson Comorbidity Index (aCCI) was 4.2 +/- 1.8. Age, BMI, sex, and aCCI were similar between the groups. Each increased grade of DS (no DS to SLDS to TDS) was associated with significantly increased PI (p &lt; 0.05 for all relationships). PT, PI-LL mismatch, center psoas, and apical position were all significantly greater in the TDS group than in the no-DS and SLDS groups (p &lt; 0.05). DS severity was independently associated with 2.4-mm (95% CI 1.1-3.8 mm) center and 2.6-mm (95% CI 1.2-3.9 mm) apical psoas anterior displacement per increased grade (increasing from no DS to SLDS to TDS). CONCLUSIONS: TDS represents more severe sagittal malalignment (PI-LL mismatch), pelvic compensation (PT), and changes in the psoas major muscle </w:t>
      </w:r>
      <w:r w:rsidRPr="00637692">
        <w:rPr>
          <w:rFonts w:ascii="Times New Roman" w:hAnsi="Times New Roman" w:cs="Times New Roman"/>
          <w:noProof/>
          <w:sz w:val="24"/>
        </w:rPr>
        <w:lastRenderedPageBreak/>
        <w:t>compared with no DS, and SLDS and is a risk factor for lumbar plexus injury during L4-5 LLIF due to a smaller safe zone.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Panjabi, M. M., et al. (2000). "The effects of pedicle screw adjustments on neural spaces in burst fracture surgery." </w:t>
      </w:r>
      <w:r w:rsidRPr="00637692">
        <w:rPr>
          <w:rFonts w:ascii="Times New Roman" w:hAnsi="Times New Roman" w:cs="Times New Roman"/>
          <w:noProof/>
          <w:sz w:val="24"/>
          <w:u w:val="single"/>
        </w:rPr>
        <w:t>Spine (Phila Pa 1976)</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25</w:t>
      </w:r>
      <w:r w:rsidRPr="00637692">
        <w:rPr>
          <w:rFonts w:ascii="Times New Roman" w:hAnsi="Times New Roman" w:cs="Times New Roman"/>
          <w:noProof/>
          <w:sz w:val="24"/>
        </w:rPr>
        <w:t>(13): 1637-1643.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An in vitro biomechanical study of experimental burst fractures and a pedicle screw device. OBJECTIVES: To investigate the effects that adjustments of a pedicle screw device have on the neural spaces of the burst fracture. SUMMARY OF BACKGROUND DATA: Decompression of the neural spaces is important for the recovery of neural function after a burst fracture. No studies, experimental or clinical, are available that have attempted to relate the pedicle screw device adjustments to the decompression of the neural spaces. METHODS: Burst fractures were produced at L1 vertebra in nine human lumbar spine specimens. Pedicle screw devices were attached to T12 and L2. Eight device adjustments, consisting of pure translations (distraction or compression), pure extension, and combinations of translation and extension were applied. The dimensional changes in the canal and the superior and inferior intervertebral foramens were measured. Functions of restoration and improvement were determined for the adjustments to evaluate the effects of each adjustment and to determine the optimal adjustment. Analysis of variance was used to find statistically significant differences, with significance set at P values less than 0.05. RESULTS: Significant differences were observed in the </w:t>
      </w:r>
      <w:r w:rsidRPr="00637692">
        <w:rPr>
          <w:rFonts w:ascii="Times New Roman" w:hAnsi="Times New Roman" w:cs="Times New Roman"/>
          <w:noProof/>
          <w:sz w:val="24"/>
        </w:rPr>
        <w:lastRenderedPageBreak/>
        <w:t>results of the eight adjustments. The most effective adjustments were the combination of 5-mm distraction with 6 degrees extension or 10-mm distraction alone. The worst adjustment was 5 mm of compression. CONCLUSIONS: Restoring compromised neural spaces in a patient with burst fracture is necessary. The choice of a device adjustment was found to be an important factor in the decompression of the neural spaces after the burst fracture. Combined distraction with extension and distraction alone were found to decompress the canal andintervertebral foramens maximally in a burst fracture.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Park, J., et al. (2023). "Factors affecting successful immediate indirect decompression in oblique lateral interbody fusion in lumbar spinal stenosis patients." </w:t>
      </w:r>
      <w:r w:rsidRPr="00637692">
        <w:rPr>
          <w:rFonts w:ascii="Times New Roman" w:hAnsi="Times New Roman" w:cs="Times New Roman"/>
          <w:noProof/>
          <w:sz w:val="24"/>
          <w:u w:val="single"/>
        </w:rPr>
        <w:t>N Am Spine Soc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16</w:t>
      </w:r>
      <w:r w:rsidRPr="00637692">
        <w:rPr>
          <w:rFonts w:ascii="Times New Roman" w:hAnsi="Times New Roman" w:cs="Times New Roman"/>
          <w:noProof/>
          <w:sz w:val="24"/>
        </w:rPr>
        <w:t>: 100279.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Oblique lumbar interbody fusion (OLIF) offers indirect decompression of stenotic lesions of the spinal canal and foramen through immediate disc height restoration. Only a few studies have reported the effect of cage position and associated intraoperatively modifiable factors for successful immediate indirect decompression following OLIF surgery. This study aimed to investigate the intraoperatively modifiable factors for successful radiological outcomes of OLIF. METHODS: This study included 46 patients with 80 surgical levels who underwent OLIF without direct posterior decompression. Preoperative and postoperative radiological parameters were evaluated and intraoperatively modifiable radiologic parameters for successful </w:t>
      </w:r>
      <w:r w:rsidRPr="00637692">
        <w:rPr>
          <w:rFonts w:ascii="Times New Roman" w:hAnsi="Times New Roman" w:cs="Times New Roman"/>
          <w:noProof/>
          <w:sz w:val="24"/>
        </w:rPr>
        <w:lastRenderedPageBreak/>
        <w:t>immediate radiologic decompression on magnetic resonance image (MRI) were determined. Radiologic parameters were preoperative and postoperative radiological parameters including anterior disc height (ADH), posterior disc height (PDH) lumbar lordotic angle (LLA), segmental lordotic angle (SLA), foraminal height (FH), cage position, cross-sectional area (CSA) of the thecal sac, cross-sectional foraminal area (CSF), facet distance (FD). RESULTS: All radiologic outcomes significantly improved. Comparing preoperative and postoperative values, mean CSA increased from 99.63+/-40.21 mm(2) to 125.02+/-45.90 mm(2) (p&lt;.0001), and mean left CSF increased from 44.54+/-12.90 mm(2) to 69.91+/-10.80 mm(2) (p&lt;.0001). FD also increased from 1.40+/-0.44 to 1.92+/-0.71 mm (p&lt;.0001). FH increased from 16.31+/-3.3 to 18.84+/-3.47 mm (p&lt;.0001). ADH and PDH also significantly increased (p&lt;.0001). Immediate postoperative CSF and FH improvement rate (%) were significantly correlated with posterior disc height restoration rate (%) (p=.0443, and p=.0234, respectively). In addition, the patients with a cage positioned in the middle of the vertebral body experienced a greater FH improvement rate (%) compared to the patients with a cage positioned anteriorly. Finally, Visual analogue scale (VAS) for leg pain was improved immediately. CONCLUSIONS: OLIF provided satisfactory immediate indirect decompression in central and foraminal spinal stenosis. Moreover, intraoperative surgical technique for successful radiologic CSF and FH improvement included restoration of the PDH and placement of the cage in the middle.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Park, J. H., et al. (2014). "The safety and accuracy of freehand pedicle screw placement in the subaxial cervical spine: a series of 45 consecutive patients." </w:t>
      </w:r>
      <w:r w:rsidRPr="00637692">
        <w:rPr>
          <w:rFonts w:ascii="Times New Roman" w:hAnsi="Times New Roman" w:cs="Times New Roman"/>
          <w:noProof/>
          <w:sz w:val="24"/>
          <w:u w:val="single"/>
        </w:rPr>
        <w:t>Spine (Phila Pa 1976)</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39</w:t>
      </w:r>
      <w:r w:rsidRPr="00637692">
        <w:rPr>
          <w:rFonts w:ascii="Times New Roman" w:hAnsi="Times New Roman" w:cs="Times New Roman"/>
          <w:noProof/>
          <w:sz w:val="24"/>
        </w:rPr>
        <w:t>(4): 280-285.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Retrospective cohort study. OBJECTIVE: To assess the safety and accuracy of subaxial cervical pedicle screw placement with freehand technique and to report the technical nuances. SUMMARY OF BACKGROUND DATA: Although the efficacy and safety of freehand screw fixation in thoracic and lumbar vertebrae is proven, reports on this technique of screw insertion in the subaxial cervical spine are lacking. METHODS: From March 2012 to September 2013, 45 consecutive patients underwent posterior cervical fusion. The diagnoses were trauma (22 patients), degenerative disease (18 patients), discitis/osteomyelitis (2 patients), pathological fracture (2 patients), and postlaminoplasty kyphosis (1 patient). Preoperative computed tomography (CT) was performed in all patients. We included patients whose outer diameter of the pedicle was greater than 3.0 mm. The standard entry points were modified according to the CT anatomy of each patient. A small pilot hole was fashioned at a predetermined entry point. Then, a 2.5-mm diameter curved pedicle probe was slowly inserted with a medial trajectory into the pedicle. After ball-tip probing and tapping, the screw was inserted. If ball-tip probing was suggestive of risk to neurovascular structures, conversion to a lateral mass screw was performed. Postoperatively, a CT scan was performed in all patients </w:t>
      </w:r>
      <w:r w:rsidRPr="00637692">
        <w:rPr>
          <w:rFonts w:ascii="Times New Roman" w:hAnsi="Times New Roman" w:cs="Times New Roman"/>
          <w:noProof/>
          <w:sz w:val="24"/>
        </w:rPr>
        <w:lastRenderedPageBreak/>
        <w:t>and the conversion rate from pedicle to lateral mass screw was recorded. The breech rate of pedicle screws was also analyzed. RESULTS: There were 256 planned pedicle screws and 20 incidences (7.8%) of conversion to lateral mass screws. Lateral wall violation was observed in 14 pedicle screws (accuracy rate: 94.1%) on the postoperative CT scan. No medial, superior, and inferior pedicle wall violations were observed. There was no patient who developed symptoms related to vertebral artery stenosis. CONCLUSION: Adherence to the surgical tips presented in this article may lead to safe and effective freehand placement of cervical pedicle screws. LEVEL OF EVIDENCE: 3.</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Peiro-Garcia, A., et al. (2019). "Sagittal Balance in Adolescent Idiopathic Scoliosis Managed With Intraoperative Skull Femoral Traction." </w:t>
      </w:r>
      <w:r w:rsidRPr="00637692">
        <w:rPr>
          <w:rFonts w:ascii="Times New Roman" w:hAnsi="Times New Roman" w:cs="Times New Roman"/>
          <w:noProof/>
          <w:sz w:val="24"/>
          <w:u w:val="single"/>
        </w:rPr>
        <w:t>Clin Spine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32</w:t>
      </w:r>
      <w:r w:rsidRPr="00637692">
        <w:rPr>
          <w:rFonts w:ascii="Times New Roman" w:hAnsi="Times New Roman" w:cs="Times New Roman"/>
          <w:noProof/>
          <w:sz w:val="24"/>
        </w:rPr>
        <w:t>(10): E474-E478.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This is a retrospective cohort, single-center quality improvement study. OBJECTIVES: To evaluate the effect of the intraoperative skull femoral traction (IOSFT) on sagittal balance in posterior spinal instrumentation (PSI) to manage scoliosis. SUMMARY OF BACKGROUND DATA: IOSFT has been used routinely as an adjunct technique for facilitating PSI to manage scoliosis in our institution since 2010. Previous studies have raised concerns regarding the negative effect of IOSFT on lumbar lordosis. MATERIALS AND METHODS: The medical records and radiographs of 113 patients with adolescent idiopathic scoliosis managed with single stage PSI </w:t>
      </w:r>
      <w:r w:rsidRPr="00637692">
        <w:rPr>
          <w:rFonts w:ascii="Times New Roman" w:hAnsi="Times New Roman" w:cs="Times New Roman"/>
          <w:noProof/>
          <w:sz w:val="24"/>
        </w:rPr>
        <w:lastRenderedPageBreak/>
        <w:t>were reviewed. Eighty-five patients were operated with IOSFT (traction group) and 28 patients were operated without traction (nontraction group). Patients who had double (anterior-posterior) approaches or nonidiopathic scoliosis were excluded. Sagittal balance and pelvic parameters at 2 years of postoperative follow-up were the primary outcome measures. Statistical analysis was done with R for statistical computing. Median values and interquartile range were compared between groups using Wilcoxon rank sum, Fischer exact, and Welch t tests. P-values of &lt;0.05 were considered statistically significant. RESULTS: No significant differences were found comparing postoperative lumbar lordosis in the nontraction group (54 degrees) with the traction group (53 degrees) (P=0.4953). No significant differences were found in postoperative sagittal vertical axis medians comparing both groups, with 17 mm in the nontraction group and 18 mm in the traction group (P=0.3994). No significant differences were found in postoperative pelvic parameters. The median pelvic incidence was 52 degrees in the nontraction group and 50 degrees in the traction group (P=0.2711). CONCLUSIONS: According to our results, the use of IOSFT as an adjunct to facilitate PSI for managing adolescent idiopathic scoliosis had no measurable negative impact on sagittal balance in our IOSFT cohort.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Petit, Y., et al. (2004). "Spinal shape changes resulting from scoliotic spine surgical instrumentation expressed as intervertebral rotations and centers of rotation." </w:t>
      </w:r>
      <w:r w:rsidRPr="00637692">
        <w:rPr>
          <w:rFonts w:ascii="Times New Roman" w:hAnsi="Times New Roman" w:cs="Times New Roman"/>
          <w:noProof/>
          <w:sz w:val="24"/>
          <w:u w:val="single"/>
        </w:rPr>
        <w:t>J Biomech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37</w:t>
      </w:r>
      <w:r w:rsidRPr="00637692">
        <w:rPr>
          <w:rFonts w:ascii="Times New Roman" w:hAnsi="Times New Roman" w:cs="Times New Roman"/>
          <w:noProof/>
          <w:sz w:val="24"/>
        </w:rPr>
        <w:t>(2): 173-180.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lastRenderedPageBreak/>
        <w:tab/>
        <w:t xml:space="preserve">This paper reports the changes in spinal shape resulting from scoliotic spine surgical instrumentation expressed as intervertebral rotations and centers of rotation. The objective is to test the hypothesis that the type of spinal instrumentation system (Cotrel-Dubousset versus Colorado) does not influence these motion parameters. Intervertebral rotations and centers of rotation of the scoliotic spines were computed from the pre- and post-operative radiographs of 82 patients undergoing spinal correction. The three-dimensional (3D) reconstruction of six anatomical landmarks was achieved for each of the thoracic and lumbar vertebrae. A least-squares approach based on singular value decomposition was used to calculate the rigid body transformation parameters. Average centers of rotation for all intervertebral levels are located in the neural canal at the mid-sagittal plane and approximately at the superior endplate level of the inferior vertebra. Intervertebral rotations have components in all planes: 6.7 degrees (frontal), 5.5 degrees (sagittal) and 4.5 degrees (transverse) RMS for all intervertebral levels. Nearly all intervertebral rotations and centers of rotation are not significantly different for the two instrumentation systems. Various intervertebral rotations and 3D reconstruction errors were simulated on a theoretical model of a lumbar functional unit to assess the proposed method. Intervertebral rotation errors were 1.7 degrees when simulating 3D errors of 3mm on the position of the landmarks. Maximum errors for the position of centers of rotation were below 1cm in the case of intervertebral rotations larger than 2.5 degrees (most cases), but were larger (38 mm) for small intervertebral </w:t>
      </w:r>
      <w:r w:rsidRPr="00637692">
        <w:rPr>
          <w:rFonts w:ascii="Times New Roman" w:hAnsi="Times New Roman" w:cs="Times New Roman"/>
          <w:noProof/>
          <w:sz w:val="24"/>
        </w:rPr>
        <w:lastRenderedPageBreak/>
        <w:t>rotations (&lt;1 degrees ). The type of instrumentation system did not influence intervertebral rotations and centers of rotation. These results provide valuable data for the development and validation of simulation models for surgical instrumentation of idiopathic scoliosis.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Pfandlsteiner, T., et al. (2010). "[Growth modulation in operative treatment of juvenile scoliosis by USS paediatric]." </w:t>
      </w:r>
      <w:r w:rsidRPr="00637692">
        <w:rPr>
          <w:rFonts w:ascii="Times New Roman" w:hAnsi="Times New Roman" w:cs="Times New Roman"/>
          <w:noProof/>
          <w:sz w:val="24"/>
          <w:u w:val="single"/>
        </w:rPr>
        <w:t>Oper Orthop Traumatol</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22</w:t>
      </w:r>
      <w:r w:rsidRPr="00637692">
        <w:rPr>
          <w:rFonts w:ascii="Times New Roman" w:hAnsi="Times New Roman" w:cs="Times New Roman"/>
          <w:noProof/>
          <w:sz w:val="24"/>
        </w:rPr>
        <w:t>(2): 149-163.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Growth modulation in operative treatment of juvenile scoliosis can be done by USS paediatric instrumentation to control spinal growth in patients of small stature with juvenile scoliosis. The double-rod system has to be distracted every 4-6 months. The system is used in young patients too tall for VEPTR (vertical expandable prosthetic titanium rib) instrumentation. The system with a very low profile allows reduced soft-tissue pressure saving soft tissue from atrophy or the development of pseudocysts above the screws. With this procedure controlled growth with growth modulation of the spine is possible and final spondylodesis can be done later. INDICATIONS: Congenital, idiopathic and neuromuscular scolioses. Children, who are too tall and big for a VEPTR instrumentation. Cobb angle &gt; 40 degrees or progression &gt; 10 degrees during brace therapy. CONTRAINDICATIONS: Adults. Dysplastic pedicles with vertebral anomalies. Arthrogryposis. SURGICAL TECHNIQUE: The patient should be positioned prone, lying flat on the table. Median skin incision with subperiosteal preparation of the paraspinal muscles is done to expose the </w:t>
      </w:r>
      <w:r w:rsidRPr="00637692">
        <w:rPr>
          <w:rFonts w:ascii="Times New Roman" w:hAnsi="Times New Roman" w:cs="Times New Roman"/>
          <w:noProof/>
          <w:sz w:val="24"/>
        </w:rPr>
        <w:lastRenderedPageBreak/>
        <w:t xml:space="preserve">vertebrae. Next, the pedicle is prepared with a tap, and the USS paediatric pedicle screw system with its very low profile is inserted under fluoroscopic control in anterior-posterior and lateral view. In the upper thoracic spine the authors use screws 4.2 mm in diameter, in the lower thoracic spine 5-mm screws, and in the lumbar spine 6-mm screws. Measurement of the rod length and insertion of the rod are performed. When spinal growth for &gt; 4 years is expected, distraction of the double-rod system by the use of two dominos is done on the concave and convex side of the curve to modulate spinal growth. When spinal growth for 2-4 years is expected, distraction is done just at the concave side of the curve. For correction of the curve, either segmental correction or classic derotation by the Cotrel-Dubousset technique can be performed. POSTOPERATIVE MANAGEMENT: Postoperative on block rotation. Mobilization of the patient on day 2 after surgery with a rigid brace. Individual rigid custom-made plaster brace for 3-8 months. During postoperative recovery, muscular efforts should be reduced for 6 months after first implantation. Distraction of the system is necessary every 4-6 months to modulate spinal growth. RESULTS: From 2004 to 2008, 26 patients (15 girls, eleven boys) with a mean age of 9 years (6-13 years) were treated using this technique. Follow-up examinations were performed 3, 6, 12, and 24 months after surgery. The mean follow-up was 26 months (6-40 months). At first implantation of the scoliosis instrumentation, just little scoliosis correction was done depending on the quality of bone. At every distraction, an average correction of the Cobb angle </w:t>
      </w:r>
      <w:r w:rsidRPr="00637692">
        <w:rPr>
          <w:rFonts w:ascii="Times New Roman" w:hAnsi="Times New Roman" w:cs="Times New Roman"/>
          <w:noProof/>
          <w:sz w:val="24"/>
        </w:rPr>
        <w:lastRenderedPageBreak/>
        <w:t>of 5 degrees was reached. The Cobb angle could be reduced from 71 degrees to 34 degrees on average. Fusion rate in the cranial and caudal part was evaluated by X-ray. 5-mm rods have a reduced stiffness of 50% compared to USS 6-mm rods. Average spinal growth was about 5.6 cm (4.0-8.1 cm) over a period of 3.2 +/- 1.2 years. During 2-year follow-up, rod or pedicle screw breakage, dislocation, or loosening of the Cobb angle did not occur.</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Poiana, I. R., et al. (2024). "The Utility of Radiomorphometric Mandibular Indices on Cone Beam Computer Tomography in the Assessment of Bone Mass in Postmenopausal Women: A Cross-Sectional Study." </w:t>
      </w:r>
      <w:r w:rsidRPr="00637692">
        <w:rPr>
          <w:rFonts w:ascii="Times New Roman" w:hAnsi="Times New Roman" w:cs="Times New Roman"/>
          <w:noProof/>
          <w:sz w:val="24"/>
          <w:u w:val="single"/>
        </w:rPr>
        <w:t>J Pers Med</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14</w:t>
      </w:r>
      <w:r w:rsidRPr="00637692">
        <w:rPr>
          <w:rFonts w:ascii="Times New Roman" w:hAnsi="Times New Roman" w:cs="Times New Roman"/>
          <w:noProof/>
          <w:sz w:val="24"/>
        </w:rPr>
        <w:t>(8).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The present study examined the potential use of computed tomography radiomorphometric mandibular indices on cone beam CT (CBCT) for the assessment of bone density in postmenopausal women with low bone mass. METHODS: We included 104 postmenopausal women who received dual-energy X-ray absorptiometry (DXA) using a DXA scanner and mental foramen (MF) region CBCT using a NewTom VGi EVO Cone Beam 3D system. We assessed the relationships between the following DXA parameters: lumbar, femoral neck, and total hip T-scores, bone mineral density (BMD), lumbar trabecular bone score (TBS), and mandibular inferior cortical bone thickness at 4 sites. The cross-sectional images were obtained, as follows: anterior (A)-10 mm anterior from the MF; molar (M)-10 mm posterior from the MF; posterior (P)-25 mm posterior from the MF; symphysis (S)-equidistant from the centers </w:t>
      </w:r>
      <w:r w:rsidRPr="00637692">
        <w:rPr>
          <w:rFonts w:ascii="Times New Roman" w:hAnsi="Times New Roman" w:cs="Times New Roman"/>
          <w:noProof/>
          <w:sz w:val="24"/>
        </w:rPr>
        <w:lastRenderedPageBreak/>
        <w:t>of the right and left MF. RESULTS: We found that A and M indices showed statistically significant moderate positive correlations with lumbar spine, femoral neck, and total hip BMD, as well as TBS. The P index demonstrated moderate positive correlations with these measurements, while the S index did not show significant correlations with BMD or TBS in postmenopausal women. CONCLUSIONS: These findings support the potential usefulness of CBCT-derived radiomorphometric mandibular indices for non-invasive bone health assessment in clinical practice.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Poiana, I. R., et al. (2024). "The Value of Mandibular Indices on Cone Beam Computed Tomography in Secondary Causes of Low Bone Mass." </w:t>
      </w:r>
      <w:r w:rsidRPr="00637692">
        <w:rPr>
          <w:rFonts w:ascii="Times New Roman" w:hAnsi="Times New Roman" w:cs="Times New Roman"/>
          <w:noProof/>
          <w:sz w:val="24"/>
          <w:u w:val="single"/>
        </w:rPr>
        <w:t>J Clin Med</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13</w:t>
      </w:r>
      <w:r w:rsidRPr="00637692">
        <w:rPr>
          <w:rFonts w:ascii="Times New Roman" w:hAnsi="Times New Roman" w:cs="Times New Roman"/>
          <w:noProof/>
          <w:sz w:val="24"/>
        </w:rPr>
        <w:t>(16).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As implant treatment cases increase, many cases of failure/side effects also occur. Generally, dental clinics determine the density of the jawbone using cone beam CT (CBCT). Considering the known potential role of this tool for bone assessment in primary osteoporosis, this study evaluated patients with secondary endocrine causes of low bone mass. Methods: The study included 83 patients with endocrine causes of osteoporosis who were evaluated by dual-energy X-ray absorptiometry (DXA), trabecular bone score (TBS), and mental foramen (MF) region CBCT. The following CBCT indices were measured: anterior (A)-thickness of inferior mandibular cortex 10 mm anterior from MF; molar (M)-thickness of inferior mandibular cortex 10 mm posterior from MF; posterior (P)-thickness of inferior mandibular cortex 25 mm posterior from MF; </w:t>
      </w:r>
      <w:r w:rsidRPr="00637692">
        <w:rPr>
          <w:rFonts w:ascii="Times New Roman" w:hAnsi="Times New Roman" w:cs="Times New Roman"/>
          <w:noProof/>
          <w:sz w:val="24"/>
        </w:rPr>
        <w:lastRenderedPageBreak/>
        <w:t>symphysis (S)-thickness of inferior mandibular cortex equidistant from the centers of right and left MF. Results: The highest correlation coefficient in the secondary causes group was between the A index and the lumbar BMD (r = 0.375, p = 0.001) and the P index and the femoral neck BMD (r = 0.38, p = 0.001). Hypercortisolism seems to be the most predictable cause of secondary osteoporosis using the A, M, and P indices. The A, M, and P indices showed predictive values of the bone micro-architecture that was evaluated using TBS score, and were statistically significant. The symphysis index does not significantly predict osteoporosis or impaired bone micro-architecture. Conclusions: These findings support the potential usefulness of A, M, and P CBCT-derived radiomorphometric mandibular indices in secondary osteoporosis, underlining the well-known effects of these pathologies on bone micro-architecture rather than bone quantity.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Pratap, K. R., et al. (2024). "A radiological parametric comparison of low-grade lytic spondylolisthesis to degenerative spondylolisthesis - A retrospective approach to establish its dysplastic origin." </w:t>
      </w:r>
      <w:r w:rsidRPr="00637692">
        <w:rPr>
          <w:rFonts w:ascii="Times New Roman" w:hAnsi="Times New Roman" w:cs="Times New Roman"/>
          <w:noProof/>
          <w:sz w:val="24"/>
          <w:u w:val="single"/>
        </w:rPr>
        <w:t>J Craniovertebr Junction Spine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15</w:t>
      </w:r>
      <w:r w:rsidRPr="00637692">
        <w:rPr>
          <w:rFonts w:ascii="Times New Roman" w:hAnsi="Times New Roman" w:cs="Times New Roman"/>
          <w:noProof/>
          <w:sz w:val="24"/>
        </w:rPr>
        <w:t>(1): 30-36.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OBJECTIVES: This study aims to compare low-grade lytic spondylolisthesis (LS) and degenerative spondylolisthesis (DS) radiologically. In addition, it seeks to identify underlying similarities between LS and DS. METHODS: This study included patients with low-grade single-level spondylolisthesis at L4-L5 or L5-S1. They were categorized into LS and DS. Radiological features, </w:t>
      </w:r>
      <w:r w:rsidRPr="00637692">
        <w:rPr>
          <w:rFonts w:ascii="Times New Roman" w:hAnsi="Times New Roman" w:cs="Times New Roman"/>
          <w:noProof/>
          <w:sz w:val="24"/>
        </w:rPr>
        <w:lastRenderedPageBreak/>
        <w:t>including pedicle height, width, transverse, and sagittal angle, as well as anterior vertebral heights (AVH) and posterior vertebral heights (PVH), were measured using T1-weighted magnetic resonance imaging. RESULTS: The study involved 88 patients: 46 in the DS group and 42 in the LS group. In the LS group, the AVH was significantly higher than the posterior height at L4 and L5 (L4 PVH/AVH ratio 0.93 in LS vs. 0.96 in DS; L5 PVH/AVH ratio 0.84 in LS vs. 0.92 in DS), and pedicles were more medially oriented (L4: 19.62 degrees in LS vs. 17.7 degrees in DS; L5: 28.92 degrees in LS vs. 26.47 degrees in DS). In addition, at L5, the pedicle height (10.67 mm in LS vs. 11.48 mm in DS) and width (13.56 mm in LS vs. 14.37 mm in DS) were smaller compared to the DS group. CONCLUSIONS: Low-grade LS shows distinct radiological vertebral and pedicle anatomy compared to DS. Short and thin pedicles and wedge-shaped vertebrae in LS resemble DS, indicating its dysplastic origin.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Qian, B. P., et al. (2013). "Anatomic relationship between superior mesenteric artery and aorta before and after surgical correction of thoracolumbar kyphosis." </w:t>
      </w:r>
      <w:r w:rsidRPr="00637692">
        <w:rPr>
          <w:rFonts w:ascii="Times New Roman" w:hAnsi="Times New Roman" w:cs="Times New Roman"/>
          <w:noProof/>
          <w:sz w:val="24"/>
          <w:u w:val="single"/>
        </w:rPr>
        <w:t>J Spinal Disord Tech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26</w:t>
      </w:r>
      <w:r w:rsidRPr="00637692">
        <w:rPr>
          <w:rFonts w:ascii="Times New Roman" w:hAnsi="Times New Roman" w:cs="Times New Roman"/>
          <w:noProof/>
          <w:sz w:val="24"/>
        </w:rPr>
        <w:t>(7): E293-298.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A computed tomographic study. OBJECTIVE: To investigate the changed anatomic relationship between the superior mesenteric artery and the aorta in surgically treated ankylosing spondylitis (AS) patients with thoracolumbar kyphosis. SUMMARY OF BACKGROUND DATA: Superior mesenteric artery syndrome in kyphosis patients after surgery has been </w:t>
      </w:r>
      <w:r w:rsidRPr="00637692">
        <w:rPr>
          <w:rFonts w:ascii="Times New Roman" w:hAnsi="Times New Roman" w:cs="Times New Roman"/>
          <w:noProof/>
          <w:sz w:val="24"/>
        </w:rPr>
        <w:lastRenderedPageBreak/>
        <w:t xml:space="preserve">reported. To date, the changed aortomesenteric angle and distance in AS patients undergoing surgical correction of kyphosis have not yet been addressed. METHODS: Thirty-three AS patients with thoracolumbar kyphosis subjected to pedicle subtraction osteotomy were prospectively recruited. Radiographic measurements included global kyphosis (GK), thoracic kyphosis (TK), local kyphosis (LK), and lumbar lordosis. The aortomesenteric angle and distance were measured on both preoperative and postoperative computed tomography images. The height and weight of these patients were also recorded. RESULTS: The average height significantly increased from 159.7+/-5.1 cm before surgery to 167.2+/-5.3 cm after surgery (P&lt;0.001), whereas the average weight changed from 59.3+/-6.8 kg to 59.5+/-6.9 kg (P&gt;0.05). GK, TK, LK, and lumbar lordosis were corrected from 77.7, 40.2, 19.4, and 2.8 degrees before surgery to 37.1, 38.4, -21.9, and -32 degrees after surgery, respectively. All the changes of these parameters were found to be significantly different (P&lt;0.001) except that of TK (P&gt;0.05). With the correction of kyphosis, the aortomesenteric angle significantly decreased from 29.3 to 23.4 degrees (P&lt;0.001), whereas the aortomesenteric distance significantly decreased from 25.7 to 20.4 mm (P&lt;0.001). It is to be noted that the changes of GK, LK, and height were significantly correlated with the decrements of aortomesenteric angle and distance (P&lt;0.05). CONCLUSIONS: The correlations of the surgical correction of kyphosis and the decreased aortomesenteric angle and distance in AS patients were quantitatively confirmed by our study. Spine surgeons should be aware of </w:t>
      </w:r>
      <w:r w:rsidRPr="00637692">
        <w:rPr>
          <w:rFonts w:ascii="Times New Roman" w:hAnsi="Times New Roman" w:cs="Times New Roman"/>
          <w:noProof/>
          <w:sz w:val="24"/>
        </w:rPr>
        <w:lastRenderedPageBreak/>
        <w:t>the potential risk for the development of superior mesenteric artery syndrome after kyphosis correction in AS patients.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Qin, X., et al. (2019). "Where to stop distally in Lenke modifier C AIS with lumbar curve more than 60 degrees : L3 or L4?" </w:t>
      </w:r>
      <w:r w:rsidRPr="00637692">
        <w:rPr>
          <w:rFonts w:ascii="Times New Roman" w:hAnsi="Times New Roman" w:cs="Times New Roman"/>
          <w:noProof/>
          <w:sz w:val="24"/>
          <w:u w:val="single"/>
        </w:rPr>
        <w:t>Clin Neurol Neurosurg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178</w:t>
      </w:r>
      <w:r w:rsidRPr="00637692">
        <w:rPr>
          <w:rFonts w:ascii="Times New Roman" w:hAnsi="Times New Roman" w:cs="Times New Roman"/>
          <w:noProof/>
          <w:sz w:val="24"/>
        </w:rPr>
        <w:t>: 77-81.</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Selecting lowest instrumented vertebra (LIV) in adolescent idiopathic scoliosis (AIS) with large lumbar curve can be difficult. Stopping the distal fusion at L3 could save more mobile lumbar segments but may increase the risk of decompensation. This study was designed to evaluate preoperative radiographic factors that were associated with the selection of either L3 or L4 as LIV in posteriorly treated AIS patients with large lumbar curve. PATIENTS AND METHODS: A total of 84 AIS patients with lumbar curve &gt;60 degrees were analyzed with a minimum of 2-year follow-up after posterior instrumentation with lumbar curves included in fusion. Patients were grouped according to the selection of LIV, either L3 or L4 group. All radiograph parameters were measured pre- and post-operatively including Cobb angle, lumbar flexibility, L3 translation and rotation on posteroanterior (PA) and side-bending (SB) film, etc. The SRS-22 score was used to assess clinical outcomes. Radiographic and clinical parameters were compared between the two groups. RESULTS: There were 24 patients in L3 group and 60 patients in L4 group. At last follow-up, no difference was found in the clinical and radiographic parameters between the two groups. Preoperatively, the L3 group had lower L3 </w:t>
      </w:r>
      <w:r w:rsidRPr="00637692">
        <w:rPr>
          <w:rFonts w:ascii="Times New Roman" w:hAnsi="Times New Roman" w:cs="Times New Roman"/>
          <w:noProof/>
          <w:sz w:val="24"/>
        </w:rPr>
        <w:lastRenderedPageBreak/>
        <w:t>translation on PA view, L3 translation on concave SB film, L3 rotation on convex SB film, more L3/4 disc opening on convex SB film and larger lumbar flexibility. Multivariate regression found L3 translation on concave SB film was the single most important predictor of LIV selection. Specifically, L3 translation on concave SB film &lt;10 mm was a potential threshold for selecting L3 as LIV. CONCLUSIONS: For AIS patients with large lumbar curve, instrumentation can be reliably stopped at L3 if L3 translation on preoperative concave SB film was less than 10 mm, with the same radiographic and clinical outcomes as fusing to L4.</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Ruf, M., et al. (2006). "[Preoperative planning and computer assisted surgery in ankylosing spondylitis]." </w:t>
      </w:r>
      <w:r w:rsidRPr="00637692">
        <w:rPr>
          <w:rFonts w:ascii="Times New Roman" w:hAnsi="Times New Roman" w:cs="Times New Roman"/>
          <w:noProof/>
          <w:sz w:val="24"/>
          <w:u w:val="single"/>
        </w:rPr>
        <w:t>Z Orthop Ihre Grenzgeb</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144</w:t>
      </w:r>
      <w:r w:rsidRPr="00637692">
        <w:rPr>
          <w:rFonts w:ascii="Times New Roman" w:hAnsi="Times New Roman" w:cs="Times New Roman"/>
          <w:noProof/>
          <w:sz w:val="24"/>
        </w:rPr>
        <w:t>(1): 52-57.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AIM: The following study describes a technique for preoperative planning and computer-assisted correction osteotomy in the treatment of ankylosing spondylitis. The effect on the overall sagittal profile is evaluated. METHOD: Kyphosis was corrected by a posterior closing wedge osteotomy. Angle and localisation of the wedge were exactly planned preoperatively and transferred to a navigation system. The osteotomy was then performed along the premarked lines with image-guided tools. Nine patients aged 40 to 61 years (average 46 years) were operated on. Follow-up time averaged 12 months (1 to 33 months). RESULTS: The planned angle of the wedge osteotomy was an average of 30 degrees (range 24 degrees to 40 degrees ) preoperatively. Postoperatively, the </w:t>
      </w:r>
      <w:r w:rsidRPr="00637692">
        <w:rPr>
          <w:rFonts w:ascii="Times New Roman" w:hAnsi="Times New Roman" w:cs="Times New Roman"/>
          <w:noProof/>
          <w:sz w:val="24"/>
        </w:rPr>
        <w:lastRenderedPageBreak/>
        <w:t>angle averaged 30 degrees as well (range 22 degrees to 41 degrees ). The individual difference between real and planned angle was an average of 2.7 degrees (range 1 degrees to 6 degrees ). Sacral inclination was 23 degrees preoperatively (range-- 6 degrees to 40 degrees ) and was corrected to 40 degrees (range 27 degrees to 49 degrees ). Anterior displacement of the gravity line averaged 112 mm preoperatively (range 47 to 196 mm) and was corrected to 31 mm (range--7 to 135 mm) postoperatively and 38 mm (range-- 21 to 137 mm) at latest follow-up. CONCLUSION: Precise preoperative planning and correction osteotomy exactly according to this planning allow for an excellent correction of the sagittal profile even in severe ankylosing spondylitis. Pelvic tilt and gravity line are normalised, the patient is able to adopt an ergonomic upright position. Navigation facilitates the intraoperative transfer of the preoperative planning.</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Russo, A. J., et al. (2021). "Minimally invasive transforaminal lumbar interbody fusion with expandable articulating interbody spacers significantly improves radiographic outcomes compared to static interbody spacers." </w:t>
      </w:r>
      <w:r w:rsidRPr="00637692">
        <w:rPr>
          <w:rFonts w:ascii="Times New Roman" w:hAnsi="Times New Roman" w:cs="Times New Roman"/>
          <w:noProof/>
          <w:sz w:val="24"/>
          <w:u w:val="single"/>
        </w:rPr>
        <w:t>J Spine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7</w:t>
      </w:r>
      <w:r w:rsidRPr="00637692">
        <w:rPr>
          <w:rFonts w:ascii="Times New Roman" w:hAnsi="Times New Roman" w:cs="Times New Roman"/>
          <w:noProof/>
          <w:sz w:val="24"/>
        </w:rPr>
        <w:t>(3): 300-309.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The goal of minimally invasive transforaminal lumbar interbody fusion (MI TLIF) is to restore and maintain disc height and lordosis until arthrodesis occurs, while minimizing muscle disruption and improving recovery time. The purpose of this study was to compare the radiographic outcomes in patients treated with an articulating expandable spacer in MI TLIF </w:t>
      </w:r>
      <w:r w:rsidRPr="00637692">
        <w:rPr>
          <w:rFonts w:ascii="Times New Roman" w:hAnsi="Times New Roman" w:cs="Times New Roman"/>
          <w:noProof/>
          <w:sz w:val="24"/>
        </w:rPr>
        <w:lastRenderedPageBreak/>
        <w:t xml:space="preserve">to more traditional static spacers. METHODS: This was a multi-site, multi-surgeon, Institutional Review Board-exempt, retrospective clinical study from a prospectively collected database. It included 48 patients with a diagnosis of degenerative disc disease (DDD) at one level from L2 to S1 with or without Grade 1 spondylolisthesis who underwent MI TLIF using either an articulating expandable or static interbody spacer. Twenty-seven patients were in the banana-shaped articulating expandable interbody spacer (ALTERA((R)), Globus Medical, Inc., Audubon, PA, USA) group, while 21 patients were in the static interbody spacer group. Both groups had supplemental posterior pedicle screw and rod fixation. Radiographic records were assessed for disc height, neuroforaminal height, and lordosis at baseline, 3 and 6 months, and final follow-up. RESULTS: The articulating expandable spacer group displayed significantly greater improvement in anterior disc height from baseline compared to the static spacer group at 6 weeks, 3 and 6 months, and final follow-up by averages of 2.6 mm (79%), 2.8 mm (92%), 3.4 mm (105%), and 3.8 mm (139%), respectively (P&lt;0.05). Mean increases in posterior disc height were significantly greater in the expandable group compared to the static group by 1.2 mm (65%) and 1.7 mm (104%) at 6 months and final follow-up, respectively (P&lt;0.05). Articulating expandable spacers produced significantly greater average improvement by 4.0 mm in neuroforaminal height from baseline to final follow-up compared to static spacers (P&lt;0.05). Increases in intervertebral angle from baseline were significantly greater in the expandable group than in the </w:t>
      </w:r>
      <w:r w:rsidRPr="00637692">
        <w:rPr>
          <w:rFonts w:ascii="Times New Roman" w:hAnsi="Times New Roman" w:cs="Times New Roman"/>
          <w:noProof/>
          <w:sz w:val="24"/>
        </w:rPr>
        <w:lastRenderedPageBreak/>
        <w:t>static group at 3 and 6 months, and final follow-up by averages of 2.5 degrees , 2.8 degrees , and 3.1 degrees , respectively (P&lt;0.05). The articulating expandable spacer group resulted in significantly greater improvements in lumbar lordosis from baseline to 3 and 6 months than the static spacer group by 4.4 degrees and 4.0 degrees , respectively (P&lt;0.05). CONCLUSIONS: MI TLIF with articulating expandable interbody spacers provides significant restoration and maintenance of disc height, neuroforaminal height, and lordosis compared to static spacers in this comparative cohort. Long-term clinical outcomes are needed to correlate with these radiographic improvements.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Sebesta, P., et al. (2008). "[Posterior stabilization of L5 burst fractures without reconstruction of the anterior column]." </w:t>
      </w:r>
      <w:r w:rsidRPr="00637692">
        <w:rPr>
          <w:rFonts w:ascii="Times New Roman" w:hAnsi="Times New Roman" w:cs="Times New Roman"/>
          <w:noProof/>
          <w:sz w:val="24"/>
          <w:u w:val="single"/>
        </w:rPr>
        <w:t>Acta Chir Orthop Traumatol Cech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75</w:t>
      </w:r>
      <w:r w:rsidRPr="00637692">
        <w:rPr>
          <w:rFonts w:ascii="Times New Roman" w:hAnsi="Times New Roman" w:cs="Times New Roman"/>
          <w:noProof/>
          <w:sz w:val="24"/>
        </w:rPr>
        <w:t>(2): 123-128.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OF THE STUDY: To evaluate a group of 11 patients with L5 burst fractures treated by L4-S1 posterior instrumented spinal fusion without reconstruction of the anterior column. MATERIAL: The group included seven men and four women aged between 14 and 66 years (average, 37.5 years), followed for 12 to 36 months (average, 18 months). Ten patients were treated by posterior instrumented spinal fusion at the L4-S1 level, and one with an associated injury to L3 underwent L2-L4-S1 posterior instrumented spinal fusion. The spinal column was inspected in eight patients in whom neurological symptoms or significant stenosis were present. METHODS: On admission, the </w:t>
      </w:r>
      <w:r w:rsidRPr="00637692">
        <w:rPr>
          <w:rFonts w:ascii="Times New Roman" w:hAnsi="Times New Roman" w:cs="Times New Roman"/>
          <w:noProof/>
          <w:sz w:val="24"/>
        </w:rPr>
        <w:lastRenderedPageBreak/>
        <w:t xml:space="preserve">evaluation of post-traumatic radiographs included measurements of the angle between the L4 lower and the S1 upper end-plates, the angle between the upper and lower end-plates of L5 and height of the anterior and posterior rims of the L5 vertebral body. CT scans were assessed for a relative narrowing of the spinal canal. The patient's neurological status was also evaluated. At 3, 6, 12, 24 and 36 months of follow-up, radiographs, neurological findings and subjective complaints were assessed. RESULTS: On comparison of pre-operative values with those 3 months after surgery, the differences were on average 3.6 degrees for L4-S1 lordosis, 2.5 degrees for the angle between the upper and lower end-plates of L5, and 1 mm for the height of the anterior rim; there was no difference in posterior rim height. Eight patients had the same values at the latest as at 3- month follow-up. Three patients with broken screws showed the loss of L4-S1 lordosis by 4 to 13 degrees (average, 9 degrees). Neither the angle between the upper and lower end-plates of L5, nor vertebral body height were changed. The narrowing of the spinal canal by vertebral body fragments ranged from 0 to 60 % (average, 35 %) of canal space. On admission, neurological findings were normal in two patients and involved nerve root syndrome in five patients. In four patients it was not possible to assess their neurological status. At he latest follow-up, ten patients were free from peripheral neurological lesions, one still had lumbar radicular syndrome, two patients reported mild or moderate lumbosacral pain and seven patients were without complaints. Subjective complaints could not be assessed in two patients because of their mental state. </w:t>
      </w:r>
      <w:r w:rsidRPr="00637692">
        <w:rPr>
          <w:rFonts w:ascii="Times New Roman" w:hAnsi="Times New Roman" w:cs="Times New Roman"/>
          <w:noProof/>
          <w:sz w:val="24"/>
        </w:rPr>
        <w:lastRenderedPageBreak/>
        <w:t>An early post-operative complication included wound dehiscence in one patient (9 %) and, in three patients, broken screws in S1 were recorded as late complications. DISCUSSION: Only a few references referring to a relatively low number of patients with L burst fractures treated by surgery were found in the literature. Most of the authors report limitations of reduction and good clinical outcomes. CONCLUSIONS The posterior instrumented spinal fusion of L5 alone is sufficient for the treatment of most L5 burst fractures. Early removal of the fixator is indicated in active patients. Often good clinical outcomes are in contradiction with radiological findings. The possibilities of spinal canal decompression by ligamentotaxis at this level of injury are limited. When significant spinal stenosis is present, laminectomy or hemilaminectomy is necessary to achieve decompression of the spinal canal.</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Shetty, A. P., et al. (2023). "Surgical Approach to Cervical Fractures in Ankylosing Spondylitis Patients: Rationale and Surgical Strategy." </w:t>
      </w:r>
      <w:r w:rsidRPr="00637692">
        <w:rPr>
          <w:rFonts w:ascii="Times New Roman" w:hAnsi="Times New Roman" w:cs="Times New Roman"/>
          <w:noProof/>
          <w:sz w:val="24"/>
          <w:u w:val="single"/>
        </w:rPr>
        <w:t>World Neurosurg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173</w:t>
      </w:r>
      <w:r w:rsidRPr="00637692">
        <w:rPr>
          <w:rFonts w:ascii="Times New Roman" w:hAnsi="Times New Roman" w:cs="Times New Roman"/>
          <w:noProof/>
          <w:sz w:val="24"/>
        </w:rPr>
        <w:t>: e321-e328.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Current literature lacks objective criteria to determine surgical management in patients with ankylosing spondylitis who sustain cervical fractures. The purpose of our study was to analyze the determinants for stratifying surgical approach, evaluate the outcome in patients, and postulate a management strategy. METHODS: This was a retrospective study of patients with ankylosing spondylitis who underwent surgery for cervical spine injury </w:t>
      </w:r>
      <w:r w:rsidRPr="00637692">
        <w:rPr>
          <w:rFonts w:ascii="Times New Roman" w:hAnsi="Times New Roman" w:cs="Times New Roman"/>
          <w:noProof/>
          <w:sz w:val="24"/>
        </w:rPr>
        <w:lastRenderedPageBreak/>
        <w:t>with a minimum follow-up of 2 years. Neurological recovery, fracture pattern including translation and angulation, surgical duration, blood loss, and postoperative complications were recorded, and a comparative analysis of these factors with anterior, posterior, and combined surgical approaches was performed. RESULTS: The study included 43 men with a mean age of 57 years; 49% underwent anterior-only stabilization, 16% underwent posterior-only stabilization, and 35% underwent combined anteroposterior stabilization. Mean operative time was significantly lower in anterior-only (81.4 minutes; P &lt; 0.05) and posterior-only (124 minutes; P &lt; 0.05) approaches compared with combined approach (266.6 minutes). Mean blood loss was significantly lower in anterior-only (87.5 mL, P &lt; 0.05) approach compared with posterior-only (714.7 mL) and combined (912.7 mL) approaches. Mean translation was 1.8 mm, 1.7 mm, and 3.7 mm in anterior, posterior, and combined approaches (P &lt; 0.05), respectively. CONCLUSIONS: Our study provides insights into management of cervical spine fractures in ankylosing spondylitis patients. A fracture displacement &lt;/=2 mm may be successfully managed by an anterior approach, while the posterior approach may be beneficial in similar fractures warranting instrumentation extending to the thoracic spine. All other fractures warrant a combined surgical approach.</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Shi, R., et al. (2011). "Anterior single segmental decompression and fixation for Denis B type thoracolumbar burst fracture with neurological deficiency: thirty-four cases with </w:t>
      </w:r>
      <w:r w:rsidRPr="00637692">
        <w:rPr>
          <w:rFonts w:ascii="Times New Roman" w:hAnsi="Times New Roman" w:cs="Times New Roman"/>
          <w:noProof/>
          <w:sz w:val="24"/>
        </w:rPr>
        <w:lastRenderedPageBreak/>
        <w:t xml:space="preserve">average twenty-six month follow-up." </w:t>
      </w:r>
      <w:r w:rsidRPr="00637692">
        <w:rPr>
          <w:rFonts w:ascii="Times New Roman" w:hAnsi="Times New Roman" w:cs="Times New Roman"/>
          <w:noProof/>
          <w:sz w:val="24"/>
          <w:u w:val="single"/>
        </w:rPr>
        <w:t>Spine (Phila Pa 1976)</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36</w:t>
      </w:r>
      <w:r w:rsidRPr="00637692">
        <w:rPr>
          <w:rFonts w:ascii="Times New Roman" w:hAnsi="Times New Roman" w:cs="Times New Roman"/>
          <w:noProof/>
          <w:sz w:val="24"/>
        </w:rPr>
        <w:t>(9): E598-605.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A series study of neurologically deficient patients with Denis B type thoracolumbar burst fractures treated with anterior single segmental decompression and fixation (ASSDF). OBJECTIVE: To describe a surgical technique of ASSDF and its clinical outcome in a group of neurologically deficient patients with Denis B type thoracolumbar burst fractures. SUMMARY OF BACKGROUND DATA: The optimal treatment for thoracolumbar burst fractures is still controversial. METHODS: The canals of selected patients were fully decompressed with partial dissection on fractured vertebral body. Single segmental fusion was achieved with grafting and fixation. Clinical evaluation (including Frankel scales and visual analogue scale) and radiologic assessments (including the measurements of the kyphosis Cobb angle, adjacent superior, inferior intervertebral disc height, and vertebral canal sagittal diameter on radiograph film and computer tomography scans) were performed before the operation and at 3-day, 6-month, 1-, 2-, and 3-year intervals after the operation. RESULTS: Between June 2006 and May 2008, 37 patients with Denis B type thoracolumbar burst fractures were recruited for study. Thirty-four patients with successful ASSDF accomplished a 1-year follow-up. Average follow-up duration was 26 +/- 9.2 months. The average operation time and blood loss were 173 +/- 26 minutes and 445.6 +/- 164.4 mL, respectively. Average Frankel scales were significantly improved at the end of follow-up. visual analogue scale decreased from 7.2 +/- 0.8 before operation to less than 1.7 +/- 0.7 (P &lt; </w:t>
      </w:r>
      <w:r w:rsidRPr="00637692">
        <w:rPr>
          <w:rFonts w:ascii="Times New Roman" w:hAnsi="Times New Roman" w:cs="Times New Roman"/>
          <w:noProof/>
          <w:sz w:val="24"/>
        </w:rPr>
        <w:lastRenderedPageBreak/>
        <w:t>0.05) 6 months later. The vertebral canal sagittal diameter was enlarged from an average of 5.9 +/- 1.2 mm to 16.2 +/- 1.0 mm (P &lt; 0.01). The canal stenosis index also improved, from 36.0% to 99.1%. Kyphosis was corrected from 21.5 degrees +/- 6.1 degrees to 7.3 degrees +/- 3.2 degrees (P &lt; 0.05) and remained at 8.2 degrees +/- 3.6 degrees (P &gt; 0.05) 1 year later. Adjacent disc heights remained constant. No serious complications or fixation failures were observed during follow-up. CONCLUSION: ASSDF provides a novel and effective surgical option for treating Denis B type fracture with neurologic deficiency.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Steinhaus, M. E., et al. (2022). "Does loss of spondylolisthesis reduction impact clinical and radiographic outcomes after minimally invasive transforaminal lumbar interbody fusion?" </w:t>
      </w:r>
      <w:r w:rsidRPr="00637692">
        <w:rPr>
          <w:rFonts w:ascii="Times New Roman" w:hAnsi="Times New Roman" w:cs="Times New Roman"/>
          <w:noProof/>
          <w:sz w:val="24"/>
          <w:u w:val="single"/>
        </w:rPr>
        <w:t>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22</w:t>
      </w:r>
      <w:r w:rsidRPr="00637692">
        <w:rPr>
          <w:rFonts w:ascii="Times New Roman" w:hAnsi="Times New Roman" w:cs="Times New Roman"/>
          <w:noProof/>
          <w:sz w:val="24"/>
        </w:rPr>
        <w:t>(1): 95-103.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CONTEXT: Minimally invasive transforaminal lumbar interbody fusion (MI-TLIF) is a common operative approach to address degenerative lumbar stenosis and spondylolisthesis which has failed nonoperative care. Compared to open TLIF, MI-TLIF relies to a greater extent on indirect decompression resulting in a heightened awareness of spondylolisthesis reduction among MI surgeons. To what extent intraoperative reduction is achieved as well as the rate and clinical impact of loss or reduction and slip recurrence remain unknown. PURPOSE: To determine the rate and clinical impact of slip recurrence after MI-TLIF with expandable cage technology STUDY DESIGN/SETTING: Retrospective Cohort Study </w:t>
      </w:r>
      <w:r w:rsidRPr="00637692">
        <w:rPr>
          <w:rFonts w:ascii="Times New Roman" w:hAnsi="Times New Roman" w:cs="Times New Roman"/>
          <w:noProof/>
          <w:sz w:val="24"/>
        </w:rPr>
        <w:lastRenderedPageBreak/>
        <w:t xml:space="preserve">PATIENT SAMPLE: Patients undergoing MI-TLIF for degenerative spondylolisthesis using an articulating, expandable cage OUTCOME MEASURES: Patient-reported outcome measures (PROMs), including the Oswestry Disability Index (ODI), visual analog scale (VAS) for back/leg pain, Short Form-12 (SF-12), and PROMIS Physical Function (PF) METHODS: Patients undergoing MI-TLIF for degenerative spondylolisthesis using articulating, expandable cages from 2017 to 2019 were retrospectively studied. Lateral radiographs were reviewed and evaluated for the presence or absence of spondylolisthesis preoperatively, intraoperatively, and at follow-up times including 2 weeks, 6 weeks, 12 weeks, 6 months, and 1 year postoperatively. Spondylolisthesis was measured from the posterior inferior corner of the cephalad vertebra to the posterior superior corner of the caudal vertebra, with any measurement &gt;1 mm classified as spondylolisthesis, and Meyerding grade was noted. Intraoperative reduction was measured, and loss of reduction was defined as &gt;1 mm increase in spondylolisthesis comparing follow-up imaging to intraoperative films. PROMs were recorded at the preoperative and follow-up time points. Fusion was assessed at 1 year postoperatively via CT. RESULTS: A total of 63 patients and 70 levels were included, with mean age 59.8 years (SD,13.8). 19 levels (27.1%) had complete reduction intraoperatively, 40 (57.1%) had partial reduction, and 11 (15.7%) had no reduction. Of the 30 levels with loss of reduction (50.8%), 20 (66.7%) occurred by 2 weeks postoperatively and 28 (93.3%) occurred by 12 weeks postoperatively. At 6 months, there were </w:t>
      </w:r>
      <w:r w:rsidRPr="00637692">
        <w:rPr>
          <w:rFonts w:ascii="Times New Roman" w:hAnsi="Times New Roman" w:cs="Times New Roman"/>
          <w:noProof/>
          <w:sz w:val="24"/>
        </w:rPr>
        <w:lastRenderedPageBreak/>
        <w:t>significant differences between those who had loss of reduction and those who did not in VAS back pain (3.0 vs. 0.9, p = .017) and SF-12 PCS (41.5 vs. 50.0, p = .035), but no differences were found between the groups for any instruments at any other time points. The overall fusion rate was 82.1% (32/39) at 1 year postoperatively. There was no significant difference in fusion rate between the loss of reduction (16/20) and no loss of reduction (20/23) groups. Patients with loss of reduction had no difference in reoperation rate (1/28) compared to those without loss of reduction (2/24). CONCLUSIONS: While a majority of patients demonstrated reduction intraoperatively, 51% had loss of reduction, most commonly in the acute postoperative period. There were few differences in PROMs between patients who had loss of reduction and those who did not, suggesting that radiographic loss of reduction after MI-TLIF in the setting of degenerative spondylolisthesis may not be clinically meaningful.</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Su, C., et al. (2023). "Specific foraminal changes originate from degenerative spondylolisthesis on computed tomographic images."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32</w:t>
      </w:r>
      <w:r w:rsidRPr="00637692">
        <w:rPr>
          <w:rFonts w:ascii="Times New Roman" w:hAnsi="Times New Roman" w:cs="Times New Roman"/>
          <w:noProof/>
          <w:sz w:val="24"/>
        </w:rPr>
        <w:t>(3): 1077-1086.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Operative treatment for degenerative spondylolisthesis (DS) is accompanied by the high incidence of nerve injury. Foraminal structures, especially the hypertrophied facet joints, have significant impacts on the adjacent nerve. This study aims to identify the specific foraminal changes relating to DS and nerve injury. METHODS: The CT images of 70 patients with DS and 50 patients without lumbar disease were collected. The length and </w:t>
      </w:r>
      <w:r w:rsidRPr="00637692">
        <w:rPr>
          <w:rFonts w:ascii="Times New Roman" w:hAnsi="Times New Roman" w:cs="Times New Roman"/>
          <w:noProof/>
          <w:sz w:val="24"/>
        </w:rPr>
        <w:lastRenderedPageBreak/>
        <w:t>height of the foraminal structure were measured horizontally and vertically on sagittally reconstructed images. Horizontal stenosis, meaning to pending compression to nerve root after complete reduction, was evaluated on the image located to the middle of the foramen. Chi-square test or T-test were carried out using SPSS 26.0. RESULTS: The hyperplasia of the superior articular process (SAP) and articular capsule (Ac) incidence rates in DS group was significantly more common than that of the control group (9.2 vs 0.0%, 42.9 vs 2.0%). The height and width of the SAP and Ac in vertical and horizontal directions were significantly greater than those in the control group (4.95 mm vs - 0.47 mm, P &lt; 0.0001; 3.28 vs 0.02 mm, P &lt; 0.0001; 5.27 vs3.44 mm, P &lt; 0.0001; 2.60 vs 0.37 mm, P &lt; 0.0001). In the DS group, hyperplasia of the SAP and Ac accounted for 9 and 43% respectively, 85 and 45% of which were accompanied by horizontal stenosis of the intervertebral foramen. CONCLUSION: DS is usually characterized of excessive hyperplasia of the SAP and Ac, both of which are possible elements of nerve root injury after complete reduction in operation and should be focused on during surgery.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Tai, C. L., et al. (2008). "Biomechanical comparison of lumbar spine instability between laminectomy and bilateral laminotomy for spinal stenosis syndrome - an experimental study in porcine model." </w:t>
      </w:r>
      <w:r w:rsidRPr="00637692">
        <w:rPr>
          <w:rFonts w:ascii="Times New Roman" w:hAnsi="Times New Roman" w:cs="Times New Roman"/>
          <w:noProof/>
          <w:sz w:val="24"/>
          <w:u w:val="single"/>
        </w:rPr>
        <w:t>BMC Musculoskelet Disord</w:t>
      </w:r>
      <w:r w:rsidRPr="00637692">
        <w:rPr>
          <w:rFonts w:ascii="Times New Roman" w:hAnsi="Times New Roman" w:cs="Times New Roman"/>
          <w:noProof/>
          <w:sz w:val="24"/>
        </w:rPr>
        <w:t xml:space="preserve"> </w:t>
      </w:r>
      <w:r w:rsidRPr="00637692">
        <w:rPr>
          <w:rFonts w:ascii="Times New Roman" w:hAnsi="Times New Roman" w:cs="Times New Roman"/>
          <w:b/>
          <w:noProof/>
          <w:sz w:val="24"/>
        </w:rPr>
        <w:t>9</w:t>
      </w:r>
      <w:r w:rsidRPr="00637692">
        <w:rPr>
          <w:rFonts w:ascii="Times New Roman" w:hAnsi="Times New Roman" w:cs="Times New Roman"/>
          <w:noProof/>
          <w:sz w:val="24"/>
        </w:rPr>
        <w:t>: 84.</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The association of lumbar spine instability between laminectomy and laminotomy has been clinically studied, but the corresponding </w:t>
      </w:r>
      <w:r w:rsidRPr="00637692">
        <w:rPr>
          <w:rFonts w:ascii="Times New Roman" w:hAnsi="Times New Roman" w:cs="Times New Roman"/>
          <w:noProof/>
          <w:sz w:val="24"/>
        </w:rPr>
        <w:lastRenderedPageBreak/>
        <w:t xml:space="preserve">in vitro biomechanical studies have not been reported. We investigated the hypothesis that the integrity of the posterior complex (spinous process-interspinous ligament-spinous process) plays an important role on the postoperative spinal stability in decompressive surgery. METHODS: Eight porcine lumbar spine specimens were studied. Each specimen was tested intact and after two decompression procedures. All posterior components were preserved in Group A (Intact). In Group B (Bilateral laminotomy), the inferior margin of L4 lamina and superior margin of L5 lamina were removed, but the L4-L5 supraspinous ligament was preserved. Fenestrations were made on both sides. In Group C (Laminectomy) the lamina and spinous processes of lower L4 and upper L5 were removed. Ligamentum flavum and supraspinous ligament of L4-L5 were removed. A hydraulic testing machine was used to generate an increasing moment up to 8400 N-mm in flexion and extension. Intervertebral displacement at decompressive level L4-L5 was measured by extensometer RESULTS: The results indicated that, under extension motion, intervertebral displacement between the specimen in intact form and at two different decompression levels did not significantly differ (P &gt; 0.05). However, under flexion motion, intervertebral displacement of the laminectomy specimens at decompression level L4-L5 was statistically greater than in intact or bilateral laminotomy specimens (P = 0.0000963 and P = 0.000418, respectively). No difference was found between intact and bilateral laminotomy groups. (P &gt; 0.05). CONCLUSION: We concluded that a lumbar spine with posterior complex </w:t>
      </w:r>
      <w:r w:rsidRPr="00637692">
        <w:rPr>
          <w:rFonts w:ascii="Times New Roman" w:hAnsi="Times New Roman" w:cs="Times New Roman"/>
          <w:noProof/>
          <w:sz w:val="24"/>
        </w:rPr>
        <w:lastRenderedPageBreak/>
        <w:t>integrity is less likely to develop segment instability than a lumbar spine with a destroyed anchoring point for supraspinous ligament.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Tani, Y., et al. (2023). "A triple minimally invasive surgery combination for subacute osteoporotic lower lumbar vertebral collapse with neurological compromise: a potential alternative to the vertebral corpectomy/expandable cage strategy." </w:t>
      </w:r>
      <w:r w:rsidRPr="00637692">
        <w:rPr>
          <w:rFonts w:ascii="Times New Roman" w:hAnsi="Times New Roman" w:cs="Times New Roman"/>
          <w:noProof/>
          <w:sz w:val="24"/>
          <w:u w:val="single"/>
        </w:rPr>
        <w:t>Neurosurg Focus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54</w:t>
      </w:r>
      <w:r w:rsidRPr="00637692">
        <w:rPr>
          <w:rFonts w:ascii="Times New Roman" w:hAnsi="Times New Roman" w:cs="Times New Roman"/>
          <w:noProof/>
          <w:sz w:val="24"/>
        </w:rPr>
        <w:t>(1): E10.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Acute/subacute osteoporotic vertebral collapses (OVCs) in the lower lumbar spine with neurological compromise, although far less well documented than those in the thoracolumbar junction, may often pose greater treatment challenges. The authors clarified the utility of 3 familiar combined techniques of minimally invasive surgery for this condition as an alternative to the corpectomy/expandable cage strategy. METHODS: This report included the authors' first 5 patients with more than 2 years (range 27-48 months) of follow-up. The patients were between 68 and 91 years of age, and had subacute painful L4 OVC with neurological compromise and preexisting lumbar spinal stenosis. The authors' single-stage minimally invasive surgery combination consisted of the following: step 1, balloon kyphoplasty for the L4 OVC to restore its strength, followed by L4-percutaneous pedicle screw (PPS) placement with patients in the prone position; step 2, tubular lateral lumbar interbody fusion (LLIF) at the adjacent disc space involved with endplate injury, with patients in the lateral position; and step 3, supplemental PPS-rod fixation with patients in the prone </w:t>
      </w:r>
      <w:r w:rsidRPr="00637692">
        <w:rPr>
          <w:rFonts w:ascii="Times New Roman" w:hAnsi="Times New Roman" w:cs="Times New Roman"/>
          <w:noProof/>
          <w:sz w:val="24"/>
        </w:rPr>
        <w:lastRenderedPageBreak/>
        <w:t xml:space="preserve">position. RESULTS: Estimated blood loss ranged from 20 to 72 mL. Neither balloon kyphoplasty-related nor LLIF-related potentially serious complications occurred. With CT measurements at the 9 LLIF levels, the postoperative increases averaged 3.5 mm in disc height and 3.7 mm in bilateral foraminal heights, which decreased by only 0.2 mm and 0 mm at the latest evaluation despite their low bone mineral densities, with a T-score of -3.8 to -2.6 SD. Canal compromise by fracture retropulsion decreased from 33% to 23% on average. As indicated by MRI measurements, the dural sac progressively enlarged and the ligamentum flavum increasingly shrank over time postoperatively, consistent with functional improvements assessed by the physician-based, patient-centered measures. CONCLUSIONS: The advantages of this method over the corpectomy/expandable cage strategy include the following: 1) better anterior column stability with a segmentally placed cage, which reduces stress concentration at the cage footplate-endplate interface as an important benefit for patients with low bone mineral density; 2) indirect decompression through ligamentotaxis caused by whole-segment spine lengthening with LLIF, pushing back both the retropulsed fragments and the disc bulge anteriorly and unbuckling the ligamentum flavum to diminish its volume posteriorly; and 3) eliminating the need for segmental vessel management and easily bleeding direct decompressions. The authors' recent procedural modification eliminated step 3 by performing loose PPS-rod connections in step 1 and their tight locking after LLIF in step 2, reducing to only once the number of times the patient was </w:t>
      </w:r>
      <w:r w:rsidRPr="00637692">
        <w:rPr>
          <w:rFonts w:ascii="Times New Roman" w:hAnsi="Times New Roman" w:cs="Times New Roman"/>
          <w:noProof/>
          <w:sz w:val="24"/>
        </w:rPr>
        <w:lastRenderedPageBreak/>
        <w:t>repositioned.</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Telfeian, A. E., et al. (2020). "Endoscopic Surgical Resection of the Retropulsed S1 Vertebral Endplate in L5-S1 Spondylolisthesis: Case Series." </w:t>
      </w:r>
      <w:r w:rsidRPr="00637692">
        <w:rPr>
          <w:rFonts w:ascii="Times New Roman" w:hAnsi="Times New Roman" w:cs="Times New Roman"/>
          <w:noProof/>
          <w:sz w:val="24"/>
          <w:u w:val="single"/>
        </w:rPr>
        <w:t>Pain Physician</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23</w:t>
      </w:r>
      <w:r w:rsidRPr="00637692">
        <w:rPr>
          <w:rFonts w:ascii="Times New Roman" w:hAnsi="Times New Roman" w:cs="Times New Roman"/>
          <w:noProof/>
          <w:sz w:val="24"/>
        </w:rPr>
        <w:t>(6): E629-E636.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A severe grade I and grade II spondylolisthesis at L5-S1 creates an anatomic distortion that can compress the traversing S1 nerve with a retropulsed S1 vertebral body endplate and (sometimes) herniated disc. OBJECTIVES: To evaluate the feasibility for awake, endoscopic treatment of symptomatic radiculopathy secondary to the deformity that results from the retropulsed superior endplate of S1 in grade I/II L5-S1 spondylolisthesis in patients with and without previous fusion surgery. STUDY DESIGN: Retrospective chart review. SETTING: This study took place in a single-center, academic hospital. METHODS: In 325 patients over 4 years there were 19 patients (8 with previous L5-S1 fusions and 11 without) treated with transforaminal endoscopic spine surgery for decompression of the neural foramen at L5-S1 in the setting of spondylolisthesis (at least 5 mm) and a retropulsed superior vertebral endplate of S1. RESULTS: The average preoperative Visual Analog Scale (VAS) back and leg scores were 6.1 and 6.7, and the average preoperative Oswestry Disability Index (ODI) score was 50.4. The average 1-year VAS back and leg scores were 2.2 and 2.2, and the average 1-year postoperative ODI score was 20.5. There was no statistically significant </w:t>
      </w:r>
      <w:r w:rsidRPr="00637692">
        <w:rPr>
          <w:rFonts w:ascii="Times New Roman" w:hAnsi="Times New Roman" w:cs="Times New Roman"/>
          <w:noProof/>
          <w:sz w:val="24"/>
        </w:rPr>
        <w:lastRenderedPageBreak/>
        <w:t>difference between the fusion and nonfusion groups. Patients treated were patients who presented with an S1 or L5 and S1 radiculopathy as their primary complaint and a L5-S1 spondylolisthesis of 5 mm or greater. Patients treated had no instability on flexion-extension x-rays. Eleven patients had not had fusions at L5-S1, and 8 patients had previous fusions at L5-S1 but still had a spondylolisthesis of at least 5 mm. The average slip for nonfusion patients was 8.4 mm, and the average slip for fusion patients was 8.8 mm. At 1-year follow-up the improvement in VAS back scores was 44% in the nonfusion group and 49% in the fusion group, and the improvement in VAS leg scores was 84% in the nonfusion group and 58% in the fusion group. At 1-year follow-up the improvement in ODI scores was 63% in the nonfusion group and 54% in the fusion group. LIMITATIONS: Retrospective case series. CONCLUSIONS: Awake, endoscopic surgery for the treatment of radiculopathy in the setting of a grade I/II L5-S1 spondylolisthesis is a viable minimally invasive treatment option for patients with radiculopathy in the setting of a stable L5-S1 spondylolisthesis with foraminal narrowing caused by a retropulsed superior endplate of the S1 vertebral body.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Thompson, A. R., et al. (2023). "How Do Standing Neutral, Supine Lateral, Standing Flexion, and Standing Extension Radiographs Compare in Detecting the Presence and Magnitude of Stable and Dynamic Spondylolisthesis?" </w:t>
      </w:r>
      <w:r w:rsidRPr="00637692">
        <w:rPr>
          <w:rFonts w:ascii="Times New Roman" w:hAnsi="Times New Roman" w:cs="Times New Roman"/>
          <w:noProof/>
          <w:sz w:val="24"/>
          <w:u w:val="single"/>
        </w:rPr>
        <w:t>Clin Orthop Relat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481</w:t>
      </w:r>
      <w:r w:rsidRPr="00637692">
        <w:rPr>
          <w:rFonts w:ascii="Times New Roman" w:hAnsi="Times New Roman" w:cs="Times New Roman"/>
          <w:noProof/>
          <w:sz w:val="24"/>
        </w:rPr>
        <w:t>(12): 2459-2468.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lastRenderedPageBreak/>
        <w:tab/>
        <w:t xml:space="preserve">BACKGROUND: Clinical guidelines recommend standing radiographs as the most appropriate imaging for detecting degenerative spondylolisthesis, although reliable evidence about the standing position is absent. To our knowledge, no studies have compared different radiographic views and pairings to detect the presence and magnitude of stable and dynamic spondylolisthesis. QUESTIONS/PURPOSES: (1) What is the percentage of new patients presenting with back or leg pain with stable (3 mm or greater listhesis on standing radiographs) and dynamic (3 mm or greater listhesis difference on standing-supine radiographs) spondylolisthesis? (2) What is the difference in the magnitude of spondylolisthesis between standing and supine radiographs? (3) What is the difference in the magnitude of dynamic translation among flexion-extension, standing-supine, and flexion-supine radiographic pairs? METHODS: This cross-sectional, diagnostic study was performed at an urban, academic institution between September 2010 and July 2016; 579 patients 40 years or older received a standard radiographic three-view series (standing AP, standing lateral, and supine lateral radiographs) at a new patient visit. Of those individuals, 89% (518 of 579) did not have any of the following: history of spinal surgery, evidence of vertebral fracture, scoliosis greater than 30 degrees , or poor image quality. In the absence of a reliable diagnosis of dynamic spondylolisthesis using this three-view series, patients may have had flexion and extension radiographs, and approximately 6% (31 of 518) had flexion and extension radiographs. A total of 53% (272 of 518) of patients were female, and </w:t>
      </w:r>
      <w:r w:rsidRPr="00637692">
        <w:rPr>
          <w:rFonts w:ascii="Times New Roman" w:hAnsi="Times New Roman" w:cs="Times New Roman"/>
          <w:noProof/>
          <w:sz w:val="24"/>
        </w:rPr>
        <w:lastRenderedPageBreak/>
        <w:t xml:space="preserve">the patients had a mean age of 60 +/- 11 years. Listhesis distance (in mm) was measured by two raters as displacement of the posterior surface of the superior vertebral body in relation to the posterior surface of the inferior vertebral body from L1 to S1; interrater and intrarater reliability, assessed with intraclass correlation coefficients, was 0.91 and 0.86 to 0.95, respectively. The percentage of patients with and the magnitude of stable spondylolisthesis was estimated on and compared between standing neutral and supine lateral radiographs. The ability of common pairs of radiographs (flexion-extension, standing-supine, and flexion-supine) to detect dynamic spondylolisthesis was assessed. No single radiographic view or pair was considered the gold standard because stable or dynamic listhesis on any radiographic view is often considered positive in clinical practice. RESULTS: Among 518 patients, the percentage of patients with spondylolisthesis was 40% (95% CI 36% to 44%) on standing radiographs alone, and the percentage of patients with dynamic spondylolisthesis was 11% (95% CI 8% to 13%) on the standing-supine pair. Standing radiographs detected greater listhesis than supine radiographs did (6.5 +/- 3.9 mm versus 4.9 +/- 3.8 mm, difference 1.7 mm [95% CI 1.2 to 2.1 mm]; p &lt; 0.001). Among 31 patients, no single radiographic pairing identified all patients with dynamic spondylolisthesis. The listhesis difference detected between flexion-extension was no different from the listhesis difference detected between standing-supine (1.8 +/- 1.7 mm versus 2.0 +/- 2.2 mm, difference 0.2 mm [95% CI -0.5 to 1.0 mm]; p = 0.53) and flexion-supine (1.8 +/- 1.7 mm versus 2.5 +/- 2.2 mm, </w:t>
      </w:r>
      <w:r w:rsidRPr="00637692">
        <w:rPr>
          <w:rFonts w:ascii="Times New Roman" w:hAnsi="Times New Roman" w:cs="Times New Roman"/>
          <w:noProof/>
          <w:sz w:val="24"/>
        </w:rPr>
        <w:lastRenderedPageBreak/>
        <w:t>difference 0.7 mm [95% CI 0.0 to 1.5]; p = 0.06). CONCLUSION: This study supports current clinical guidelines that lateral radiographs should be obtained with patients in the standing position, because all cases of stable spondylolisthesis of 3 mm or greater were detected on standing radiographs alone. Each radiographic pair did not detect different magnitudes of listhesis, and no single pair detected all cases of dynamic spondylolisthesis. Clinical concern for dynamic spondylolisthesis may justify standing neutral, supine lateral, standing flexion, and standing extension views. Future studies could identify and evaluate a set of radiographic views that provides the greatest capacity to diagnose stable and dynamic spondylolisthesis. LEVEL OF EVIDENCE: Level III, diagnostic study.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Toyone, T., et al. (2005). "Anatomic changes in lateral spondylolisthesis associated with adult lumbar scoliosis." </w:t>
      </w:r>
      <w:r w:rsidRPr="00637692">
        <w:rPr>
          <w:rFonts w:ascii="Times New Roman" w:hAnsi="Times New Roman" w:cs="Times New Roman"/>
          <w:noProof/>
          <w:sz w:val="24"/>
          <w:u w:val="single"/>
        </w:rPr>
        <w:t>Spine (Phila Pa 1976)</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30</w:t>
      </w:r>
      <w:r w:rsidRPr="00637692">
        <w:rPr>
          <w:rFonts w:ascii="Times New Roman" w:hAnsi="Times New Roman" w:cs="Times New Roman"/>
          <w:noProof/>
          <w:sz w:val="24"/>
        </w:rPr>
        <w:t>(22): E671-675.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Prospective consecutive series. OBJECTIVE: To analyze the anatomic changes in lateral spondylolisthesis. SUMMARY OF BACKGROUND DATA: Previous studies have focused on the correlation between lateral spondylolisthesis, and curve progression and pain. To our knowledge, there has not been any detailed report concerning anatomic changes in lateral spondylolisthesis. METHODS: We examined 24 consecutive patients (mean age 66 years), with lateral spondylolisthesis associated with lumbar scoliosis who had computerized tomography (CT) after myelography. Coronal </w:t>
      </w:r>
      <w:r w:rsidRPr="00637692">
        <w:rPr>
          <w:rFonts w:ascii="Times New Roman" w:hAnsi="Times New Roman" w:cs="Times New Roman"/>
          <w:noProof/>
          <w:sz w:val="24"/>
        </w:rPr>
        <w:lastRenderedPageBreak/>
        <w:t>reconstruction CT was used to measure the vertebral translation. Vertebral rotation was measured by the Aaro method using transaxial CT. RESULTS: The Cobb angle averaged 26 degrees (range 13 degrees-75 degrees). Lateral spondylolisthesis was found most commonly at the lower-end vertebra. The cephalad-slipped vertebra rotated toward the convex side of the main curve, whereas the caudal vertebra rotated toward the convex side of the lumbosacral hemi (or fractional) curve below. Mean lateral translation and vertebral rotation were 7 mm and 8 degrees, respectively. There was a significant correlation between lateral translation and vertebral rotation (r = 0.49; P = 0.018). The convex superior articular process of the caudal vertebra had compressed the nerve root laterally in 21 patients, of whom 10 had radicular pain. The concave, inferior articular process of the cephalad vertebra had compressed the dural sac posteriorly, and 2 patients had radicular pain. CONCLUSIONS: To our knowledge, this study has been the first attempt to analyze anatomic changes in lateral spondylolisthesis using CT. It may offer further insight into the pathogenesis of adult lumbar scoliosis.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Tschauner, S., et al. (2022). "Does Calcium Phosphate Cement Kyphoplasty Cause Intervertebral Disk Degeneration in Adolescents?" </w:t>
      </w:r>
      <w:r w:rsidRPr="00637692">
        <w:rPr>
          <w:rFonts w:ascii="Times New Roman" w:hAnsi="Times New Roman" w:cs="Times New Roman"/>
          <w:noProof/>
          <w:sz w:val="24"/>
          <w:u w:val="single"/>
        </w:rPr>
        <w:t>Cartilage</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13</w:t>
      </w:r>
      <w:r w:rsidRPr="00637692">
        <w:rPr>
          <w:rFonts w:ascii="Times New Roman" w:hAnsi="Times New Roman" w:cs="Times New Roman"/>
          <w:noProof/>
          <w:sz w:val="24"/>
        </w:rPr>
        <w:t>(4): 77-86.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Balloon kyphoplasty with polymethylmethacrylate (PMMA) represents the standard procedure for the treatment of thoracic and lumbar type A compression fractures. However, an increased degeneration in adjacent </w:t>
      </w:r>
      <w:r w:rsidRPr="00637692">
        <w:rPr>
          <w:rFonts w:ascii="Times New Roman" w:hAnsi="Times New Roman" w:cs="Times New Roman"/>
          <w:noProof/>
          <w:sz w:val="24"/>
        </w:rPr>
        <w:lastRenderedPageBreak/>
        <w:t>intervertebral disks following PMMA kyphoplasty has been demonstrated in elderly patients. Calcium phosphate cement (CPC) appears to be superior to PMMA for the intravertebral stabilization in younger patients. It remains unkown whether CPC kyphoplasty causes degeneration of adjacent disks in adolescents. DESIGN: Seven adolescents with thoracolumbar spine fractures underwent kyphoplasty at a mean age of 14.5 years (range 10-18). At a mean follow-up of 3.7 years (range 1 to 4.8) postoperatively, 3.0 Tesla magnetic resonance imaging (MRI) of the spine was performed to assess intervertebral disk degeneration by quantitative T2 relaxation maps and subjective ratings using modified Pfirrmann scores. A total of 56 intervertebral disks was analyzed. Initial computed tomography (CT) examinations served as basis to assess the severity of adjacent endplate injuries in terms of articular step-offs. RESULTS: Initial imaging detected 18 thoracolumbar vertebral body fractures of which 9 were treated with CPC kyphoplasty. Quantitative follow-up MRI revealed signs of degeneration in 10 (17.9%) of the examined 56 intervertebral disks, 7 of them adjacent to a previously fractured vertebral body. Signs of disk degeneration were significantly higher in caudal endplates with articular step-offs larger than 5 mm compared to fractured vertebral bodies without endplate step-offs. CONCLUSIONS: Quantitative MRI follow-ups did not suggest CPC-related intervertebral disk degradations following thoracolumbar kyphoplasty in adolescents, but indicated disk alterations correlating to adjacent endplate fracture severity.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Turcotte, J. J., et al. (2024). "Outcomes in Lumbar Fusion Patients Stratified by the Clinical and Radiographic Degenerative Spondylolisthesis (CARDS) Classification System." </w:t>
      </w:r>
      <w:r w:rsidRPr="00637692">
        <w:rPr>
          <w:rFonts w:ascii="Times New Roman" w:hAnsi="Times New Roman" w:cs="Times New Roman"/>
          <w:noProof/>
          <w:sz w:val="24"/>
          <w:u w:val="single"/>
        </w:rPr>
        <w:t>Cureus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16</w:t>
      </w:r>
      <w:r w:rsidRPr="00637692">
        <w:rPr>
          <w:rFonts w:ascii="Times New Roman" w:hAnsi="Times New Roman" w:cs="Times New Roman"/>
          <w:noProof/>
          <w:sz w:val="24"/>
        </w:rPr>
        <w:t>(2): e54177.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Background and objective The Meyerding classification system remains the most common classification system for spondylolisthesis based on the percentages of vertebral translation. However, the majority of patients with degenerative disease fall into Grade 1, limiting its utility in this subset of patients. The Clinical and Radiographic Degenerative Spondylolisthesis (CARDS) classification system provides a simple radiographic framework for classifying degenerative lumbar spondylolisthesis (DLS) patients by incorporating disc height, kyphosis, and anterior translation. The purpose of this study was to evaluate how clinical characteristics, treatments, and outcomes vary across different CARDS groups in patients undergoing one- or two-level lumbar fusion for DLS. Methods The patients were classified into one of the following four CARDS groups - Type A: advanced disc space collapse with no evidence of kyphosis; Type B: partially preserved disc space with less than 5.0 mm of translation; Type C: partially preserved disc space with greater than 5.0 mm of translation; and Type D: kyphotic alignment. Univariate analyses were performed to compare demographics, symptoms, clinical outcomes, and Patient-Reported Outcomes Measurement Information System (PROMIS) physical (PH) and mental health (MH) scores across groups. Results Ninety-</w:t>
      </w:r>
      <w:r w:rsidRPr="00637692">
        <w:rPr>
          <w:rFonts w:ascii="Times New Roman" w:hAnsi="Times New Roman" w:cs="Times New Roman"/>
          <w:noProof/>
          <w:sz w:val="24"/>
        </w:rPr>
        <w:lastRenderedPageBreak/>
        <w:t>one patients were included in the study. Based on the CARDS classification, there were three (3%) Type A patients, 25 (28%) Type B, 58 (64%) Type C, and five (5%) Type D. No significant differences in baseline demographics, symptom duration, or PROMIS scores were observed across groups. Interbody utilization varied, ranging from 19% in CARDS C (n=11) to 60% in CARDS B (n=15) and D (n=3) patients (p=0.005). Thirty-day clinical outcomes were similar across groups. At an average follow-up of 8.9 months, improvements in PROMIS PH and MH scores and rates of clinically significant improvement were similar across groups. Conclusions Based on our findings, patients undergoing lumbar fusion for DLS present with similar demographic and clinical characteristics and experience similar clinical and patient-reported outcomes when stratified using the CARDS classification system. Posterolateral fusion (PLF) can be effective for various radiographic presentations of DLS. Further research is warranted to assess the utility of CARDS in preoperative planning.</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Wan, Z., et al. (2012). "The effect of the X-Stop implantation on intervertebral foramen, segmental spinal canal length and disc space in elderly patients with lumbar spinal stenosis."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21</w:t>
      </w:r>
      <w:r w:rsidRPr="00637692">
        <w:rPr>
          <w:rFonts w:ascii="Times New Roman" w:hAnsi="Times New Roman" w:cs="Times New Roman"/>
          <w:noProof/>
          <w:sz w:val="24"/>
        </w:rPr>
        <w:t>(3): 400-410.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OBJECTIVES: To evaluate the biomechanical effect of the X-Stop device on the intervertebral foramen (IVF) and segmental spinal canal length (SSCL), as well as the intervertebral disc space at the implanted and the adjacent segments </w:t>
      </w:r>
      <w:r w:rsidRPr="00637692">
        <w:rPr>
          <w:rFonts w:ascii="Times New Roman" w:hAnsi="Times New Roman" w:cs="Times New Roman"/>
          <w:noProof/>
          <w:sz w:val="24"/>
        </w:rPr>
        <w:lastRenderedPageBreak/>
        <w:t>in patients with lumbar spinal stenosis (LSS). MATERIALS AND METHODS: Eight elderly patients with LSS, scheduled for X-stop implantation, were CT or MRI scanned to construct 3D vertebral models (L2-S1). Before and after the surgery, each patient was also imaged using a dual-fluoroscopic image system during weight-bearing standing and maximum extension-flexion. The positions of the vertebrae were then determined using an established 2D-3D model matching method. RESULTS: The data revealed that the postoperative IVF area was significantly increased by 32.9% (or 32 mm2) (p&lt;0.05) and the IVF width was increased by 24.4% (or 1.1 mm, p=0.06) during extension, but with minimal change in standing and flexion. The IVF heights were significantly (p&lt;0.05) increased at standing by 1.2 mm and extension by 1.8 mm, but not at flexion. The SSCL were significantly (p&lt;0.05) increased at extension by 1.2 mm, but not at standing and flexion. Anterior disc space of the implanted level was significantly decreased from 8.0 to 6.6 mm during standing. CONCLUSION: The X-Stop implantation efficiently enlarged the IVF area in the elderly patients with LSS at the operated level with little biomechanical effect immediately on the superior and inferior adjacent levels. However, it reduced the anterior disc space at the implanted level.</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Wang, D., et al. (2024). "Radiographic and surgery-related predictive factors for increased segmental lumbar lordosis following lumbar fusion surgery in patients with degenerative lumbar spondylolisthesis." </w:t>
      </w:r>
      <w:r w:rsidRPr="00637692">
        <w:rPr>
          <w:rFonts w:ascii="Times New Roman" w:hAnsi="Times New Roman" w:cs="Times New Roman"/>
          <w:noProof/>
          <w:sz w:val="24"/>
          <w:u w:val="single"/>
        </w:rPr>
        <w:t>Eur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33</w:t>
      </w:r>
      <w:r w:rsidRPr="00637692">
        <w:rPr>
          <w:rFonts w:ascii="Times New Roman" w:hAnsi="Times New Roman" w:cs="Times New Roman"/>
          <w:noProof/>
          <w:sz w:val="24"/>
        </w:rPr>
        <w:t>(7): 2813-2823.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lastRenderedPageBreak/>
        <w:tab/>
        <w:t xml:space="preserve">OBJECTIVE: This study aimed to evaluate preoperative (pre-op) radiographic characteristics and specific surgical interventions in patients with degenerative lumbar spondylolisthesis (DLS) who underwent lumbar fusion surgery (LFS), with a focus on analyzing predictors of postoperative restoration of segmental lumbar lordosis (SLL). METHODS: A retrospective review at a single center identified consecutive single-level DLS patients who underwent LFS between 2016 and 2022. Radiographic measures included disc angle (DA), SLL, lumbar lordosis (LL), anterior/posterior disc height (ADH/PDH), spondylolisthesis percentage (SP), intervertebral disc degeneration, and paraspinal muscle quality. Surgery-related measures included cage position, screw insertion depth, spondylolisthesis reduction rate, and disc height restoration rate. A change in SLL &gt;/= 4 degrees indicated increased segmental lumbar lordosis (ISLL), and unincreased segmental lumbar lordosis (UISLL) &lt; 4 degrees . Propensity score matching was employed for a 1:1 match between ISLL and UISLL patients based on age, gender, body mass index, smoking status, and osteoporosis condition. RESULTS: A total of 192 patients with an average follow-up of 20.9 months were enrolled. Compared to UISLL patients, ISLL patients had significantly lower pre-op DA (6.78 degrees vs. 11.84 degrees ), SLL (10.73 degrees vs. 18.24 degrees ), LL (42.59 degrees vs. 45.75 degrees ), and ADH (10.09 mm vs. 12.21 mm) (all, P &lt; 0.05). ISLL patients were predisposed to more severe intervertebral disc degeneration (P = 0.047) and higher SP (21.30% vs. 19.39%, P = 0.019). The cage was positioned more anteriorly in ISLL </w:t>
      </w:r>
      <w:r w:rsidRPr="00637692">
        <w:rPr>
          <w:rFonts w:ascii="Times New Roman" w:hAnsi="Times New Roman" w:cs="Times New Roman"/>
          <w:noProof/>
          <w:sz w:val="24"/>
        </w:rPr>
        <w:lastRenderedPageBreak/>
        <w:t>patients (67.00% vs. 60.08%, P = 0.000), with more extensive reduction of spondylolisthesis (- 73.70% vs. - 56.16%, P = 0.000) and higher restoration of ADH (33.34% vs. 8.11%, P = 0.000). Multivariate regression showed that lower pre-op SLL (OR 0.750, P = 0.000), more anterior cage position (OR 1.269, P = 0.000), and a greater spondylolisthesis reduction rate (OR 0.965, P = 0.000) significantly impacted SLL restoration. CONCLUSIONS: Pre-op SLL, cage position, and spondylolisthesis reduction rate were identified as significant predictors of SLL restoration after LFS for DLS. Surgeons are advised to meticulously select patients based on pre-op SLL and strive to position the cage more anteriorly while minimizing spondylolisthesis to maximize SLL restoration.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Wang, T., et al. (2012). "[Impacts on biomechanics of senile osteoporosis of kidney deficiency pattern treated with acupuncture and Tuina therapy]." </w:t>
      </w:r>
      <w:r w:rsidRPr="00637692">
        <w:rPr>
          <w:rFonts w:ascii="Times New Roman" w:hAnsi="Times New Roman" w:cs="Times New Roman"/>
          <w:noProof/>
          <w:sz w:val="24"/>
          <w:u w:val="single"/>
        </w:rPr>
        <w:t>Zhongguo Zhen Jiu</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32</w:t>
      </w:r>
      <w:r w:rsidRPr="00637692">
        <w:rPr>
          <w:rFonts w:ascii="Times New Roman" w:hAnsi="Times New Roman" w:cs="Times New Roman"/>
          <w:noProof/>
          <w:sz w:val="24"/>
        </w:rPr>
        <w:t>(8): 685-688.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explore the mechanism on senile osteoporosis of kidney deficiency pattern in the prevention and treatment with acupuncture and Tuina therapy. METHODS: Sixty-four cases were randomized into an acupuncture and Tuina therapy group (group A, 34 cases) and a calcium carbonate group (group B, 30 cases). In group A, the patients were treated with acupuncture at the distal acupoints and Tuina therapy in the local area. Acupuncture was applied to bilateral Weizhong (BL 40) and Taixi (KI 3). Tuina therapy was given </w:t>
      </w:r>
      <w:r w:rsidRPr="00637692">
        <w:rPr>
          <w:rFonts w:ascii="Times New Roman" w:hAnsi="Times New Roman" w:cs="Times New Roman"/>
          <w:noProof/>
          <w:sz w:val="24"/>
        </w:rPr>
        <w:lastRenderedPageBreak/>
        <w:t>in the lumbar region. Totally 30 treatments were required. In group B, the Calcium Carbonate D3 were prescribed for oral administration, continuously for 12 weeks. The changes in lumbar curvature, lumbar lordosis index, sacral inclination angle, lumbosacral angle, L5 vertebral index and L3 vertebral index of lumbar biomechanical indices were observed and compared before and after treatment in two groups. RESULTS: In group A, the lumbar lordosis index and sacral inclination angle were increased after treatment, indicating the statistical significant differences before and after treatment (P &lt; 0.05, P &lt; 0.01). The improvement of lumbar lordosis index in group A was superior to that in group B [(19.59 +/- 19.16)mm vs (14.47 +/- 13.28)mm, P &lt; 0.05]. After treatment, in group B, L5 vertebral index was improved as compared with that before treatment (P &lt; 0.05). It was required to have a study on the reasons of its lumbar morphological change. CONCLUSION: The acupuncture and Tuina therapy regulate the lumbar biomechanical structure through the positive stress stimulation and reconstruct the mechanical equilibrium of the lumbar vertebra. It plays the active significance in the prevention and treatment of osteoporosis.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Wang, T., et al. (2019). "Comparison of 2 Surgeries in Correction of Severe Kyphotic Deformity Caused by Ankylosing Spondylitis: Vertebral Column Decancellation and Pedicle Subtraction Osteotomy." </w:t>
      </w:r>
      <w:r w:rsidRPr="00637692">
        <w:rPr>
          <w:rFonts w:ascii="Times New Roman" w:hAnsi="Times New Roman" w:cs="Times New Roman"/>
          <w:noProof/>
          <w:sz w:val="24"/>
          <w:u w:val="single"/>
        </w:rPr>
        <w:t>World Neurosurg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127</w:t>
      </w:r>
      <w:r w:rsidRPr="00637692">
        <w:rPr>
          <w:rFonts w:ascii="Times New Roman" w:hAnsi="Times New Roman" w:cs="Times New Roman"/>
          <w:noProof/>
          <w:sz w:val="24"/>
        </w:rPr>
        <w:t>: e972-e978.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compare the treatment results between 1-level vertebral column decancellation (VCD) and pedicle subtraction osteotomy (PSO) for </w:t>
      </w:r>
      <w:r w:rsidRPr="00637692">
        <w:rPr>
          <w:rFonts w:ascii="Times New Roman" w:hAnsi="Times New Roman" w:cs="Times New Roman"/>
          <w:noProof/>
          <w:sz w:val="24"/>
        </w:rPr>
        <w:lastRenderedPageBreak/>
        <w:t>correcting severe kyphotic deformity in ankylosing spondylitis (AS). VCD and PSO have been used to correct AS-related kyphotic deformity, but the differences on correcting results between VCD and PSO are not clear. METHODS: Between 2013 and 2015, 57 patients underwent 1-level spinal osteotomy (VCD: n = 30; PSO: n = 27) for correcting kyphotic deformity. Sagittal parameters, fusion results, surgical information, and clinical outcomes were documented and compared. All data were obtained before and 1 week after surgery, 6 months after surgery, and at final follow-up (at least 2 years). RESULTS: VCD provided significantly greater osteotomy angle (50.8 degrees +/- 9.7 degrees ) than PSO (38.5 degrees +/- 6.1 degrees ). In the VCD group, the change of the anterior column was 5.0 +/- 1.3 mm, which was larger than the PSO group. The middle column was shortened by 9.9 +/- 2.0 mm and 19.1 +/- 3.3 mm in the VCD group and PSO group, respectively. There was no significant difference in operating time and blood loss between the 2 groups. All cases had solid fusion. Between the 2 groups, Scoliosis Research Society Outcomes Instrument-22 scores were similar at the final follow-up. No major acute complications occurred in both groups. CONCLUSIONS: VCD is a safe and effective method in treating rigid kyphotic deformity secondary to AS. VCD provides a larger correction angle in one segment and preserves more height of osteotomized vertebrae than PSO.</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Wang, Z. W., et al. (2020). "Cervical Flexion Osteotomy through One-Stage Posterior-</w:t>
      </w:r>
      <w:r w:rsidRPr="00637692">
        <w:rPr>
          <w:rFonts w:ascii="Times New Roman" w:hAnsi="Times New Roman" w:cs="Times New Roman"/>
          <w:noProof/>
          <w:sz w:val="24"/>
        </w:rPr>
        <w:lastRenderedPageBreak/>
        <w:t xml:space="preserve">Anterior-Posterior Approach for Cervical Extension Deformity in Ankylosing Spondylitis: A Novel Surgical Technique." </w:t>
      </w:r>
      <w:r w:rsidRPr="00637692">
        <w:rPr>
          <w:rFonts w:ascii="Times New Roman" w:hAnsi="Times New Roman" w:cs="Times New Roman"/>
          <w:noProof/>
          <w:sz w:val="24"/>
          <w:u w:val="single"/>
        </w:rPr>
        <w:t>Orthop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12</w:t>
      </w:r>
      <w:r w:rsidRPr="00637692">
        <w:rPr>
          <w:rFonts w:ascii="Times New Roman" w:hAnsi="Times New Roman" w:cs="Times New Roman"/>
          <w:noProof/>
          <w:sz w:val="24"/>
        </w:rPr>
        <w:t>(3): 1005-1009.</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The present study was to introduce a new surgical technique of cervical flexionosteotomy, with an emphasis on the clinical and radiographic outcomes. Two male patients aged 45 and 21 years presented with cervical extension deformity in ankylosing spondylitis (AS). Both patients exhibited upward deviation of the forward gaze. The chin brow vertical angle (CBVA) were 15 degrees upward and 5 degrees downward, respectively; and the sagittal vertical axis (SVA) were-13.2mm and 195.7mm, respectively. Aposterior transverse release was performed at C(7) -T(1) , exposing the theca and C8 nerve roots to facilitate closure of theosteotomy site. Then, an anterior closing-wedgeosteotomy of C(7) -T(1) was performed followed with anterior internal fixation with a locking plate to prevent any translation. After closure and anterior fixation, patients were returned to the proneposition, and posterior screw-rod instrumentation was used for further stabilization. The follow-up periods were 20 and 10 months, respectively. At the last follow-up, CBVA and SVA of Patient 1 were 14 degrees downwardand -12.6mm; and CBVA and SVA of Patient 2 were 1 degrees downward and 75.6mm respectively, indicating the visual angle and sagittal balance were significantly improved. No intraoperative or postoperative complications were encountered. Full-spine radiographs of each patient at the last visit confirmed successfulbony union. The present study was the first report introducing a novel flexion osteotomy for cervical extension </w:t>
      </w:r>
      <w:r w:rsidRPr="00637692">
        <w:rPr>
          <w:rFonts w:ascii="Times New Roman" w:hAnsi="Times New Roman" w:cs="Times New Roman"/>
          <w:noProof/>
          <w:sz w:val="24"/>
        </w:rPr>
        <w:lastRenderedPageBreak/>
        <w:t>deformity in AS through a posterior-anterior-posterior approach inone-stage. The improved forward gaze and no complications demonstrated the effectiveness and safety of the novel technique, suggesting that it might provide a more feasible method for the correction of cervical extension deformity.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Worrill, N. A. and C. K. Peterson (1997). "Effect of anterior wedging of L1 on the measurement of lumbar lordosis: comparison of two roentgenological methods." </w:t>
      </w:r>
      <w:r w:rsidRPr="00637692">
        <w:rPr>
          <w:rFonts w:ascii="Times New Roman" w:hAnsi="Times New Roman" w:cs="Times New Roman"/>
          <w:noProof/>
          <w:sz w:val="24"/>
          <w:u w:val="single"/>
        </w:rPr>
        <w:t>J Manipulative Physiol Ther</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20</w:t>
      </w:r>
      <w:r w:rsidRPr="00637692">
        <w:rPr>
          <w:rFonts w:ascii="Times New Roman" w:hAnsi="Times New Roman" w:cs="Times New Roman"/>
          <w:noProof/>
          <w:sz w:val="24"/>
        </w:rPr>
        <w:t>(7): 459-467.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determine whether the choice of either the superior or inferior endplate of the L1 vertebra as the proximal landmark for the measurement of lumbar lordosis could significantly affect the categorization (i.e., hypo- or hyperlordotic or normal) of that lordosis in subjects where the L1 vertebra is wedged anteriorly. DESIGN: Concurrent validity. SETTING: The Anglo-European College of Chiropractic teaching clinic. SELECTION: A total of 260 files were screened from new patient files at the clinic dating from the year 1980 onward. A total of 96 films fulfilled the inclusion criteria, which were: the patient was 20-50 yr old at the time of presentation, and had no evidence of severe degeneration, scoliosis or bony deformity, and the quality of the radiograph was not poor. Wedging of the L1 vertebra in excess of 2 mm was measured in 70 radiographs; these films were used for the two measurements of lumbar lordosis. OUTCOME MEASURES: The lumbar lordosis was roentgenometrically measured on lateral lumbar radiographs. RESULTS: </w:t>
      </w:r>
      <w:r w:rsidRPr="00637692">
        <w:rPr>
          <w:rFonts w:ascii="Times New Roman" w:hAnsi="Times New Roman" w:cs="Times New Roman"/>
          <w:noProof/>
          <w:sz w:val="24"/>
        </w:rPr>
        <w:lastRenderedPageBreak/>
        <w:t>Seventy-three per cent of the X-rays meeting the inclusion criteria showed wedging of the L1 vertebra in excess of 2 mm. Using the Student's t test, the mean lumbar lordosis, measured using the superior endplate of L1 as the proximal boundary for measurement of the lordotic angle, was 52.0 +/- 11.82 degrees and was significantly lower (p &lt; .0001) than the mean lumbar lordosis measured using the inferior endplate of L1, which was 59.06 +/- 12.01 degrees. The Kappa analysis performed to determine the level of agreement in the categorization of the lumbar lordosis using these two methods indicated that, statistically (K = .394), there was poor agreement in the categorization of the lumbar lordosis between the two methods. An intraexaminer reliability study indicated significant intraexaminer agreement using both methods. CONCLUSION: The choice of landmark (i.e., superior or inferior endplate of L1) can significantly affect the value of the lumbar lordosis angle and its subsequent categorization as hypo-/hyperlordotic or normal in patients where this vertebra is wedged anteriorly. In view of the high incidence of this anatomical variant, L1 might not necessarily represent the best choice of landmark for the measurement of the lumbar lordosis. However, further work is necessary to determine which method is the most accurate and to investigate the validity of the suggestion that L2 may be a reasonable alternative.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Wu, L., et al. (2024). Lumbar Spinal Stenosis. </w:t>
      </w:r>
      <w:r w:rsidRPr="00637692">
        <w:rPr>
          <w:rFonts w:ascii="Times New Roman" w:hAnsi="Times New Roman" w:cs="Times New Roman"/>
          <w:noProof/>
          <w:sz w:val="24"/>
          <w:u w:val="single"/>
        </w:rPr>
        <w:t>StatPearls</w:t>
      </w:r>
      <w:r w:rsidRPr="00637692">
        <w:rPr>
          <w:rFonts w:ascii="Times New Roman" w:hAnsi="Times New Roman" w:cs="Times New Roman"/>
          <w:noProof/>
          <w:sz w:val="24"/>
        </w:rPr>
        <w:t>. Treasure Island (FL).</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Spine Anatomy Collectively, the spine has an anterior and a posterior region </w:t>
      </w:r>
      <w:r w:rsidRPr="00637692">
        <w:rPr>
          <w:rFonts w:ascii="Times New Roman" w:hAnsi="Times New Roman" w:cs="Times New Roman"/>
          <w:noProof/>
          <w:sz w:val="24"/>
        </w:rPr>
        <w:lastRenderedPageBreak/>
        <w:t xml:space="preserve">(see Image. Lumbar Vertebral Anatomy). The cylindrical vertebral bodies comprise the anterior spine, separated by intervertebral (IV) disks and held in place by the anterior and posterior longitudinal ligaments. The IV disks have the gelatinous nucleus pulposus in the middle, surrounded by the cartilaginous annulus fibrosus (see Image. Intervertebral Disk). The cervical and lumbar spinal segments have the largest IV disks, owing to these regions' mobility. The anterior spine is a shock absorber of bodily movements. The vertebral arches and processes constitute the posterior spine. Each vertebral arch has an anterior pair of cylindrical pedicles and a posterior pair of laminae (see Image. Lumbar Vertebra, Superoposterior View). Other structures emanating from the vertebral arch include 2 lateral transverse processes, 1 posterior process, and 2 superior and 2 inferior articular facets. Facet joints form from superior and inferior facet apposition. The spinal canal, which houses the spinal cord, is formed by the vertebral bodies and IV disks anteriorly and vertebral arches posteriorly. The nerve roots exit superior to their corresponding vertebral body through the intervertebral canal. The ligamentum flavum (yellow ligament) is a thick, fibrous structure passing between adjacent laminae. The lateral recess is an anatomic space in the posterior spine bounded anteriorly by the vertebral body and disk, posteriorly by the ligamentum flavum and vertebral arch, laterally by the pedicle, and medially by the thecal sac. This region is narrow and is a potential area of nerve root compression. The posterior spine has various functions, including spinal cord and nerve root protection and muscle and </w:t>
      </w:r>
      <w:r w:rsidRPr="00637692">
        <w:rPr>
          <w:rFonts w:ascii="Times New Roman" w:hAnsi="Times New Roman" w:cs="Times New Roman"/>
          <w:noProof/>
          <w:sz w:val="24"/>
        </w:rPr>
        <w:lastRenderedPageBreak/>
        <w:t>ligament support. Lumbar Spinal Stenosis Lumbar spinal stenosis (LSS) is the narrowing of the lumbar vertebra in the central canal, lateral recess, or neural foraminal areas. Central canal stenosis may compress the thecal sac and bilateral spinal segments and thus, in the severe form, may produce bilateral symptoms. Lateral recess and neural foraminal stenosis may compress the nerve roots and produce unilateral lumbar radiculopathy symptoms. Central stenosis arises from anterior ligamentum flavum hypertrophy compounded by posterior disk bulging. This condition is more prevalent at the L4 to L5 level than other spinal segments. Meanwhile, lateral recess stenosis results from facet arthropathy and osteophyte formation, compressing the nerve before it passes the intervertebral foramen. Foraminal stenosis is due to disk height loss, foraminal disk protrusion, or osteophyte formation. These changes impinge on the nerve root inside the intervertebral foramen. Extraforaminal stenosis is usually due to far lateral disk herniation. This condition compresses the nerve root after exiting the intervertebral foramen laterally. LSS is a significant cause of disability in older individuals and a common spinal surgery indication in patients older than 65 years. Henk Verbiest first described relative and absolute spinal stenosis as lumbar canal midsagittal diameter of less than 12 mm and 10 mm, respectively. However, LSS clinical and radiologic diagnostic criteria have not been established despite this condition's global prevalence. Thus, this clinical entity has no universally accepted definition.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lastRenderedPageBreak/>
        <w:t xml:space="preserve">Wu, P. H., et al. (2020). "Uniportal Full Endoscopic Posterolateral Transforaminal Lumbar Interbody Fusion with Endoscopic Disc Drilling Preparation Technique for Symptomatic Foraminal Stenosis Secondary to Severe Collapsed Disc Space: A Clinical and Computer Tomographic Study with Technical Note." </w:t>
      </w:r>
      <w:r w:rsidRPr="00637692">
        <w:rPr>
          <w:rFonts w:ascii="Times New Roman" w:hAnsi="Times New Roman" w:cs="Times New Roman"/>
          <w:noProof/>
          <w:sz w:val="24"/>
          <w:u w:val="single"/>
        </w:rPr>
        <w:t>Brain Sci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10</w:t>
      </w:r>
      <w:r w:rsidRPr="00637692">
        <w:rPr>
          <w:rFonts w:ascii="Times New Roman" w:hAnsi="Times New Roman" w:cs="Times New Roman"/>
          <w:noProof/>
          <w:sz w:val="24"/>
        </w:rPr>
        <w:t>(6).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Severe collapsed disc secondary to degenerative spinal conditions leads to significant foraminal stenosis. We hypothesized that uniportal posterolateral transforaminal lumbar interbody fusion with endoscopic disc drilling technique could be safely applied to the collapsed disc space to improve patients' pain score, restore disc height, and correct the segmental angular parameters. METHODS: We included patients who met the indication criteria for lumbar fusion and underwent uniportal full endoscopic posterolateral transforaminal lumbar interbody fusion with pre-operative Computer Tomography mid disc height of less than or equal to 5 mm and MRI of Grade 3 Foraminal Stenosis. Visual analogue scale and computer tomography pre-operative and post-operative sagittal disc height in the anterior, middle and posterior part of the disc; sagittal focal segmental angle; mid coronal disc height and coronal wedge angles were evaluated. RESULTS: 30 levels of Endo-TLIF were included, with a mean follow up of 12 months. The mean improvement in decreasing pain score was 2.5 +/- 1.1, 3.2 +/- 0.9 and 4.3 +/- 1.0 at 1 week post operation, 3 months post operation and at final follow up, respectively, p &lt; 0.05. There was significant increase in mid sagittal computer tomographic anterior, middle and posterior disc height of 6.99 +/- 2.30, 6.28 +/- 1.44, 5.12 +/- 1.79 </w:t>
      </w:r>
      <w:r w:rsidRPr="00637692">
        <w:rPr>
          <w:rFonts w:ascii="Times New Roman" w:hAnsi="Times New Roman" w:cs="Times New Roman"/>
          <w:noProof/>
          <w:sz w:val="24"/>
        </w:rPr>
        <w:lastRenderedPageBreak/>
        <w:t>mm respectively, p &lt; 0.05. CT mid coronal disc height showed an increase of 7.13 +/- 1.90 mm, p &lt; 0.05. There was a significant improvement in the CT coronal wedge angle of 2.35 +/- 4.73 and the CT segmental focal sagittal angle of 1.98 +/- 4.69, p &lt; 0.05. CONCLUSION: Application of Uniportal Endoscopic Posterolateral Lumbar Interbody Fusion in patients with severe foraminal stenosis secondary to severe collapsed disc space significantly relieved patients' pain and restored disc height without early subsidence or exiting nerve root dysesthesia in our cohort of patients.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Yu, B., et al. (2006). "Corrective surgery of congenital scoliosis with type II split spinal cord malformation." </w:t>
      </w:r>
      <w:r w:rsidRPr="00637692">
        <w:rPr>
          <w:rFonts w:ascii="Times New Roman" w:hAnsi="Times New Roman" w:cs="Times New Roman"/>
          <w:noProof/>
          <w:sz w:val="24"/>
          <w:u w:val="single"/>
        </w:rPr>
        <w:t>Chin Med Sci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21</w:t>
      </w:r>
      <w:r w:rsidRPr="00637692">
        <w:rPr>
          <w:rFonts w:ascii="Times New Roman" w:hAnsi="Times New Roman" w:cs="Times New Roman"/>
          <w:noProof/>
          <w:sz w:val="24"/>
        </w:rPr>
        <w:t>(1): 48-52.</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investigate the corrective results of congenital scoliosis with type II split spinal cord malformation. METHODS: By reviewing the medical records and roentgenograms of congenital scoliosis patients with type II split spinal cord malformation that underwent corrective surgery, septum location and length, curve type, coronal and sagittal Cobb's angles, apical vertebral rotation and translation, and trunk shift were measured and analyzed. RESULTS: A total of 23 congenital scoliosis patients with type II split spinal cord malformation were studied, 6 cases were due to failure of segmentation, 8 cases due to failure of formation, and the remaining 9 cases due to mixed defects. The fibrous septums were located in the thoracic spine in 8 patients, lumbar spine in 4 patients, thoracic and lumbar spine in 10 patients, and from cervical to lumbar </w:t>
      </w:r>
      <w:r w:rsidRPr="00637692">
        <w:rPr>
          <w:rFonts w:ascii="Times New Roman" w:hAnsi="Times New Roman" w:cs="Times New Roman"/>
          <w:noProof/>
          <w:sz w:val="24"/>
        </w:rPr>
        <w:lastRenderedPageBreak/>
        <w:t>spine in 1 patient The septum extended an average of 4.9 segments. Corrective surgeries included anterior correction with instrumentation in 2 patients, posterior correction with instrumentation in 11 patients, anterior release and posterior correction with instrumentation in 6 patients, anterior and posterior resection of the hemivertebra and posterior correction with instrumentation in 4 patients. The pre- and postoperative coronal Cobb's angles, apical vertebral translations, apical vertebral rotations, trunk shifts were 61.9 degrees and 32.5 degrees (P &lt; 0.001), 48.9 mm and 31.5 mm (P &lt; 0.001), 1.2 and 1.1, 12.7 mm and 8.2 mm, respectively. The average correction rate of coronal Cobb's angle was 47.5%. The sagittal balance was also well improved. The fibrous septums were all left in situ. There was no neurological complication. CONCLUSION: For congenital scoliosis with type II split spinal cord malformation, positive correction results with no neurological complication may be obtained without resection of the fibrous septum.</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Zencica, P., et al. (2010). "[Adjacent segment degeneration after lumbosacral fusion in spondylolisthesis: a retrospective radiological and clinical analysis]." </w:t>
      </w:r>
      <w:r w:rsidRPr="00637692">
        <w:rPr>
          <w:rFonts w:ascii="Times New Roman" w:hAnsi="Times New Roman" w:cs="Times New Roman"/>
          <w:noProof/>
          <w:sz w:val="24"/>
          <w:u w:val="single"/>
        </w:rPr>
        <w:t>Acta Chir Orthop Traumatol Cech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77</w:t>
      </w:r>
      <w:r w:rsidRPr="00637692">
        <w:rPr>
          <w:rFonts w:ascii="Times New Roman" w:hAnsi="Times New Roman" w:cs="Times New Roman"/>
          <w:noProof/>
          <w:sz w:val="24"/>
        </w:rPr>
        <w:t>(2): 124-130.</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OF THE STUDY: Whereas the posterior lumbar interbody fusion (PLIF) technique with pedicle screw fixation has shown satisfactory clinical results, solid fusion has been reported to accelerate degenerative changes at adjacent unfused levels, especially at the cranial level. The aim of this </w:t>
      </w:r>
      <w:r w:rsidRPr="00637692">
        <w:rPr>
          <w:rFonts w:ascii="Times New Roman" w:hAnsi="Times New Roman" w:cs="Times New Roman"/>
          <w:noProof/>
          <w:sz w:val="24"/>
        </w:rPr>
        <w:lastRenderedPageBreak/>
        <w:t xml:space="preserve">retrospective study was to evaluate a group of patients with adjacent segment disease (ASD) developed after 360-degrees lumbar fusion for spondylolisthesis performed by PLIF with transpedicular fixation and posterolateral fusion (PLF).Radiographic examinations were focused on the origin or progression of degenerative changes at the adjacent segments after the operation, with statistical evaluation of some parameters. Clinical evaluations included back pain or neurologic symptomatology which emerged later in the post-operative period in patients with adjacent segment degeneration. MATERIAL: The authors performed a retrospective analysis on a group of 91 patients (49 females, 42 males) with isthmic, degenerative or dysplastic spondylolisthesis at the L4-L5 level who had undergone the PLIF technique on L4/L5 or L5/S1 with transpedicular fixation surgery and PLF in the period from 1990 to 2001. Isthmic spondylolisthesis was observed in 70 patients, degenerative or dysplastic forms were found in 14 and 7 patients, respectively.The patients were operated on at 40.8 years on average, and were followed-up for an average of 6.1 years. Seven patients had isthmic, two had degenerative and one had dysplastic spondylolisthesis. METHODS: The data for the patients with ASD were obtained retrospectively, based on radiographic examinations and clinical sequential follow-up examinations. The radiographs were analysed with regard to degeneration at the adjacent levels pre- operatively, immediately after surgery and at the time of the last follow-up visit. The origin or progression of L3-L4, L4-5 or L5-S1 segment degeneration was defined, as a condition giving rise to </w:t>
      </w:r>
      <w:r w:rsidRPr="00637692">
        <w:rPr>
          <w:rFonts w:ascii="Times New Roman" w:hAnsi="Times New Roman" w:cs="Times New Roman"/>
          <w:noProof/>
          <w:sz w:val="24"/>
        </w:rPr>
        <w:lastRenderedPageBreak/>
        <w:t xml:space="preserve">segmental instability (defined by White and Panjabi), significant disc herniation, spinal stenosis, disc narrowing or slippage (spondylolisthesis or retrolisthesis), on the basis of a comparison with the pre-operative and post-fusion lateral radiographs, those before additional surgery and at the time of the last follow-up. The following sagittal parameters were measured and compared: lumbar lordosis (L1-S1); distal lordosis (L4-S1) segmental lordosis--the slip angle (SA) at the fused and the adjacent segment, respectively; sacral slope (SS) and slippage (SLIP). The correlation and regression analyses were used for the statistical evaluation of angular characteristics. The results were statistically analysed using MINITAB statistical software. Functional disability was measured by the Oswestry disability index (ODI) questionnaire and pain was assessed using a 100-mm VAS. RESULTS: Of the 91 patients, symptomatic adjacent segment disease developed from a previously asymptomatic level in 10 (11%) patients. Their mean age at the time of initial surgery was 42.8 years and the mean follow-up period was 8.7 years. The mean period between the initial surgery and the onset of adjacent segment degeneration was 3.8 years. In every case fusion involved the use of autologous bone graft and, with the PLIF technique, cages were used in three, bone dowels in six and an autofibular graft in one patient The patients of this group frequently had more than one degenerative process. Four patients had signs of instability abo- ve the fusion and seven patients showed degeneration which was above the fusion in four and below it in three. The degenerative changes included spinal canal stenosis due </w:t>
      </w:r>
      <w:r w:rsidRPr="00637692">
        <w:rPr>
          <w:rFonts w:ascii="Times New Roman" w:hAnsi="Times New Roman" w:cs="Times New Roman"/>
          <w:noProof/>
          <w:sz w:val="24"/>
        </w:rPr>
        <w:lastRenderedPageBreak/>
        <w:t xml:space="preserve">to disc herniation and/or facet hypertrophy in four, disc narrowing in five and spondylolisthesis or retrolisthesis in five patients. Clinical deterioration was manifested as progressive back pain in three, back and leg pain in seven and lower extremity paresthesia in two patients. The mean pre- and post-operative values were 50.5% and 28.6% for ODI scores and 7.1 and 3.5 for VAS scores, respectively. At the time of ASD, the ODI value was 39% and the VAS was 5.2. The four patients with instability in the cranial adjacent segment successfully underwent additional surgery by 360-degree instrumented fusion (anterior lumbar interbody fusion--ALIF in three patients and PLIF with decompression in one patient). No statistically significant correlations were revealed by the comparison of radiological angular characteristics before surgery, after it and at the onset of ADS. DISCUSSION: On X-ray images obtained prior to surgery, signs of hypermobility in the cranial adjacent segment were present in one patient. This hypermobility affected the rigidity of fusion in the caudal segment, which accelerated the progress of instability and required further surgery. The subsequent clinical deterioration, which usually develops due to a combination of significant disc degeneration, herniation, degenerative stenosis, segmental instability, spondylolisthesis or retrolistesis at the motion segment adjacent to fusion, is in agreement with the findings presented by the authors using the same surgical technique. CONCLUSIONS: An increased occurrence of degenerative changes and the instability predominately at the level immediately above single-segment instrumented 360-degree fusion with clinical deterioration give </w:t>
      </w:r>
      <w:r w:rsidRPr="00637692">
        <w:rPr>
          <w:rFonts w:ascii="Times New Roman" w:hAnsi="Times New Roman" w:cs="Times New Roman"/>
          <w:noProof/>
          <w:sz w:val="24"/>
        </w:rPr>
        <w:lastRenderedPageBreak/>
        <w:t>support to the view that this is due to increased mechanical stress at the motion segments adjacent to fusion. However, the size of our sample was not large enough to allow us to draw generally valid conclusions from the results of radiological angular characteristics. The causes of instability in younger patients could also include spine overloading, damage to the stability of ligaments and bone structures sustained during the operation, or a combination of both. The authors recommend a permanent reduction in physical activity after lumbar or lumbosacral spinal fusion and, in cases where symptomatic instability or degeneration of the adjacent motion segment is manifested, the use of 360-degree instrumented fusion (ALIF or PLIF), dynamic or semi-rigid stabilisation or total disc replacement. A thorough examination of levels adjacent to the planned spinal fusion will prevent termination of the fusion at the potentially painful segment, with a possibility to use a fusion or combined with dynamic neutralisation at the adjacent segment.</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Zhang, C., et al. (2012). "Spine Bull's-Eye Robot guidewire placement with pedicle standard axis view for thoracic and lumbar pedicle screw fixation." </w:t>
      </w:r>
      <w:r w:rsidRPr="00637692">
        <w:rPr>
          <w:rFonts w:ascii="Times New Roman" w:hAnsi="Times New Roman" w:cs="Times New Roman"/>
          <w:noProof/>
          <w:sz w:val="24"/>
          <w:u w:val="single"/>
        </w:rPr>
        <w:t>J Spinal Disord Tech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25</w:t>
      </w:r>
      <w:r w:rsidRPr="00637692">
        <w:rPr>
          <w:rFonts w:ascii="Times New Roman" w:hAnsi="Times New Roman" w:cs="Times New Roman"/>
          <w:noProof/>
          <w:sz w:val="24"/>
        </w:rPr>
        <w:t>(7): E191-198.</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Prospective. OBJECTIVE: To explore the feasibility and accuracy of thoracic and lumbar pedicle guidewire placement using a newly developed Spine Bull's-Eye Robot with the pedicle standard axis view (PSAV). SUMMARY OF BACKGROUND DATA: Placement of pedicle screws in the </w:t>
      </w:r>
      <w:r w:rsidRPr="00637692">
        <w:rPr>
          <w:rFonts w:ascii="Times New Roman" w:hAnsi="Times New Roman" w:cs="Times New Roman"/>
          <w:noProof/>
          <w:sz w:val="24"/>
        </w:rPr>
        <w:lastRenderedPageBreak/>
        <w:t xml:space="preserve">thoracic spine is considered to be particularly risky surgery and is associated with a relatively high rate of screw misplacement. Use of robot-assisted surgery may improve the accuracy of pedicle screw placement. METHODS: The study included 204 pedicles (T1-L5) from 6 human vertebrae and 5 pedicles from 3 patients. Computed tomographic reconstruction of target vertebrae was performed for surgical planning. Using the PSAV, a guidewire (1.2 mm diameter, 13.5 cm length) was inserted into the "bull's-eye" (the center of the pedicle circular projection) using the remotely operated Spine Bull's-Eye Robot. After surgery, vertebral body axial and lateral radiographs, and computed tomographic scans were used to assess the guidewire trajectory. Planned and actual (postoperative) measures for transverse section angle, sagittal section angle, and the superior/inferior and medial/lateral vertical distances from the entry point were compared. RESULTS: The PSAV was acquired clearly in 203 of 209 (97.1%) pedicles; the guidewire was successfully inserted in each of these pedicles. There were no significant differences between any of the planned and actual (postoperative) measures. All of the pedicles for which guidewire placement was abandoned (because of lack of bull's-eye resolution in the PSAV) were small upper thoracic specimens, exhibiting evidence of decalcification, presumably because of preservation procedures. None of the patients experienced complications associated with guidewire placement. CONCLUSIONS: Use of the Spine Bull's-Eye Robot with PSAV seems be an accurate and feasible approach for guidewire (and thus pedicle screw) </w:t>
      </w:r>
      <w:r w:rsidRPr="00637692">
        <w:rPr>
          <w:rFonts w:ascii="Times New Roman" w:hAnsi="Times New Roman" w:cs="Times New Roman"/>
          <w:noProof/>
          <w:sz w:val="24"/>
        </w:rPr>
        <w:lastRenderedPageBreak/>
        <w:t>placement in the thoracic and lumbar spine.</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Zhang, D., et al. (2018). "Safe placement of pedicle screw in lumbar spine with minimum three year follow-up: a case series and technical note." </w:t>
      </w:r>
      <w:r w:rsidRPr="00637692">
        <w:rPr>
          <w:rFonts w:ascii="Times New Roman" w:hAnsi="Times New Roman" w:cs="Times New Roman"/>
          <w:noProof/>
          <w:sz w:val="24"/>
          <w:u w:val="single"/>
        </w:rPr>
        <w:t>Int Orthop</w:t>
      </w:r>
      <w:r w:rsidRPr="00637692">
        <w:rPr>
          <w:rFonts w:ascii="Times New Roman" w:hAnsi="Times New Roman" w:cs="Times New Roman"/>
          <w:noProof/>
          <w:sz w:val="24"/>
        </w:rPr>
        <w:t xml:space="preserve"> </w:t>
      </w:r>
      <w:r w:rsidRPr="00637692">
        <w:rPr>
          <w:rFonts w:ascii="Times New Roman" w:hAnsi="Times New Roman" w:cs="Times New Roman"/>
          <w:b/>
          <w:noProof/>
          <w:sz w:val="24"/>
        </w:rPr>
        <w:t>42</w:t>
      </w:r>
      <w:r w:rsidRPr="00637692">
        <w:rPr>
          <w:rFonts w:ascii="Times New Roman" w:hAnsi="Times New Roman" w:cs="Times New Roman"/>
          <w:noProof/>
          <w:sz w:val="24"/>
        </w:rPr>
        <w:t>(3): 567-573.</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PURPOSE: This study aims to find a safe and easy-to-perform strategy for lumbar pedicle screw insertion based on anatomical landmarks. METHODS: From March 2011 to January 2012, 74 patients underwent posterior lumbar interbody fusion or transforaminal lumbar interbody fusion using the new-designed screw insertion technique. During the operation, the entry site for screw insertion was on the outer edge of the superior facet joint, 4 mm downward from upper border of processus transversus. A connecting line between superior and inferior facet joints was used to determine the direction of screw insertion. Postoperative radiograph and computed tomography (CT) were taken routinely to show the position of the screws. Functional outcomes were evaluated using Oswestry Disability Index score, Japanese Orthopedic Association score, and Visual Analogue Scale, respectively. RESULTS: Sixty-two patients (27 males and 35 females, average age 58.95 +/- 8.45) finished the follow-up visit with an average of 46.03 months (36-60). The mean operation time and the blood loss were 169.60 +/- 41.21 min and 489.52 +/- 189.38 ml, respectively. A total of 274 pedicle screws were inserted following the new technique. According to Lothar Wiesner's classification, 11 screws (4.01%) </w:t>
      </w:r>
      <w:r w:rsidRPr="00637692">
        <w:rPr>
          <w:rFonts w:ascii="Times New Roman" w:hAnsi="Times New Roman" w:cs="Times New Roman"/>
          <w:noProof/>
          <w:sz w:val="24"/>
        </w:rPr>
        <w:lastRenderedPageBreak/>
        <w:t>caused minor violation into wall, two screws (0.73%) caused moderate violation, and other screws were in proper position. CONCLUSION: A new-designed surgical strategy for pedicle screw insertion of lumbar spine was introduced and performed, which featured a series of original and easily distinguished landmarks. Clinical application demonstrated the safety and effectiveness of this novel technique for pedicle screw insertion.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Zhang, K., et al. (2023). "Application of self-anchored lateral lumbar interbody fusion in lumbar degenerative diseases." </w:t>
      </w:r>
      <w:r w:rsidRPr="00637692">
        <w:rPr>
          <w:rFonts w:ascii="Times New Roman" w:hAnsi="Times New Roman" w:cs="Times New Roman"/>
          <w:noProof/>
          <w:sz w:val="24"/>
          <w:u w:val="single"/>
        </w:rPr>
        <w:t>BMC Musculoskelet Disord</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24</w:t>
      </w:r>
      <w:r w:rsidRPr="00637692">
        <w:rPr>
          <w:rFonts w:ascii="Times New Roman" w:hAnsi="Times New Roman" w:cs="Times New Roman"/>
          <w:noProof/>
          <w:sz w:val="24"/>
        </w:rPr>
        <w:t>(1): 836.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This is a retrospective study. OBJECTIVE: The aim of the study was to evaluate the efficacy of self-anchored lateral lumbar interbody fusion (SA-LLIF) in lumbar degenerative diseases. METHODS: Forty-eight patients with lumbar degenerative disease between January 2019 and June 2020 were enrolled in this study. All patients complained of low back and leg pain, which were aggravated during standing activities and alleviated or disappeared during lying. After general anesthesia, the patient was placed in the right decubitus position. The anterior edge of the psoas major muscle was exposed through an oblique incision of approximately 6 cm, using an extraperitoneal approach. The psoas major muscle was then properly retracted dorsally to expose the disc. After discectomy, a suitable cage filled with autogenous bone graft from the ilium was implanted. Two anchoring plates were inserted separately into the caudal and cranial vertebral bodies to lock the cage. Clinical </w:t>
      </w:r>
      <w:r w:rsidRPr="00637692">
        <w:rPr>
          <w:rFonts w:ascii="Times New Roman" w:hAnsi="Times New Roman" w:cs="Times New Roman"/>
          <w:noProof/>
          <w:sz w:val="24"/>
        </w:rPr>
        <w:lastRenderedPageBreak/>
        <w:t xml:space="preserve">efficacy was evaluated using the visual analog scale (VAS) and Oswestry Disability Index (ODI). Lumbar lordosis, intervertebral disc height, spondylolisthesis rate, cage subsidence and fusion rate were also recorded. RESULTS: A total of 48 patients were enrolled in this study, including 20 males and 28 females, aged 61.4 +/- 7.3 (range 49-78) years old. Surgery was successfully performed in all patients. Lumbar stenosis and instability were observed in 22 cases, disc degenerative disease in eight cases, degenerative spondylolisthesis in nine cases, degenerative scoliosis in six cases, and postoperative revision in three cases. In addition, five patients were diagnosed with osteoporosis. The index levels included L2-3 in three patients, L3-4 in 13 patients, L4-5 in 23 patients, L2-4 in three patients, and L3-5 in six patients. The operation time was 81.1 +/- 6.4 (range 65-102) min. Intraoperative blood loss was 39.9 +/- 8.5 (range 15-72) mL. No severe complications occurred, such as nerve or blood vessel injuries. The patients were followed up for 11.7 +/- 2.3 (range 4-18) months. At the last follow-up, the VAS decreased from 6.2 +/- 2.3 to 1.7 +/- 1.1, and the ODI decreased from 48.4% +/- 11.2% to 10.9% +/- 5.5%. Radiography showed satisfactory postoperative spine alignment. No cage displacement was found, but cage subsidence 2-3 mm was found in five patients without obvious symptoms, except transient low back pain in an obese patient. The lumbar lordosis recovered from 36.8 degrees +/- 7.9 degrees to 47.7 degrees +/- 6.8 degrees , and intervertebral disc height recovered from 8.2 +/- 2.0 mm to 11.4 +/- 2.5 mm. The spondylolisthesis rate decreased from 19.9% +/- 4.9% </w:t>
      </w:r>
      <w:r w:rsidRPr="00637692">
        <w:rPr>
          <w:rFonts w:ascii="Times New Roman" w:hAnsi="Times New Roman" w:cs="Times New Roman"/>
          <w:noProof/>
          <w:sz w:val="24"/>
        </w:rPr>
        <w:lastRenderedPageBreak/>
        <w:t>to 9.4% +/- 3.2%. The difference between preoperative and last follow-up was statistically significant (P&lt;0.05). CONCLUSION: SA-LLIF can provide immediate stability and good results for lumbar degenerative diseases with a standalone anchored cage without posterior internal fixation.</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Zhao, S. Z., et al. (2023). "Does the Change of Acetabular Anteversion Result From Lumbar Pedicle Subtraction Osteotomy in Ankylosing Spondylitis-Related Kyphosis After Primary Total Hip Arthroplasty?" </w:t>
      </w:r>
      <w:r w:rsidRPr="00637692">
        <w:rPr>
          <w:rFonts w:ascii="Times New Roman" w:hAnsi="Times New Roman" w:cs="Times New Roman"/>
          <w:noProof/>
          <w:sz w:val="24"/>
          <w:u w:val="single"/>
        </w:rPr>
        <w:t>Global 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13</w:t>
      </w:r>
      <w:r w:rsidRPr="00637692">
        <w:rPr>
          <w:rFonts w:ascii="Times New Roman" w:hAnsi="Times New Roman" w:cs="Times New Roman"/>
          <w:noProof/>
          <w:sz w:val="24"/>
        </w:rPr>
        <w:t>(3): 696-704.</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Retrospective study. OBJECTIVES: To analyze the change in acetabular anteversion (AA) after lumbar pedicle subtraction osteotomy (PSO) in ankylosing spondylitis (AS) patients with thoracolumbar kyphosis who have already undergone total hip arthroplasty (THA). METHODS: AS patients with thoracolumbar kyphosis following lumbar PSO from January 2005 to January 2020 were retrospectively reviewed. Only the patients performed with THA prior to the PSO were included. AA was measured on the full-length standing posterior-anterior radiographs using the ellipse method. RESULTS: Twenty patients (34 hips) with a mean age of 36.8 years (range, 22 to 63 years) were included. After lumbar PSO, AA was reduced from 18.59 degrees to 5.85 degrees (P &lt; 0.001). Postoperative change in AA was correlated with the spinal deformity correction. Additionally, the change in AA postoperatively was correlated with pelvic incidence (PI) (R = 0.346, P = 0.045). Although the postoperative change in sagittal vertical axis (SVA) was larger in the patients </w:t>
      </w:r>
      <w:r w:rsidRPr="00637692">
        <w:rPr>
          <w:rFonts w:ascii="Times New Roman" w:hAnsi="Times New Roman" w:cs="Times New Roman"/>
          <w:noProof/>
          <w:sz w:val="24"/>
        </w:rPr>
        <w:lastRenderedPageBreak/>
        <w:t>after L2 or L3 PSO (153.97 mm vs 70.03 mm, P = 0.006), no difference was found in the postoperative change in AA (12.83 degrees vs 10.96 degrees , P = 0.540) compared with the patients following L1 PSO. CONCLUSIONS: AA was significantly decreased following lumbar PSO and the postoperative change in AA was correlated with the magnitude of spinal deformity correction. Notably, the effect of osteotomy level on the postoperative change in AA was limited in the AS patients underwent 1-level PSO.</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Zhao, S. Z., et al. (2019). "Does solid fusion eliminate rod fracture after pedicle subtraction osteotomy in ankylosing spondylitis-related thoracolumbar kyphosis?" </w:t>
      </w:r>
      <w:r w:rsidRPr="00637692">
        <w:rPr>
          <w:rFonts w:ascii="Times New Roman" w:hAnsi="Times New Roman" w:cs="Times New Roman"/>
          <w:noProof/>
          <w:sz w:val="24"/>
          <w:u w:val="single"/>
        </w:rPr>
        <w:t>Spine J</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19</w:t>
      </w:r>
      <w:r w:rsidRPr="00637692">
        <w:rPr>
          <w:rFonts w:ascii="Times New Roman" w:hAnsi="Times New Roman" w:cs="Times New Roman"/>
          <w:noProof/>
          <w:sz w:val="24"/>
        </w:rPr>
        <w:t>(1): 79-86.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CONTEXT: Rod fracture (RF) has a negative impact on the surgical outcome of patients with ankylosing spondylitis (AS) after lumbar pedicle subtraction osteotomy (PSO). However, there is a paucity of published studies analyzing the risk factors for RF in PSO-treated patients with AS with thoracolumbar kyphosis. PURPOSE: The objective of this study was to investigate the risk factors for RF after PSO for thoracolumbar kyphosis secondary to AS. STUDY DESIGN/SETTING: This is a retrospective single-center study. PATIENT SAMPLE: Patients with AS who underwent PSO for thoracolumbar kyphosis between January 2002 and December 2016 were included. OUTCOME MEASURES: Demographic data, including age, sex, body mass index, and smoking status, were summarized. The surgical data </w:t>
      </w:r>
      <w:r w:rsidRPr="00637692">
        <w:rPr>
          <w:rFonts w:ascii="Times New Roman" w:hAnsi="Times New Roman" w:cs="Times New Roman"/>
          <w:noProof/>
          <w:sz w:val="24"/>
        </w:rPr>
        <w:lastRenderedPageBreak/>
        <w:t xml:space="preserve">analyzed included the levels of osteotomy, the fusion levels, the upper instrumented vertebra, the lower instrumented vertebra, the osteotomy site, the rod material, the rod diameter, and the rod contour angle (RCA). Radiographic parameters included the sagittal vertical axis, thoracic kyphosis, lumbar lordosis, sacral slope, pelvic tilt, and pelvic incidence. Radiographic parameters were measured at baseline, immediately after the operation, and at the final follow-up. Adequate ossification of the anterior longitudinal ligament (ALL) at the PSO level was defined by a total bony bridge. Adequate ossification of the ALL was also measured at baseline, immediately after the operation, and at the final follow-up. METHODS: Patients with a minimum of 2 years' follow-up or patients who developed RF were enrolled in the study. Recruited patients were divided into the RF group and the no-RF group based on whether they developed RF. Patient demographics, operative data, radiographic parameters, and adequate ossification of the ALL were analyzed to determine the risk factors for RF. For patients with RF, the fusion status at the PSO level, the time course to the development of RF, the site of RF, and the corresponding solution were also recorded. RESULTS: Rod fracture occurred in 11 (8.9%) of the 123 recruited patients. Solid fusion at the PSO level was found in all patients in the RF group. The average duration to the onset of RF was 31.4 months (range, 12-68 months). All RFs occurred at or immediately adjacent to the PSO level. The RCA was greater in the RF group than in the no-RF group (27.8 degrees vs 22.9 degrees , p=.031). A greater proportion of patients with a rod diameter of 5.50 </w:t>
      </w:r>
      <w:r w:rsidRPr="00637692">
        <w:rPr>
          <w:rFonts w:ascii="Times New Roman" w:hAnsi="Times New Roman" w:cs="Times New Roman"/>
          <w:noProof/>
          <w:sz w:val="24"/>
        </w:rPr>
        <w:lastRenderedPageBreak/>
        <w:t>mm were found in the RF group than in the no-RF group (100.0% vs 68.8%, p=.033). There was a larger proportion of patients with adequate ossification of the ALL at the final follow-up visit in the no-RF group than in the RF group (67.0% vs 27.3%, p=.018). Multivariate analyses demonstrated that the RCA (odds ratio, 1.174; 95% confidence interval, 1.018-1.354; p=.028) and adequate ossification of the ALL at the final follow-up visit (odds ratio, 0.079; 95% confidence interval, 0.014-0.465; p=.005) were independent factors for RF. Notably, revision surgery was performed among six patients, whereas conservative treatment was used for the remaining five patients. CONCLUSIONS: In patients with AS after PSO for thoracolumbar kyphosis with solid fusion at the PSO level, the incidence of RF was 8.9%. Rod diameter was identified as a risk factor for RF. Furthermore, the RCA was identified as an independent risk factor for RF. In contrast, adequate ossification of the ALL around the PSO level at the final follow-up visit was identified as an independent protective factor for RF.</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Zhao, Y. S., et al. (2022). "[Analysis of early and middle stage efficacy and complications of oblique lumbar interbody fusion in treating degenerative lumbar diseases]." </w:t>
      </w:r>
      <w:r w:rsidRPr="00637692">
        <w:rPr>
          <w:rFonts w:ascii="Times New Roman" w:hAnsi="Times New Roman" w:cs="Times New Roman"/>
          <w:noProof/>
          <w:sz w:val="24"/>
          <w:u w:val="single"/>
        </w:rPr>
        <w:t>Zhongguo Gu Shang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35</w:t>
      </w:r>
      <w:r w:rsidRPr="00637692">
        <w:rPr>
          <w:rFonts w:ascii="Times New Roman" w:hAnsi="Times New Roman" w:cs="Times New Roman"/>
          <w:noProof/>
          <w:sz w:val="24"/>
        </w:rPr>
        <w:t>(2): 142-147.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investigate the early and middle stage efficacy and complications of minimally invasive extraperitoneal oblique lumbar interbody fusion (OLIF) in the treatment of degenerative lumbar diseases. METHODS: </w:t>
      </w:r>
      <w:r w:rsidRPr="00637692">
        <w:rPr>
          <w:rFonts w:ascii="Times New Roman" w:hAnsi="Times New Roman" w:cs="Times New Roman"/>
          <w:noProof/>
          <w:sz w:val="24"/>
        </w:rPr>
        <w:lastRenderedPageBreak/>
        <w:t xml:space="preserve">The clinical data of 22 patients with degenerative lumbar diseases underwent OLIF from October 2017 to March 2019 were retrospectively analyzed, including 14 males and 8 females, aged from 51 to 72 years with an average of (63.15+/-7.22) years. There were 6 cases of lumbar spinal stenosis, 5 cases of lumbar spondylolisthesis, 4 cases of adjacent vertebral disease, 3 cases of degenerative lumbar scoliosis, 3 cases of discogenic low back pain, and 1 case of recurrence after posterior lumbar decompression. Posterior minimally invasive pedicle screw fixation was performed in 13 cases and Stand-alone fixation in 9 cases. Intraoperative blood loss, operation time, postoperative drainage volume, landing time were recorded. The intervertebral disc height(IDH), intervertebral foramen height(IFH), intervertebral foramen area( IFA), canal diameter(CD), canal area(CA) were measured before and after operation. The imaging changes (including location of fusion cage, interbody fusion, and cage subsidence) and complications were observed. Oswestry Disability Index (ODI), numerical rating scales (NRS) and Japanese Orthopaedic Association (JOA) scores were compared before and 3, 6, 12 months after operation. RESULTS: All 22 patients successfully completed the operation. The intraoperative blood loss was 25 to 280 ml with an average of (95.45+/-79.07) ml and that of simple anterior approach was 25 to 70 ml with an average of (45.71+/-15.42) ml. The operation time was 75 to 210 min with an average of (137.72+/-37.66) min, and the simple anterior operation time was 75 to 105 min with an average of (91.40+/-15.96) min. The total drainage </w:t>
      </w:r>
      <w:r w:rsidRPr="00637692">
        <w:rPr>
          <w:rFonts w:ascii="Times New Roman" w:hAnsi="Times New Roman" w:cs="Times New Roman"/>
          <w:noProof/>
          <w:sz w:val="24"/>
        </w:rPr>
        <w:lastRenderedPageBreak/>
        <w:t xml:space="preserve">volume was 10 to 110 ml with an average of (56.23+/-31.15) ml, and the time to go down to the ground was 24 to 72 hours (54.48+/-18.24) hours after operation. Postoperative IDH improved (6.63+/-2.61)mm(P&lt;0.05), the IFH improved (5.35+/-2.47)mm (P&lt;0.05), the IFA improved (97.67+/-33.58)mm(2)(P&lt;0.05), the CD improved (3.31+/-1.61) mm(P&lt;0.05), the CA improved (57.52+/-31.39) mm(2)(P&lt;0.05). Five patients got interbody fusion at 6 months after operation and all 22 patients got interbody fusion at 12 months after operation. There was 5 cases of fusion cage subsidence, all of which occurred in the cases without posterior fixation(using Stand-alone fixation). There was no serious complication such as big blood vessel injury, ureter injury, dural sac injury and nerve root injury. Peritoneal injury occurred in 1 case, postoperative transient thigh pain, decrease of quadriceps femoris muscle strength in 4 cases and sympathetic nerve injury in 1 case. The symptoms of lumbago and radicular pain of lower extremities were alleviated obviously 3 days after operation. The ODI, NRS and JOA scores at 6, 12 months after operation were significantly improved(P&lt;0.05). CONCLUSION: The treatment of lumbar degenerative diseases with definite indications by OLIF can achieve satisfactory clinical results, and it has advantages of less intraoperative bleeding, fast time to land, less complications, good imaging improvement and indirect decompression. But the operation time and fluoroscopy time are longer in the early stage, and complications such as peritoneal injury and lumbar plexus over traction may occur. The long-term incidence of settlement of fusion cage with </w:t>
      </w:r>
      <w:r w:rsidRPr="00637692">
        <w:rPr>
          <w:rFonts w:ascii="Times New Roman" w:hAnsi="Times New Roman" w:cs="Times New Roman"/>
          <w:noProof/>
          <w:sz w:val="24"/>
        </w:rPr>
        <w:lastRenderedPageBreak/>
        <w:t>Stand-alone technology is higher.</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Zheng, G. B., et al. (2022). "A novel technique of transpedicular opening-wedge osteotomy for treatment of rigid kyphosis in patients with ankylosing spondylitis." </w:t>
      </w:r>
      <w:r w:rsidRPr="00637692">
        <w:rPr>
          <w:rFonts w:ascii="Times New Roman" w:hAnsi="Times New Roman" w:cs="Times New Roman"/>
          <w:noProof/>
          <w:sz w:val="24"/>
          <w:u w:val="single"/>
        </w:rPr>
        <w:t>BMC Surg</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22</w:t>
      </w:r>
      <w:r w:rsidRPr="00637692">
        <w:rPr>
          <w:rFonts w:ascii="Times New Roman" w:hAnsi="Times New Roman" w:cs="Times New Roman"/>
          <w:noProof/>
          <w:sz w:val="24"/>
        </w:rPr>
        <w:t>(1): 155.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BACKGROUND: To investigate the effectiveness and feasibility of a novel vertebral osteotomy technique, transpedicular opening-wedge osteotomy (TOWO) was used to correct rigid thoracolumbar kyphotic deformities in patients with ankylosing spondylitis (AS). METHODS: Eighteen AS patients underwent TOWO to correct rigid thoracolumbar kyphosis. Radiographic parameters were compared before surgery, 1 week after surgery and at the last follow-up. The SRS-22 questionnaire was given before surgery and at the last follow-up to evaluate clinical improvement. The operating time, estimated blood loss and complications were analyzed. RESULTS: The mean operating time and estimated blood loss were 236 min and 595 ml, respectively. The mean preoperative sagittal vertical axis (SVA), thoracic kyphosis (TK), pelvic tilt (PT) and thoracolumbar kyphosis (TLK) were 158.97 mm, 51.24 mm, 43.63 mm and 41.74 mm, respectively, and decreased to 66.72 mm, 35.96 mm, 27.21 mm and 8.67 mm at the last follow-up. The mean preoperative lumbar lordosis (LL) and sacral slope (SS) were 8.30 +/- 24.43 mm and 19.67 +/- 9.40 mm, respectively, which increased to 38.23 mm and 28.13 mm at the last follow-up. The mean height of the anterior column of osteotomized vertebrae increased significantly </w:t>
      </w:r>
      <w:r w:rsidRPr="00637692">
        <w:rPr>
          <w:rFonts w:ascii="Times New Roman" w:hAnsi="Times New Roman" w:cs="Times New Roman"/>
          <w:noProof/>
          <w:sz w:val="24"/>
        </w:rPr>
        <w:lastRenderedPageBreak/>
        <w:t>from 25.17 mm preoperatively to 37.59 mm at the last follow, but the height of the middle column did not change significantly. SRS-22 scores were improved significantly at the last follow-up compared with preoperatively. Solid bone union was achieved in all patients after 12 months of follow-up, and no screw loosening, screw removal or rod breakage was noticed at the last follow-up. CONCLUSIONS: TOWO could achieve satisfactory kyphosis correction by opening the anterior column instead of vertebral body decancellation and posterior column closing, thus simplifying the osteotomy procedure and improving surgical efficacy.</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Zhou, T. and Y. Gu (2023). "Percutaneous transforaminal endoscopic surgery (PTES) and mini-incision L5/S1 OLIF with a self-lock cage for the surgical treatment of L5 spondylolisthesis." </w:t>
      </w:r>
      <w:r w:rsidRPr="00637692">
        <w:rPr>
          <w:rFonts w:ascii="Times New Roman" w:hAnsi="Times New Roman" w:cs="Times New Roman"/>
          <w:noProof/>
          <w:sz w:val="24"/>
          <w:u w:val="single"/>
        </w:rPr>
        <w:t>J Orthop Surg Res</w:t>
      </w:r>
      <w:r w:rsidRPr="00637692">
        <w:rPr>
          <w:rFonts w:ascii="Times New Roman" w:hAnsi="Times New Roman" w:cs="Times New Roman"/>
          <w:noProof/>
          <w:sz w:val="24"/>
        </w:rPr>
        <w:t xml:space="preserve"> </w:t>
      </w:r>
      <w:r w:rsidRPr="00637692">
        <w:rPr>
          <w:rFonts w:ascii="Times New Roman" w:hAnsi="Times New Roman" w:cs="Times New Roman"/>
          <w:b/>
          <w:noProof/>
          <w:sz w:val="24"/>
        </w:rPr>
        <w:t>18</w:t>
      </w:r>
      <w:r w:rsidRPr="00637692">
        <w:rPr>
          <w:rFonts w:ascii="Times New Roman" w:hAnsi="Times New Roman" w:cs="Times New Roman"/>
          <w:noProof/>
          <w:sz w:val="24"/>
        </w:rPr>
        <w:t>(1): 527.</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OBJECTIVES: We reported thirteen cases of percutaneous transforaminal endoscopic surgery (PTES) under local anesthesia and mini-incision L5/S1 OLIF (OLIF51) with a self-lock cage for the treatment of L5 spondylolisthesis. METHODS: From Jan 2019 to Feb 2020, the patients with L5 spondylolisthesis with nerve root symptoms undergoing PTES and OLIF51 were included in this study. PTES under local anesthesia was performed in a prone position, and OLIF51 with a self-lock cage and allograft was then undertaken through a left abdominal mini-incision and oblique retroperitoneal approach between bilateral iliac vessels with the external oblique, internal oblique and transverse </w:t>
      </w:r>
      <w:r w:rsidRPr="00637692">
        <w:rPr>
          <w:rFonts w:ascii="Times New Roman" w:hAnsi="Times New Roman" w:cs="Times New Roman"/>
          <w:noProof/>
          <w:sz w:val="24"/>
        </w:rPr>
        <w:lastRenderedPageBreak/>
        <w:t xml:space="preserve">abdominal muscles bluntly separated in turn for L5/S1 in a right oblique position under general anesthesia. Back and leg pain were preoperatively and postoperatively evaluated using the VAS, and the clinical outcomes were evaluated with the ODI before surgery and at the 2-year follow-up. The anterior and posterior intervertebral space height (AISH, PISH), lumbar lordotic, and surgical segmental lordotic angle (SLA) were measured on lumbar spine X-rays preoperatively and postoperatively. The fusion status was assessed according to Bridwell's fusion grades. RESULTS: Thirteen cases of L5 spondylolisthesis were included. The operation duration was 49.1 +/- 5.6 min for PTES and 73.6 +/- 8.2 min for OLIF. There was blood loss of 25 (15-45) ml. The incision length was 7.5 +/- 1.1 mm for PTES and 46.8 +/- 3.8 mm for OLIF. The hospital stay was 5 (4-6) days, and the follow-up duration was 29 (24-37) months. For the clinical evaluation, the VAS of back and leg pain significantly dropped after surgery (p &lt; 0.001), and the ODI significantly decreased from 64.7 +/- 7.8% to 12.9 +/- 4.3% 2 years after surgery (p &lt; 0.001). AISH, PISH and SLA significantly improved after surgery (p &lt; 0.05). Fusion grades based on the Bridwell grading system at the 2-year follow-up were grade I in 9 segments (69.2%) and grade II in 4 segments (30.8%). No patients had any form of permanent iatrogenic nerve damage or major complications. No failure of instruments was observed. CONCLUSIONS: PTES and mini-incision OLIF51 with a self-lock cage is a viable option of minimally invasive surgery for L5 spondylolisthesis, which can achieve direct neurologic decompression, </w:t>
      </w:r>
      <w:r w:rsidRPr="00637692">
        <w:rPr>
          <w:rFonts w:ascii="Times New Roman" w:hAnsi="Times New Roman" w:cs="Times New Roman"/>
          <w:noProof/>
          <w:sz w:val="24"/>
        </w:rPr>
        <w:lastRenderedPageBreak/>
        <w:t>satisfactory fusion and hardly destroys the rectus abdominis and its sheath, paraspinal muscles and bone structures.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Zhu, F., et al. (2014). "Misplacement pattern of pedicle screws in pediatric patients with spinal deformity: a computed tomography study." </w:t>
      </w:r>
      <w:r w:rsidRPr="00637692">
        <w:rPr>
          <w:rFonts w:ascii="Times New Roman" w:hAnsi="Times New Roman" w:cs="Times New Roman"/>
          <w:noProof/>
          <w:sz w:val="24"/>
          <w:u w:val="single"/>
        </w:rPr>
        <w:t>J Spinal Disord Tech</w:t>
      </w:r>
      <w:r w:rsidRPr="00637692">
        <w:rPr>
          <w:rFonts w:ascii="Times New Roman" w:hAnsi="Times New Roman" w:cs="Times New Roman"/>
          <w:noProof/>
          <w:sz w:val="24"/>
        </w:rPr>
        <w:t xml:space="preserve"> </w:t>
      </w:r>
      <w:r w:rsidRPr="00637692">
        <w:rPr>
          <w:rFonts w:ascii="Times New Roman" w:hAnsi="Times New Roman" w:cs="Times New Roman"/>
          <w:b/>
          <w:noProof/>
          <w:sz w:val="24"/>
        </w:rPr>
        <w:t>27</w:t>
      </w:r>
      <w:r w:rsidRPr="00637692">
        <w:rPr>
          <w:rFonts w:ascii="Times New Roman" w:hAnsi="Times New Roman" w:cs="Times New Roman"/>
          <w:noProof/>
          <w:sz w:val="24"/>
        </w:rPr>
        <w:t>(8): 431-435.</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STUDY DESIGN: A retrospective study. OBJECTIVE: To assess the accuracy and safety of the placement of pedicle screws (PSs) on pediatric patients with congenital scoliosis younger than 10 years through postoperative computed tomography scanning. SUMMARY OF BACKGROUND DATA: The accuracy of the placement of PSs in adolescent and adult population with various spinal problems has been thoroughly studied. As to pediatric patients with congenital scoliosis, the related studies were inadequate. METHODS: A retrospective review was carried out on 96 pediatric patients with congenital scoliosis younger than 10 years, who received posterior instrumentation from February 2006 to June 2012. Postoperative computed tomography scan was utilized to assess the accuracy of PS placement. Pedicle perforations were classified as medial, lateral, or anterior and categorized into 1 of the 4 grades: grade 1, &lt;/=2 mm; grade 2, 2.1-4.0 mm; grade 3, 4.1-6.0 mm; and grade 4, &gt;/=6.1 mm. The positions of screws were also classified as acceptable (fully contained screws or with screws either &lt;/=2 mm of medial wall perforation or &lt;/=6 mm of lateral wall perforation and without impingement of visceral organs) or unacceptable. The variables of PS position as defined by fully contained were statistically </w:t>
      </w:r>
      <w:r w:rsidRPr="00637692">
        <w:rPr>
          <w:rFonts w:ascii="Times New Roman" w:hAnsi="Times New Roman" w:cs="Times New Roman"/>
          <w:noProof/>
          <w:sz w:val="24"/>
        </w:rPr>
        <w:lastRenderedPageBreak/>
        <w:t xml:space="preserve">examined using the Fisher (2-tailed) exact test with regard to: (1) side of the curvature (convex or concave); (2) region (thoracic or lumbar); (3) magnitude of the curvature (&lt;80 or &gt;/=80 degrees); (4) apical region and overall; (5) deformed vertebrae versus normal vertebrae. RESULTS: A total of 625 screws were inserted; 512 screws (81.9%) were fully contained within the cortical boundaries of the pedicle. Five hundred and sixty-nine (91.0%) screws were regarded as acceptably positioned, whereas 56 (9.0%) as unacceptably positioned. Among the 625 screws inserted, 317 were inserted in the thoracic spine, of which 67 (21.1%) led to perforations, and 308 screws were inserted in the lumbar spine, of which 46 (14.9%) led to perforations. The breach rate was found to be higher in thoracic spine than in the lumbar spine (P&lt;0.05). Of the 625 screws inserted, 306 screws were inserted on the concave side of the curve, of which 50 (16.3%) led to perforations, and 319 were inserted on the convex side, of which 63 (19.7%) led to perforations. There is no difference with regard to the breach rates between the concave side and the convex side of the curve (P&gt;0.05). Of the 625 screws, 328 were inserted in patients with a Cobb angle &lt;80 degrees, of which 41 (12.5%) screws perforated the pedicles, and 297 screws were inserted in the patients with a Cobb angle &gt;80 degrees, of which 72 (24.2%) screws perforated the pedicles. The breach rate was higher in the patients with the Cobb angle &gt;80 degrees than in the patients with the Cobb angle &lt;80 degrees (P&lt;0.05). One hundred and fifty-four screws were inserted in the apical vertebrae, of which 57 (37.1%) screws perforated the pedicle walls. </w:t>
      </w:r>
      <w:r w:rsidRPr="00637692">
        <w:rPr>
          <w:rFonts w:ascii="Times New Roman" w:hAnsi="Times New Roman" w:cs="Times New Roman"/>
          <w:noProof/>
          <w:sz w:val="24"/>
        </w:rPr>
        <w:lastRenderedPageBreak/>
        <w:t>The breach rate in apical vertebrae was higher than the overall (55/154 vs. 113/625) (P&lt;0.05). Among the 625 screws, 252 screws were inserted in the deformed vertebrae, of which 58 (23.0%) perforated the pedicle walls, and 373 screws were inserted in the normal vertebrae, of which 55 (14.7%) perforated the pedicle walls. The breach rate in the deformed vertebrae was higher than the normal vertebrae (P&lt;0.05). CONCLUSIONS: PSs insertion in pediatric patients with congenital scoliosis was less accurate than that in adult patients. However, the safety of placement was quite satisfactory. The possibility of pedicle breaching increased when placing PSs at deformed vertebra, on the apex of the curve, and in the thoracic spine, which reminds surgeons to be more cautious when placing PSs in these regions.</w:t>
      </w:r>
    </w:p>
    <w:p w:rsidR="00F8660A" w:rsidRPr="00637692" w:rsidRDefault="00F8660A" w:rsidP="00637692">
      <w:pPr>
        <w:pStyle w:val="EndNoteBibliography"/>
        <w:spacing w:line="480" w:lineRule="auto"/>
        <w:rPr>
          <w:rFonts w:ascii="Times New Roman" w:hAnsi="Times New Roman" w:cs="Times New Roman"/>
          <w:noProof/>
          <w:sz w:val="24"/>
        </w:rPr>
      </w:pPr>
    </w:p>
    <w:p w:rsidR="00F8660A" w:rsidRPr="00637692" w:rsidRDefault="00F8660A" w:rsidP="00637692">
      <w:pPr>
        <w:pStyle w:val="EndNoteBibliography"/>
        <w:spacing w:line="480" w:lineRule="auto"/>
        <w:rPr>
          <w:rFonts w:ascii="Times New Roman" w:hAnsi="Times New Roman" w:cs="Times New Roman"/>
          <w:noProof/>
          <w:sz w:val="24"/>
        </w:rPr>
      </w:pPr>
      <w:r w:rsidRPr="00637692">
        <w:rPr>
          <w:rFonts w:ascii="Times New Roman" w:hAnsi="Times New Roman" w:cs="Times New Roman"/>
          <w:noProof/>
          <w:sz w:val="24"/>
        </w:rPr>
        <w:t xml:space="preserve">Zhu, J. G., et al. (2022). "[Efficacy observation of long-segment pedicle screw reduction and internal fixation combined with kyphoplasty in the treatment of stage </w:t>
      </w:r>
      <w:r w:rsidRPr="00637692">
        <w:rPr>
          <w:rFonts w:ascii="宋体" w:eastAsia="宋体" w:hAnsi="宋体" w:cs="宋体" w:hint="eastAsia"/>
          <w:noProof/>
          <w:sz w:val="24"/>
        </w:rPr>
        <w:t>Ⅲ</w:t>
      </w:r>
      <w:r w:rsidRPr="00637692">
        <w:rPr>
          <w:rFonts w:ascii="Times New Roman" w:hAnsi="Times New Roman" w:cs="Times New Roman"/>
          <w:noProof/>
          <w:sz w:val="24"/>
        </w:rPr>
        <w:t xml:space="preserve"> reducible Kummell disease]." </w:t>
      </w:r>
      <w:r w:rsidRPr="00637692">
        <w:rPr>
          <w:rFonts w:ascii="Times New Roman" w:hAnsi="Times New Roman" w:cs="Times New Roman"/>
          <w:noProof/>
          <w:sz w:val="24"/>
          <w:u w:val="single"/>
        </w:rPr>
        <w:t>Zhonghua Wai Ke Za Zhi</w:t>
      </w:r>
      <w:r w:rsidRPr="00637692">
        <w:rPr>
          <w:rFonts w:ascii="Times New Roman" w:hAnsi="Times New Roman" w:cs="Times New Roman"/>
          <w:noProof/>
          <w:sz w:val="24"/>
        </w:rPr>
        <w:t xml:space="preserve"> </w:t>
      </w:r>
      <w:r w:rsidRPr="00637692">
        <w:rPr>
          <w:rFonts w:ascii="Times New Roman" w:hAnsi="Times New Roman" w:cs="Times New Roman"/>
          <w:b/>
          <w:noProof/>
          <w:sz w:val="24"/>
        </w:rPr>
        <w:t>60</w:t>
      </w:r>
      <w:r w:rsidRPr="00637692">
        <w:rPr>
          <w:rFonts w:ascii="Times New Roman" w:hAnsi="Times New Roman" w:cs="Times New Roman"/>
          <w:noProof/>
          <w:sz w:val="24"/>
        </w:rPr>
        <w:t>(3): 230-236.</w:t>
      </w:r>
    </w:p>
    <w:p w:rsidR="00F8660A" w:rsidRPr="00637692" w:rsidRDefault="00F8660A" w:rsidP="00637692">
      <w:pPr>
        <w:pStyle w:val="EndNoteBibliography"/>
        <w:spacing w:line="480" w:lineRule="auto"/>
        <w:ind w:left="720" w:hanging="720"/>
        <w:rPr>
          <w:rFonts w:ascii="Times New Roman" w:hAnsi="Times New Roman" w:cs="Times New Roman"/>
          <w:noProof/>
          <w:sz w:val="24"/>
        </w:rPr>
      </w:pPr>
      <w:r w:rsidRPr="00637692">
        <w:rPr>
          <w:rFonts w:ascii="Times New Roman" w:hAnsi="Times New Roman" w:cs="Times New Roman"/>
          <w:noProof/>
          <w:sz w:val="24"/>
        </w:rPr>
        <w:tab/>
        <w:t xml:space="preserve">Objective: To investigate the clinical efficacy of long-segment pedicle screw reduction and internal fixation combined with kyphoplasty in the treatment of stage </w:t>
      </w:r>
      <w:r w:rsidRPr="00637692">
        <w:rPr>
          <w:rFonts w:ascii="宋体" w:eastAsia="宋体" w:hAnsi="宋体" w:cs="宋体" w:hint="eastAsia"/>
          <w:noProof/>
          <w:sz w:val="24"/>
        </w:rPr>
        <w:t>Ⅲ</w:t>
      </w:r>
      <w:r w:rsidRPr="00637692">
        <w:rPr>
          <w:rFonts w:ascii="Times New Roman" w:hAnsi="Times New Roman" w:cs="Times New Roman"/>
          <w:noProof/>
          <w:sz w:val="24"/>
        </w:rPr>
        <w:t xml:space="preserve"> reducible Kummell disease. Methods: The clinical data of 32 patients with stage </w:t>
      </w:r>
      <w:r w:rsidRPr="00637692">
        <w:rPr>
          <w:rFonts w:ascii="宋体" w:eastAsia="宋体" w:hAnsi="宋体" w:cs="宋体" w:hint="eastAsia"/>
          <w:noProof/>
          <w:sz w:val="24"/>
        </w:rPr>
        <w:t>Ⅲ</w:t>
      </w:r>
      <w:r w:rsidRPr="00637692">
        <w:rPr>
          <w:rFonts w:ascii="Times New Roman" w:hAnsi="Times New Roman" w:cs="Times New Roman"/>
          <w:noProof/>
          <w:sz w:val="24"/>
        </w:rPr>
        <w:t xml:space="preserve"> reducible Kummell disease treated at the Department of Orthopedics, Sir Run Run Shaw Hospital, Zhejiang University College of Medicine from January 2012 to March 2017 were analyzed retrospectively.There were 7 males and 25 females,aged (71.8+/-</w:t>
      </w:r>
      <w:r w:rsidRPr="00637692">
        <w:rPr>
          <w:rFonts w:ascii="Times New Roman" w:hAnsi="Times New Roman" w:cs="Times New Roman"/>
          <w:noProof/>
          <w:sz w:val="24"/>
        </w:rPr>
        <w:lastRenderedPageBreak/>
        <w:t xml:space="preserve">6.7)years(range:61 to 86 years).The injured segment was T(10) in 1 patient,T(11) in 8 patients,T(12) in 13 patients,L(1) in 7 patients,L(2) in 2 patients and L(3) in 1 patient.Preoperative American spinal injury association(ASIA) classification of patients all showed grade D.Bone mineral density (BMD),spinal X-ray,CT and MRI were examined before operation.All patients were treated with postural reduction, long-segment pedicle screw reduction and internal fixation combined with kyphoplasty.The operation time,intraoperative blood loss,length of stay and postoperative complications were recorded.The visual analogue scale (VAS) and Oswestry dysfunction index (ODI) as well as the BMD of hip were collected before and after operation.The Cobb angle of involved segment kyphosis and the height of anterior edge of diseased vertebrae were measured before operation,3 days and 12 months after operation.CT-related parameters were measured before and 3 days after operation,including sagittal anterior and posterior diameter of spinal canal,cross-sectional anterior and posterior diameter of spinal canal and cross-sectional spinal canal area.Paired sample t test and repeated measures were used to compare the data before and after operation. Results: All patients received the operation successfully.The operation time was (131.3+/-16.9) minutes (range:95 to 180 minutes),the blood loss was (82.5+/-27.1) ml (range:50 to 150 ml),and the length of stay was (8.3+/-2.4) days (range:5 to 14 days).All patients were followed up for more than 12 months.The VAS decreased gradually at 3 days,3 months,6 months and 12 months after operation,and the differences were </w:t>
      </w:r>
      <w:r w:rsidRPr="00637692">
        <w:rPr>
          <w:rFonts w:ascii="Times New Roman" w:hAnsi="Times New Roman" w:cs="Times New Roman"/>
          <w:noProof/>
          <w:sz w:val="24"/>
        </w:rPr>
        <w:lastRenderedPageBreak/>
        <w:t xml:space="preserve">statistically significant compared with the VAS before surgery (all P&lt;0.01).ODI at 3,6 and 12 months after surgery was significantly improved compared with that before surgery(All P&lt;0.01).The CT-related parameters at 3 days after operation were significantly higher than those before operation (All P&lt;0.05).At 12 months after surgery,the Cobb angle decreased from (35.2+/-7.6) degrees preoperatively to (4.3+/-1.7) degrees (t=22.630,P&lt;0.01),the height of anterior edge of diseased vertebrae increased from (4.3+/-1.0) mm preoperatively to (16.9+/-2.5) mm(t=-25.845,P&lt;0.01),the bone mineral density of hip increased from -(2.2+/-0.6) preoperatively to -(2.8+/-0.6)(t=-0.040,P&lt;0.01).Up to the last follow-up,2 patients had distal pedicle screw loosening, 1 patient had proximal junctional kyphosis,and there was no new vertebral fracture. Conclusions: Based on postural reduction,long-segment pedicle screw reduction and internal fixation combined with kyphoplasty is a safe and effective treatment method for stage </w:t>
      </w:r>
      <w:r w:rsidRPr="00637692">
        <w:rPr>
          <w:rFonts w:ascii="宋体" w:eastAsia="宋体" w:hAnsi="宋体" w:cs="宋体" w:hint="eastAsia"/>
          <w:noProof/>
          <w:sz w:val="24"/>
        </w:rPr>
        <w:t>Ⅲ</w:t>
      </w:r>
      <w:r w:rsidRPr="00637692">
        <w:rPr>
          <w:rFonts w:ascii="Times New Roman" w:hAnsi="Times New Roman" w:cs="Times New Roman"/>
          <w:noProof/>
          <w:sz w:val="24"/>
        </w:rPr>
        <w:t xml:space="preserve"> reducible Kummell disease,which can reconstruct the stability of the diseased vertebrae.Postoperative standard anti-osteoporosis treatment is the basis to ensure the efficacy.</w:t>
      </w:r>
    </w:p>
    <w:p w:rsidR="00F8660A" w:rsidRPr="00637692" w:rsidRDefault="00F8660A" w:rsidP="00637692">
      <w:pPr>
        <w:pStyle w:val="EndNoteBibliography"/>
        <w:spacing w:line="480" w:lineRule="auto"/>
        <w:rPr>
          <w:rFonts w:ascii="Times New Roman" w:hAnsi="Times New Roman" w:cs="Times New Roman"/>
          <w:noProof/>
          <w:sz w:val="24"/>
        </w:rPr>
      </w:pPr>
    </w:p>
    <w:tbl>
      <w:tblPr>
        <w:tblW w:w="8300" w:type="dxa"/>
        <w:tblLook w:val="04A0" w:firstRow="1" w:lastRow="0" w:firstColumn="1" w:lastColumn="0" w:noHBand="0" w:noVBand="1"/>
      </w:tblPr>
      <w:tblGrid>
        <w:gridCol w:w="1411"/>
        <w:gridCol w:w="6889"/>
      </w:tblGrid>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Abbas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Degenerative lumbar spinal stenosis and lumbar spine configuration (Abbas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Abu-Leil et al. (2016)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Morphometric analysis of lumbar intervertebral discs and vertebral bodies in degenerative spondylolisthesis (Abu-Leil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Adams &amp; </w:t>
            </w:r>
            <w:r w:rsidRPr="00637692">
              <w:rPr>
                <w:rFonts w:ascii="Times New Roman" w:eastAsia="DengXian" w:hAnsi="Times New Roman" w:cs="Times New Roman"/>
                <w:color w:val="000000"/>
                <w:sz w:val="24"/>
              </w:rPr>
              <w:lastRenderedPageBreak/>
              <w:t>Dolan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 xml:space="preserve"> Origins of intervertebral disk degeneration in the upper and lower </w:t>
            </w:r>
            <w:r w:rsidRPr="00637692">
              <w:rPr>
                <w:rFonts w:ascii="Times New Roman" w:eastAsia="DengXian" w:hAnsi="Times New Roman" w:cs="Times New Roman"/>
                <w:color w:val="000000"/>
                <w:sz w:val="24"/>
              </w:rPr>
              <w:lastRenderedPageBreak/>
              <w:t>lumbar spine (Adams &amp; Dolan,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Albano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Segmented lordotic angles to assess lumbosacral transitional vertebra (Albano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Ashraf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Discussion of lumbar lordosis in mechanical back pain (Ashraf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Bach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Analysis of lumbar disc height using CT imaging (Bach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Bachmann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Lumbosacral takeoff angle to predict postoperative lumbar Cobb angle (Bachmann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Bae &amp; Mun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 of lumbar lordotic angle on the lumbosacral joint during exercise (Bae &amp; Mun,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Been &amp; Kalichman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lordosis, its measurements, and associated spinal conditions like spondylolysis (Been &amp; Kalichman,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Been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lordosis in extinct hominins (Been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Benneker et al. (2005)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of MRI and radiographic parameters to morphological assessment of disc degeneration (Benneker et al., 2005).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Bob-Manuel &amp; Adheke </w:t>
            </w:r>
            <w:r w:rsidRPr="00637692">
              <w:rPr>
                <w:rFonts w:ascii="Times New Roman" w:eastAsia="DengXian" w:hAnsi="Times New Roman" w:cs="Times New Roman"/>
                <w:color w:val="000000"/>
                <w:sz w:val="24"/>
              </w:rPr>
              <w:lastRenderedPageBreak/>
              <w:t>(2023)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 xml:space="preserve"> Relationship between age and lumbosacral angle in adult Nigerians.</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Calvo-Echenique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Intervertebral disc degeneration study using a rabbit model combining mechanical and imaging techniques.</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Canbay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Posterior dynamic stabilization in degenerative disc disease.</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Cao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Spino-pelvic alignment improvement after kyphoplasty for vertebral fractures.</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Cegonino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Model of the annulus of human intervertebral disc and degeneration's influence on lumbar spine functioning.</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Cetin et al. (2023)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Comparison between herniated and non-herniated disc levels regarding disc space height.</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Cetin et al. (2023)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Comparison between herniated and non-herniated disc levels regarding intervertebral disc space height and degeneration.</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Chalian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Prediction of transitional lumbosacral anatomy on MRI (Chalian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Chang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Relationship between disc height and postoperative neck pain (Chang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Chang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Segmental lumbar lordotic angle analysis in low back pain patients (Chang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Chen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Five-year follow-up of the Wallis dynamic stabilization system for lumbar degenerative disease (Chen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Cho et al. (2009)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Arthrodesis to L5 versus S1 in lumbar scoliosis (Cho et al., 2009).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Cho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Anterior lumbar interbody fusion study assessing disc height (Cho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Choi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Evaluation of disc height changes post-anterior cervical discectomy (Choi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Chosa et al. (2004)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Analysis of the effect of lumbar spine fusion on the superior adjacent intervertebral disc using finite element method (Chosa et al., 2004).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Chun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The relationship between low back pain and lumbar lordosis (Chun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Colloca et al. (2009)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Validation of a noninvasive dynamic spinal stiffness assessment methodology in an animal model (Colloca et al., 2009).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Cui et al. (2016)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Diagnosis of lumbar disc degeneration with T1p, T2 mapping, and DWI (Cui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Curry et al. (2016)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spine endplate fractures and biomechanical effects of spinal alignment (Curry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Dagistan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The superiority of plain radiography to MRI in determining lumbar lordosis angles in disc herniation (Dagistan,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Dai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Risk factors for vertebral compression fractures after vertebroplasty (Dai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Descamps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Vertebral compression fractures treated by instrumented kyphoplasty (Descamps et al., 2019).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Ding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Disc degeneration and bone density in degenerative lumbar scoliosis (Ding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Dreischarf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Biomechanics of the L5-S1 motion segment after total disc replacement (Dreischarf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Endo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Sagittal spinal alignment in lumbar disc herniation (Endo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Eremina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Development of a computational model of mechanical behavior of L4-L5 lumbar spine and application to disc degeneration (Eremina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Fan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analysis of early adjacent disc degeneration after lumbar fusion (Fan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Fang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Outcomes of percutaneous kyphoplasty under local anesthesia for osteoporotic vertebral fractures (Fang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Farshad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 reliable measurement for identifying a lumbosacral transitional vertebra (Farshad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Fenty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Use of disc height as a biomarker for degenerative disc disease (Fenty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Filiz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lordosis increment and its effect on gait deterioration in Duchenne Muscular Dystrophy (Filiz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Fyllos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morphometry of adult lumbar intervertebral space (Fyllos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Gu et al. </w:t>
            </w:r>
            <w:r w:rsidRPr="00637692">
              <w:rPr>
                <w:rFonts w:ascii="Times New Roman" w:eastAsia="DengXian" w:hAnsi="Times New Roman" w:cs="Times New Roman"/>
                <w:color w:val="000000"/>
                <w:sz w:val="24"/>
              </w:rPr>
              <w:lastRenderedPageBreak/>
              <w:t>(2020)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 xml:space="preserve"> Degeneration of lumbar discs significantly decreases spine/hip ROM </w:t>
            </w:r>
            <w:r w:rsidRPr="00637692">
              <w:rPr>
                <w:rFonts w:ascii="Times New Roman" w:eastAsia="DengXian" w:hAnsi="Times New Roman" w:cs="Times New Roman"/>
                <w:color w:val="000000"/>
                <w:sz w:val="24"/>
              </w:rPr>
              <w:lastRenderedPageBreak/>
              <w:t>ratio in avascular necrosis patients before THA (Gu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Guo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Preoperative lymphocyte to monocyte ratio as a biomarker for disease severity and fusion failure in lumbar degeneration (Guo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Habibi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Lumbosacral sagittal alignment and its association with intervertebral disc diseases (Habibi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Hagiwara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evaluation of L5-S1 intervertebral disc degeneration in Japanese women (Hagiwara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Hangai et al. (2008)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Factors associated with lumbar disc degeneration in the elderly (Hangai et al., 2008).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Harmawan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Relationship between intervertebral disc height and Pfirrmann'S degenerative degree (Harmawan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Hartwig et al. (1997)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Degeneration patterns in MRI of the lumbar spine in occupational disease (Hartwig et al., 1997).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Hioki et al. (2005)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Double-level posterior lumbar fusion outcomes and restoration of lordosis (Hioki et al., 2005).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Hong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Does the lordotic angle of cage determine lumbar lordosis in lumbar interbody fusion? (Hong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Hu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Effects of intervertebral disc degeneration on biomechanics behavior characteristics of L4-L5 under vertical load (Hu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Huang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Quantitative evaluation of lumbar intervertebral disc degeneration by axial T2* mapping (Huang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Hussain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Progressive disc degeneration at C5-C6 and its effect on posterior disc heights (Hussain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Hwang et al. (2009)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Measurement of lumbar lordosis using fluoroscopic images and reflective markers (Hwang et al., 2009).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Iencean (2000)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intervertebral disc herniation following experimental intradiscal pressure increase (Iencean, 2000).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Iida et al. (2002)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Effects of aging and degeneration on lumbar posterior ligaments (Iida et al., 2002).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Imagama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Radiographic adjacent segment degeneration at 5 years after L4/5 posterior lumbar interbody fusion (Imagama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Inami et al. (2016)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Optimum pelvic incidence minus lumbar lordosis value for individuals (Inami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Janamiri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Evaluation of lumbosacral angle in patients with chronic low back pain (Janamiri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Ji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Intervertebral disc degeneration associated with vertebral marrow fat (Ji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Jiang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Minimum 5-year follow-up of multi-segmental lumbar degenerative disease treated with discectomy and the Wallis interspinous device (Jiang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Junlian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Study on L5-S1 intervertebral space measurement for diagnosing lumbar disc disease (Junlian,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Kaiser et al. </w:t>
            </w:r>
            <w:r w:rsidRPr="00637692">
              <w:rPr>
                <w:rFonts w:ascii="Times New Roman" w:eastAsia="DengXian" w:hAnsi="Times New Roman" w:cs="Times New Roman"/>
                <w:color w:val="000000"/>
                <w:sz w:val="24"/>
              </w:rPr>
              <w:lastRenderedPageBreak/>
              <w:t>(2018)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 xml:space="preserve"> Association of bone mineral density and disc height with age and </w:t>
            </w:r>
            <w:r w:rsidRPr="00637692">
              <w:rPr>
                <w:rFonts w:ascii="Times New Roman" w:eastAsia="DengXian" w:hAnsi="Times New Roman" w:cs="Times New Roman"/>
                <w:color w:val="000000"/>
                <w:sz w:val="24"/>
              </w:rPr>
              <w:lastRenderedPageBreak/>
              <w:t>degeneration (Kaiser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Kaito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Induction of early degeneration after posterior lumbar interbody fusion by excessive distraction of lumbar disc space (Kaito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Kalichman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Association between CT-evaluated lumbar lordosis and spinal degeneration (Kalichman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Kang et al. (2023)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The fate of pre-existing L5-S1 degeneration following OLIF at L4-L5 (Kang et al., 2023).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Kapoor et al. (2023)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Apparent diffusion coefficient and T2* mapping in lumbar discs (Kapoor et al., 2023).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Karabekir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vertebra morphometry and stereological assessment of intervertebral space volumetry (Karabekir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Kim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Comparative analysis of sagittal spinopelvic alignment between young and old men without localized disc degeneration (Kim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Kim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IL-1</w:t>
            </w:r>
            <w:r w:rsidRPr="00637692">
              <w:rPr>
                <w:rFonts w:ascii="Times New Roman" w:eastAsia="DengXian" w:hAnsi="Times New Roman" w:cs="Times New Roman"/>
                <w:color w:val="000000"/>
                <w:sz w:val="24"/>
              </w:rPr>
              <w:t>尾</w:t>
            </w:r>
            <w:r w:rsidRPr="00637692">
              <w:rPr>
                <w:rFonts w:ascii="Times New Roman" w:eastAsia="DengXian" w:hAnsi="Times New Roman" w:cs="Times New Roman"/>
                <w:color w:val="000000"/>
                <w:sz w:val="24"/>
              </w:rPr>
              <w:t xml:space="preserve"> promotes disc degeneration and inflammation in a rat lumbar disc herniation model (Kim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Kocyigit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Comparison of sagittal lumbosacral parameters in ankylosing spondylitis patients.</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Kokkonen et al. (2002)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Endplate degeneration and pain correlation in lumbar spine (Kokkonen et al., 2002).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Kolf et al. </w:t>
            </w:r>
            <w:r w:rsidRPr="00637692">
              <w:rPr>
                <w:rFonts w:ascii="Times New Roman" w:eastAsia="DengXian" w:hAnsi="Times New Roman" w:cs="Times New Roman"/>
                <w:color w:val="000000"/>
                <w:sz w:val="24"/>
              </w:rPr>
              <w:lastRenderedPageBreak/>
              <w:t>(2016)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 xml:space="preserve"> T2* mapping of intervertebral discs in cervical and lumbar spine </w:t>
            </w:r>
            <w:r w:rsidRPr="00637692">
              <w:rPr>
                <w:rFonts w:ascii="Times New Roman" w:eastAsia="DengXian" w:hAnsi="Times New Roman" w:cs="Times New Roman"/>
                <w:color w:val="000000"/>
                <w:sz w:val="24"/>
              </w:rPr>
              <w:lastRenderedPageBreak/>
              <w:t>(Kolf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Kumar et al. (2008)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Disc changes in bridged and adjacent segments after Dynesys dynamic stabilization (Kumar et al., 2008).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Kundakci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Evaluation of the facet joints in patients with disc degeneration and spondylolisthesis (Kundakci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Kunkel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Relationship between disc height and vertebral body height in thoracic spine (Kunkel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hAnsi="Times New Roman" w:cs="Times New Roman"/>
                <w:sz w:val="24"/>
              </w:rPr>
            </w:pPr>
            <w:r w:rsidRPr="00637692">
              <w:rPr>
                <w:rFonts w:ascii="Times New Roman" w:hAnsi="Times New Roman" w:cs="Times New Roman"/>
                <w:color w:val="5E5E5E"/>
                <w:sz w:val="24"/>
                <w:shd w:val="clear" w:color="auto" w:fill="FFFFFF"/>
              </w:rPr>
              <w:t>Kyrölä</w:t>
            </w:r>
          </w:p>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Sagittal alignment and spinopelvic parameters in degenerative spinal disorders.</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Le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Degenerative disc disease and its effects on biomechanics after anterior lumbar interbody fusion (Le et al., 2019).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Lee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Study on disc height changes following anterior cervical discectomy (Lee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Degeneration of lumbar paraspinal muscles and its association with spinopelvic alignment in osteoporotic vertebral compression fracture (Li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Liao et al. (2009)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Outcome of the L5-S1 segment after posterior instrumented spinal surgery (Liao et al., 2009).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Liao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Surgical outcomes of degenerative spondylolisthesis with L5-S1 disc degeneration (Liao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Liu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Application of MR DWI and DTI in lumbar intervertebral disc </w:t>
            </w:r>
            <w:r w:rsidRPr="00637692">
              <w:rPr>
                <w:rFonts w:ascii="Times New Roman" w:eastAsia="DengXian" w:hAnsi="Times New Roman" w:cs="Times New Roman"/>
                <w:color w:val="000000"/>
                <w:sz w:val="24"/>
              </w:rPr>
              <w:lastRenderedPageBreak/>
              <w:t>prophase degeneration (Liu,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Liu et al. (2009)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Intervertebral disc degeneration related to reduced vertebral marrow perfusion at dynamic contrast-enhanced MRI (Liu et al., 2009).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Liu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analysis of disc degeneration after implantation of an interspinous spacer (Liu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Liu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Radiological analysis of thoracolumbar degenerative kyphosis (Liu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Liu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Application study of 3D LAVA-Flex on lumbar intervertebral disc degeneration (Liu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Lotfinia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Efficacy of anterior cervical discectomy on adjacent disc height (Lotfinia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Louie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Stand-alone lateral lumbar interbody fusion for adjacent segment degeneration following previous lumbar fusion (Louie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Luo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Risk factors for adjacent vertebral fractures post-spinal fusion (Luo et al., 2019).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Luo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Model for predicting vertebral collapse following compression fractures (Luo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Luo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Analysis of disc degeneration in patients with ossification of the posterior longitudinal ligament (Luo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Luoma et al. (2001)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Disc height and signal intensity of the nucleus pulposus as indicators of lumbar disc degeneration (Luoma et al., 2001).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Mansur et </w:t>
            </w:r>
            <w:r w:rsidRPr="00637692">
              <w:rPr>
                <w:rFonts w:ascii="Times New Roman" w:eastAsia="DengXian" w:hAnsi="Times New Roman" w:cs="Times New Roman"/>
                <w:color w:val="000000"/>
                <w:sz w:val="24"/>
              </w:rPr>
              <w:lastRenderedPageBreak/>
              <w:t>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 xml:space="preserve"> MRI-based study of lumbar intervertebral disc height (Mansur et al., </w:t>
            </w:r>
            <w:r w:rsidRPr="00637692">
              <w:rPr>
                <w:rFonts w:ascii="Times New Roman" w:eastAsia="DengXian" w:hAnsi="Times New Roman" w:cs="Times New Roman"/>
                <w:color w:val="000000"/>
                <w:sz w:val="24"/>
              </w:rPr>
              <w:lastRenderedPageBreak/>
              <w:t>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Maquer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Biomechanical assessment of lumbar vertebral bodies and discs (Maquer,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Maroudas et al. (1975)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Factors involved in lumbar disc degeneration related to vertebral nutrition (Maroudas et al., 1975).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Mesregah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Evaluation of facet joints and segmental motion in patients with different grades of L5/S1 intervertebral disc degeneration (Mesregah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Middendorp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Association between intervertebral disc degeneration and the Oswestry Disability Index (Middendorp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Mu et al. (2023)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Adjacent segmental facet joint degeneration and its effect on adjacent segment disease after lumbar fusion (Mu et al., 2023).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Mukherjee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Lumbosacral angle variations in middle-aged patients with chronic low back pain (Mukherjee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Murata et al. (2002)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Changes in scoliotic curvature and lordotic angle during degenerative lumbar scoliosis (Murata et al., 2002).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Nakashima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Adjacent segment disease after posterior lumbar interbody fusion A 10-year follow-up (Nakashima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Nakipoglu et al. (2008)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Biomechanics of the lumbosacral region in acute and chronic low back pain patients.</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Napitupulu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Radiographic lumbosacral angle and its low yield for diagnosing low back pain in workers (Napitupulu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lastRenderedPageBreak/>
              <w:t>Newton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Characterization of intervertebral disc remodeling following acute annular injury in a rat model (Newton et al., 2019).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Norman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Cutoff percentiles of bioelectrical phase angle predicting outcomes in cancer patients (Norman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Ogon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Spinopelvic alignment and lumbar intervertebral disc degeneration.</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Okpala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Measurement of lumbosacral angle in normal radiographs of Nigerians (Okpala,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Onishi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Morphometric analysis of 900 lumbar intervertebral discs  Anterior and posterior height analysis (Onishi et al., 2019).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Onyemaechi et al. (2016)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Impact of overweight and obesity on lumbosacral angles (Onyemaechi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Oyakhire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lordotic angle evaluation in a Nigerian population (Oyakhire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Ozcan-Eksi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Severe lumbar intervertebral disc degeneration and Modic changes at all lumbar levels, except L1-L2.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Ozevren et al. (2019)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Analysis of lumbar disc degeneration in 82 cases (Ozevren et al., 2019).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Paholpak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 increase in height of spinous process is associated with decreased intervertebral disc height in the degenerative process of lumbar spine (Paholpak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Papadakis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The association of spinal osteoarthritis with lumbar lordosis (Papadakis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Paul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Quantitative MRI in early intervertebral disc degeneration (Paul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Pekala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of morphological and radiological characteristics of degenerative disc disease in lumbar spine.</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Pinson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Outcome of anterior lumbar interbody fusion  A retrospective study (Pinson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Pinson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in lumbar intervertebral disc degeneration and correlation with clinical outcomes (Pinson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Pye et al. (2006)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disc degeneration and the association with osteophytes and end-plate sclerosis (Pye et al., 2006).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Ravikanth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evaluation of lumbar disc degenerative disease and associated pathologies (Ravikanth,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Razzouk et al. (2023)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Normative measurements of lumbar segmental angulation and disc height (Razzouk et al., 2023).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Rossi et al. (2004)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of lumbar spine geometry and disc degeneration in animals (Rossi et al., 2004).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Russell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Comparison of lumbar lordosis measurement alternatives to Cobb angle (Russell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Sakai et al. (2006)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Regenerative effects of mesenchymal stem cell transplantation in degenerated intervertebral discs (Sakai et al., 2006).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Sandor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Assessment of lumbar lordosis distribution using a new mathematical approach and its relation to lumbar intervertebral disc degeneration.</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Sawa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Correlations between sagittal disc dimensions and principal surface strains across the L3-4 disc (Sawa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Senteler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Musculoskeletal modeling of lumbar joint loads and adjacent segment degeneration (Senteler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Sharma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Measurement of lumbar lordotic and lumbosacral angles in chronic low back pain patients (Sharma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Shefi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lordotic curvature development from age 2 to 20 years (Shefi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Siemionow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Effects of age, sex, and ethnicity on the rate of intervertebral disc degeneration (Siemionow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Siepe et al. (2009)</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Interdependence between disc space height, range of motion, and clinical outcome in total lumbar disc replacement (Siepe et al., 2009).</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Solovieva et al. (2002)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COL9A3 gene polymorphism and obesity in intervertebral disc degeneration (Solovieva et al., 2002).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Stefanakis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Mechanical influences in progressive disc degeneration (Stefanakis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Stelzeneder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 of short-term unloading on lumbar disc height (Stelzeneder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Strube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Disc distraction and posterior translation effects on facet joint loading (Strube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Sun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Disc-limited intervertebral distraction and its impact on disc height (Sun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Sun et al. (2021)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Denosumab alleviates intervertebral disc degeneration in lumbar fusion (Sun et al., 2021).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Sun Wan-ju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of ADC values in lumbar discs and lumbar artery status with disc degeneration (Sun Wan-ju,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Suthar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evaluation of lumbar disc degenerative disease (Suthar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Takashima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between T2 relaxation time and intervertebral disc degeneration (Takashima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Tan et al. (1997)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between shape and direction of small articular surface in lower lumbar vertebrae and disc degeneration (Tan et al., 1997).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Tanaka et al. (1993)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Pathologic study of discs in the elderly  Separation between cartilaginous endplate and vertebral body (Tanaka et al., 1993).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Tang &amp; Rebholz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Does anterior lumbar interbody fusion promote adjacent degeneration in degenerative disc disease? (Tang &amp; Rebholz,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Tang et al. (2008)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Analysis of lumbar disc degeneration using a 3D finite element model (Tang et al., 2008).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Tanguay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Clinical significance of lumbosacral kyphosis in adolescent spondylolisthesis (Tanguay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Teichtahl et al. (2016)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disc degeneration associated with Modic changes and high paraspinal fat content (Teichtahl et al., 2016).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Tejeda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Comparison of surgical approaches and their effect on lumbar disc height (Tejeda,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Tian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Calcitonin suppresses lumbar intervertebral disc degeneration in an osteopenia rat model (Tian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Tian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Effects of lumbar interbody fusion on adjacent segment degeneration (Tian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Toiviainen-Salo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analysis of thoracic and lumbar spine in juvenile idiopathic arthritis patients (Toiviainen-Salo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Tosun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Assessment of lumbar vertebrae morphology in osteoporosis (Tosun et al., 2012).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Trouillier et al. (2006)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Morphological study of facet joint integrity following disc replacement (Trouillier et al., 2006).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Tubbs et al. (2006)</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Increases in lumbosacral angle indicating tethered spinal cord (Tubbs et al., 2006).</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Tunset et al.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Study on agreement in measuring lumbar disc height using MRI (Tunset et al.,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Verma et al. (2010)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Retrospective analysis of MRI findings in 20-40 year old patients with low back pain (Verma et al., 2010).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Visuri et al. (2005)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Narrowing of lumbar spinal canal predicts low back pain more accurately than intervertebral disc degeneration (Visuri et al., 2005).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Vujadinovic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Improvement in disc height after lumbar arthroplasty.</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Wang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Thickness and bone mineral density of lumbar vertebral endplates and their associations with age and disc degeneration (Wang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Wang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Imaging analysis of adjacent segment degeneration after topping-off surgery for lumbar degenerative disease (Wang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Wei et al. (2014)</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Relationship between bone mineral density and lumbar intervertebral disc degeneration in rhesus macaques (Wei et al., 2014).</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Wei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Correlations between sagittal plane parameters of the spine and pelvis and lumbar disc degeneration (Wei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Wen-yua (2013)</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Measurement of lumbar disc height for clinical diagnosis (Wen-yua, 2013).</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Wojcik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Lumbar lordosis angle value analysis and bone tissue density in women over 50.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Wu Yu-Heng et al. (2011)</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study on nucleus pulposus degeneration of lumbar intervertebral discs (Wu Yu-Heng et al., 2011).</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Xia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Changes in the lumbosacral angle after spinal cord untethering in children with tethered cord syndrome (Xia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Xiao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between vertebral endplate changes and lumbar disc degeneration (Xiao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Xiao et al. (2018)</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Morphology of lumbar discs evaluated with CT, including anterior height (Xiao et al., 2018).</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Yang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Cranio-caudal asymmetries in trabecular architecture and their relation to vertebral fractures (Yang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Yildiz &amp; Ekin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Normal aging of the lumbar spine in women (Yildiz &amp; Ekin,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Yue et al. (2015)</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Middle-period effect of posterior lumbar interbody fusion and Wallis for L45 degenerative disease (Yue et al., 2015).</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Zhang et al. (2017)</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Correlation between lumbar facet joint cartilage and intervertebral discs in early degeneration (Zhang et al., 2017).</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Zhou et al. (2022)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Comparison of kyphoplasty with pedicle screw fixation in spinal balance (Zhou et al., 2022).</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Zhu et al. (2020)</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Effect of intervertebral disc degeneration on mechanical and electric signals at the disc-vertebra interface (Zhu et al., 2020).</w:t>
            </w:r>
          </w:p>
        </w:tc>
      </w:tr>
      <w:tr w:rsidR="00637692" w:rsidRPr="00637692" w:rsidTr="004E1184">
        <w:trPr>
          <w:trHeight w:val="320"/>
        </w:trPr>
        <w:tc>
          <w:tcPr>
            <w:tcW w:w="1313"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Zobel et al. (2012)</w:t>
            </w:r>
          </w:p>
        </w:tc>
        <w:tc>
          <w:tcPr>
            <w:tcW w:w="6987" w:type="dxa"/>
            <w:tcBorders>
              <w:top w:val="nil"/>
              <w:left w:val="nil"/>
              <w:bottom w:val="nil"/>
              <w:right w:val="nil"/>
            </w:tcBorders>
            <w:shd w:val="clear" w:color="auto" w:fill="auto"/>
            <w:noWrap/>
            <w:vAlign w:val="center"/>
            <w:hideMark/>
          </w:tcPr>
          <w:p w:rsidR="00637692" w:rsidRPr="00637692" w:rsidRDefault="00637692" w:rsidP="00637692">
            <w:pPr>
              <w:spacing w:line="480" w:lineRule="auto"/>
              <w:rPr>
                <w:rFonts w:ascii="Times New Roman" w:eastAsia="DengXian" w:hAnsi="Times New Roman" w:cs="Times New Roman"/>
                <w:color w:val="000000"/>
                <w:sz w:val="24"/>
              </w:rPr>
            </w:pPr>
            <w:r w:rsidRPr="00637692">
              <w:rPr>
                <w:rFonts w:ascii="Times New Roman" w:eastAsia="DengXian" w:hAnsi="Times New Roman" w:cs="Times New Roman"/>
                <w:color w:val="000000"/>
                <w:sz w:val="24"/>
              </w:rPr>
              <w:t xml:space="preserve"> MRI quantification of early lumbar disc degeneration in healthy young adults (Zobel et al., 2012).</w:t>
            </w:r>
          </w:p>
        </w:tc>
      </w:tr>
    </w:tbl>
    <w:p w:rsidR="00637692" w:rsidRPr="00637692" w:rsidRDefault="00637692" w:rsidP="00637692">
      <w:pPr>
        <w:spacing w:line="480" w:lineRule="auto"/>
        <w:rPr>
          <w:rFonts w:ascii="Times New Roman" w:hAnsi="Times New Roman" w:cs="Times New Roman"/>
          <w:sz w:val="24"/>
        </w:rPr>
      </w:pPr>
    </w:p>
    <w:p w:rsidR="00F2540C" w:rsidRPr="00637692" w:rsidRDefault="00F2540C" w:rsidP="00637692">
      <w:pPr>
        <w:spacing w:line="480" w:lineRule="auto"/>
        <w:rPr>
          <w:rFonts w:ascii="Times New Roman" w:hAnsi="Times New Roman" w:cs="Times New Roman"/>
          <w:sz w:val="24"/>
        </w:rPr>
      </w:pPr>
    </w:p>
    <w:sectPr w:rsidR="00F2540C" w:rsidRPr="00637692" w:rsidSect="002E751C">
      <w:footerReference w:type="even" r:id="rId6"/>
      <w:footerReference w:type="default" r:id="rId7"/>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545" w:rsidRDefault="00544545" w:rsidP="00637692">
      <w:r>
        <w:separator/>
      </w:r>
    </w:p>
  </w:endnote>
  <w:endnote w:type="continuationSeparator" w:id="0">
    <w:p w:rsidR="00544545" w:rsidRDefault="00544545" w:rsidP="00637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7"/>
      </w:rPr>
      <w:id w:val="-5454293"/>
      <w:docPartObj>
        <w:docPartGallery w:val="Page Numbers (Bottom of Page)"/>
        <w:docPartUnique/>
      </w:docPartObj>
    </w:sdtPr>
    <w:sdtContent>
      <w:p w:rsidR="00637692" w:rsidRDefault="00637692" w:rsidP="00381192">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rsidR="00637692" w:rsidRDefault="0063769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7"/>
      </w:rPr>
      <w:id w:val="-923341824"/>
      <w:docPartObj>
        <w:docPartGallery w:val="Page Numbers (Bottom of Page)"/>
        <w:docPartUnique/>
      </w:docPartObj>
    </w:sdtPr>
    <w:sdtContent>
      <w:p w:rsidR="00637692" w:rsidRDefault="00637692" w:rsidP="00381192">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p>
    </w:sdtContent>
  </w:sdt>
  <w:p w:rsidR="00637692" w:rsidRDefault="006376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545" w:rsidRDefault="00544545" w:rsidP="00637692">
      <w:r>
        <w:separator/>
      </w:r>
    </w:p>
  </w:footnote>
  <w:footnote w:type="continuationSeparator" w:id="0">
    <w:p w:rsidR="00544545" w:rsidRDefault="00544545" w:rsidP="006376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nnotated&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Sample_Library_X9&lt;record-ids&gt;&lt;item&gt;3191&lt;/item&gt;&lt;item&gt;3243&lt;/item&gt;&lt;item&gt;3244&lt;/item&gt;&lt;item&gt;3260&lt;/item&gt;&lt;item&gt;3335&lt;/item&gt;&lt;item&gt;3340&lt;/item&gt;&lt;item&gt;3350&lt;/item&gt;&lt;item&gt;3351&lt;/item&gt;&lt;item&gt;3358&lt;/item&gt;&lt;item&gt;3376&lt;/item&gt;&lt;item&gt;3411&lt;/item&gt;&lt;item&gt;3429&lt;/item&gt;&lt;item&gt;3502&lt;/item&gt;&lt;item&gt;3508&lt;/item&gt;&lt;item&gt;3511&lt;/item&gt;&lt;item&gt;3657&lt;/item&gt;&lt;item&gt;3658&lt;/item&gt;&lt;item&gt;3670&lt;/item&gt;&lt;item&gt;3695&lt;/item&gt;&lt;item&gt;3699&lt;/item&gt;&lt;item&gt;3714&lt;/item&gt;&lt;item&gt;3719&lt;/item&gt;&lt;item&gt;3726&lt;/item&gt;&lt;item&gt;3732&lt;/item&gt;&lt;item&gt;3775&lt;/item&gt;&lt;item&gt;3820&lt;/item&gt;&lt;item&gt;3823&lt;/item&gt;&lt;item&gt;3838&lt;/item&gt;&lt;item&gt;3848&lt;/item&gt;&lt;item&gt;3885&lt;/item&gt;&lt;item&gt;3916&lt;/item&gt;&lt;item&gt;3959&lt;/item&gt;&lt;item&gt;4023&lt;/item&gt;&lt;item&gt;4077&lt;/item&gt;&lt;item&gt;4268&lt;/item&gt;&lt;item&gt;4315&lt;/item&gt;&lt;item&gt;4387&lt;/item&gt;&lt;item&gt;4411&lt;/item&gt;&lt;item&gt;4412&lt;/item&gt;&lt;item&gt;4416&lt;/item&gt;&lt;item&gt;4423&lt;/item&gt;&lt;item&gt;4438&lt;/item&gt;&lt;item&gt;4457&lt;/item&gt;&lt;item&gt;4461&lt;/item&gt;&lt;item&gt;4489&lt;/item&gt;&lt;item&gt;4534&lt;/item&gt;&lt;item&gt;4563&lt;/item&gt;&lt;item&gt;4579&lt;/item&gt;&lt;item&gt;4583&lt;/item&gt;&lt;item&gt;4592&lt;/item&gt;&lt;item&gt;4624&lt;/item&gt;&lt;item&gt;4634&lt;/item&gt;&lt;item&gt;4635&lt;/item&gt;&lt;item&gt;4636&lt;/item&gt;&lt;item&gt;4637&lt;/item&gt;&lt;item&gt;4640&lt;/item&gt;&lt;item&gt;4643&lt;/item&gt;&lt;item&gt;4651&lt;/item&gt;&lt;item&gt;4677&lt;/item&gt;&lt;item&gt;4681&lt;/item&gt;&lt;item&gt;4683&lt;/item&gt;&lt;item&gt;4692&lt;/item&gt;&lt;item&gt;4696&lt;/item&gt;&lt;item&gt;4705&lt;/item&gt;&lt;item&gt;4718&lt;/item&gt;&lt;item&gt;4764&lt;/item&gt;&lt;item&gt;4769&lt;/item&gt;&lt;item&gt;4792&lt;/item&gt;&lt;item&gt;4812&lt;/item&gt;&lt;item&gt;4844&lt;/item&gt;&lt;item&gt;4874&lt;/item&gt;&lt;item&gt;4938&lt;/item&gt;&lt;item&gt;4976&lt;/item&gt;&lt;item&gt;4988&lt;/item&gt;&lt;item&gt;4993&lt;/item&gt;&lt;item&gt;4997&lt;/item&gt;&lt;item&gt;5041&lt;/item&gt;&lt;item&gt;5042&lt;/item&gt;&lt;item&gt;5075&lt;/item&gt;&lt;item&gt;5083&lt;/item&gt;&lt;item&gt;5094&lt;/item&gt;&lt;item&gt;5122&lt;/item&gt;&lt;item&gt;5137&lt;/item&gt;&lt;item&gt;5198&lt;/item&gt;&lt;item&gt;5213&lt;/item&gt;&lt;item&gt;5217&lt;/item&gt;&lt;item&gt;5224&lt;/item&gt;&lt;item&gt;5225&lt;/item&gt;&lt;item&gt;5230&lt;/item&gt;&lt;item&gt;5232&lt;/item&gt;&lt;item&gt;5236&lt;/item&gt;&lt;item&gt;5237&lt;/item&gt;&lt;item&gt;5238&lt;/item&gt;&lt;item&gt;5257&lt;/item&gt;&lt;item&gt;5274&lt;/item&gt;&lt;item&gt;5280&lt;/item&gt;&lt;item&gt;5389&lt;/item&gt;&lt;item&gt;5396&lt;/item&gt;&lt;item&gt;5485&lt;/item&gt;&lt;item&gt;5528&lt;/item&gt;&lt;item&gt;5529&lt;/item&gt;&lt;item&gt;5544&lt;/item&gt;&lt;item&gt;5568&lt;/item&gt;&lt;item&gt;5605&lt;/item&gt;&lt;item&gt;5636&lt;/item&gt;&lt;item&gt;5683&lt;/item&gt;&lt;item&gt;5707&lt;/item&gt;&lt;item&gt;5720&lt;/item&gt;&lt;item&gt;5727&lt;/item&gt;&lt;item&gt;5737&lt;/item&gt;&lt;item&gt;5751&lt;/item&gt;&lt;item&gt;5789&lt;/item&gt;&lt;item&gt;5792&lt;/item&gt;&lt;item&gt;5799&lt;/item&gt;&lt;item&gt;5801&lt;/item&gt;&lt;item&gt;5802&lt;/item&gt;&lt;item&gt;5844&lt;/item&gt;&lt;/record-ids&gt;&lt;/item&gt;&lt;/Libraries&gt;"/>
  </w:docVars>
  <w:rsids>
    <w:rsidRoot w:val="00F8660A"/>
    <w:rsid w:val="00002514"/>
    <w:rsid w:val="00003771"/>
    <w:rsid w:val="00004249"/>
    <w:rsid w:val="00004E3B"/>
    <w:rsid w:val="00005053"/>
    <w:rsid w:val="0000779F"/>
    <w:rsid w:val="0001194B"/>
    <w:rsid w:val="00011C3A"/>
    <w:rsid w:val="00012BA9"/>
    <w:rsid w:val="00025E51"/>
    <w:rsid w:val="00026069"/>
    <w:rsid w:val="00030280"/>
    <w:rsid w:val="00033026"/>
    <w:rsid w:val="00044D2A"/>
    <w:rsid w:val="000453EF"/>
    <w:rsid w:val="000475E6"/>
    <w:rsid w:val="000512D6"/>
    <w:rsid w:val="000513D0"/>
    <w:rsid w:val="00051D4E"/>
    <w:rsid w:val="00053177"/>
    <w:rsid w:val="00054889"/>
    <w:rsid w:val="000552F5"/>
    <w:rsid w:val="00055BB6"/>
    <w:rsid w:val="000562BE"/>
    <w:rsid w:val="00056314"/>
    <w:rsid w:val="00061EC1"/>
    <w:rsid w:val="00065F2D"/>
    <w:rsid w:val="00065FF2"/>
    <w:rsid w:val="00066B9B"/>
    <w:rsid w:val="000673E4"/>
    <w:rsid w:val="000674BE"/>
    <w:rsid w:val="00071FB8"/>
    <w:rsid w:val="000730CF"/>
    <w:rsid w:val="0007579C"/>
    <w:rsid w:val="00075991"/>
    <w:rsid w:val="00075F00"/>
    <w:rsid w:val="00076066"/>
    <w:rsid w:val="0007695D"/>
    <w:rsid w:val="00077BE2"/>
    <w:rsid w:val="000808BC"/>
    <w:rsid w:val="00083D1F"/>
    <w:rsid w:val="00085868"/>
    <w:rsid w:val="00085E6D"/>
    <w:rsid w:val="000869E3"/>
    <w:rsid w:val="00086D85"/>
    <w:rsid w:val="00087751"/>
    <w:rsid w:val="00087CD3"/>
    <w:rsid w:val="00087FAD"/>
    <w:rsid w:val="000907B9"/>
    <w:rsid w:val="00090F1A"/>
    <w:rsid w:val="000938E4"/>
    <w:rsid w:val="00096CB5"/>
    <w:rsid w:val="00097379"/>
    <w:rsid w:val="000A54C5"/>
    <w:rsid w:val="000A6DE4"/>
    <w:rsid w:val="000A7EAC"/>
    <w:rsid w:val="000B071A"/>
    <w:rsid w:val="000B09B6"/>
    <w:rsid w:val="000B12D2"/>
    <w:rsid w:val="000B30E3"/>
    <w:rsid w:val="000B7F14"/>
    <w:rsid w:val="000C25DD"/>
    <w:rsid w:val="000C52C7"/>
    <w:rsid w:val="000C5963"/>
    <w:rsid w:val="000C6149"/>
    <w:rsid w:val="000C638C"/>
    <w:rsid w:val="000C6451"/>
    <w:rsid w:val="000C65EF"/>
    <w:rsid w:val="000D2D6B"/>
    <w:rsid w:val="000D4533"/>
    <w:rsid w:val="000E0A8D"/>
    <w:rsid w:val="000E403D"/>
    <w:rsid w:val="000E796F"/>
    <w:rsid w:val="000F0608"/>
    <w:rsid w:val="000F0FF7"/>
    <w:rsid w:val="000F1BB9"/>
    <w:rsid w:val="000F21E0"/>
    <w:rsid w:val="000F3115"/>
    <w:rsid w:val="000F35E4"/>
    <w:rsid w:val="000F3D38"/>
    <w:rsid w:val="000F5408"/>
    <w:rsid w:val="000F636A"/>
    <w:rsid w:val="000F68AB"/>
    <w:rsid w:val="001059C5"/>
    <w:rsid w:val="00106ED6"/>
    <w:rsid w:val="00111685"/>
    <w:rsid w:val="001123D4"/>
    <w:rsid w:val="0011426A"/>
    <w:rsid w:val="00116067"/>
    <w:rsid w:val="001211D5"/>
    <w:rsid w:val="00122013"/>
    <w:rsid w:val="00124971"/>
    <w:rsid w:val="00126899"/>
    <w:rsid w:val="001271B2"/>
    <w:rsid w:val="00127C98"/>
    <w:rsid w:val="001300CC"/>
    <w:rsid w:val="00132113"/>
    <w:rsid w:val="0013281F"/>
    <w:rsid w:val="00133CD1"/>
    <w:rsid w:val="00135A15"/>
    <w:rsid w:val="00136DED"/>
    <w:rsid w:val="0014048A"/>
    <w:rsid w:val="0014062B"/>
    <w:rsid w:val="00144FE9"/>
    <w:rsid w:val="001538DA"/>
    <w:rsid w:val="00161F90"/>
    <w:rsid w:val="00161FCA"/>
    <w:rsid w:val="001627E8"/>
    <w:rsid w:val="00162EE8"/>
    <w:rsid w:val="00164793"/>
    <w:rsid w:val="00166031"/>
    <w:rsid w:val="00166EDD"/>
    <w:rsid w:val="0017252B"/>
    <w:rsid w:val="001729EF"/>
    <w:rsid w:val="00176FC8"/>
    <w:rsid w:val="00181767"/>
    <w:rsid w:val="00182A85"/>
    <w:rsid w:val="0018557A"/>
    <w:rsid w:val="00190EEE"/>
    <w:rsid w:val="00192468"/>
    <w:rsid w:val="0019436C"/>
    <w:rsid w:val="00196677"/>
    <w:rsid w:val="001968C1"/>
    <w:rsid w:val="00197E2F"/>
    <w:rsid w:val="001A423B"/>
    <w:rsid w:val="001A491F"/>
    <w:rsid w:val="001A701A"/>
    <w:rsid w:val="001B55C2"/>
    <w:rsid w:val="001B5819"/>
    <w:rsid w:val="001C0418"/>
    <w:rsid w:val="001C2CCD"/>
    <w:rsid w:val="001C5D82"/>
    <w:rsid w:val="001C7443"/>
    <w:rsid w:val="001D1A66"/>
    <w:rsid w:val="001D2EB8"/>
    <w:rsid w:val="001D53B2"/>
    <w:rsid w:val="001D7B8B"/>
    <w:rsid w:val="001D7CE6"/>
    <w:rsid w:val="001E0337"/>
    <w:rsid w:val="001E050B"/>
    <w:rsid w:val="001E4487"/>
    <w:rsid w:val="001E517D"/>
    <w:rsid w:val="001E633E"/>
    <w:rsid w:val="001E6BC0"/>
    <w:rsid w:val="001F048D"/>
    <w:rsid w:val="001F16C2"/>
    <w:rsid w:val="001F1714"/>
    <w:rsid w:val="001F51A2"/>
    <w:rsid w:val="001F54FD"/>
    <w:rsid w:val="001F5C47"/>
    <w:rsid w:val="001F5CBE"/>
    <w:rsid w:val="001F600A"/>
    <w:rsid w:val="002015A2"/>
    <w:rsid w:val="00201E8E"/>
    <w:rsid w:val="00202FFF"/>
    <w:rsid w:val="00203B68"/>
    <w:rsid w:val="002046E7"/>
    <w:rsid w:val="002047C6"/>
    <w:rsid w:val="00207520"/>
    <w:rsid w:val="00210EB4"/>
    <w:rsid w:val="00213EC2"/>
    <w:rsid w:val="0021597C"/>
    <w:rsid w:val="00215FD8"/>
    <w:rsid w:val="00216862"/>
    <w:rsid w:val="00216E2E"/>
    <w:rsid w:val="00217E39"/>
    <w:rsid w:val="00224B3C"/>
    <w:rsid w:val="00227067"/>
    <w:rsid w:val="00231186"/>
    <w:rsid w:val="002332DB"/>
    <w:rsid w:val="00233E66"/>
    <w:rsid w:val="00240479"/>
    <w:rsid w:val="002412D5"/>
    <w:rsid w:val="00241D2D"/>
    <w:rsid w:val="00242810"/>
    <w:rsid w:val="00242E09"/>
    <w:rsid w:val="00243D7E"/>
    <w:rsid w:val="00246E4F"/>
    <w:rsid w:val="00246F9E"/>
    <w:rsid w:val="00252CEA"/>
    <w:rsid w:val="002557ED"/>
    <w:rsid w:val="00260D75"/>
    <w:rsid w:val="00261431"/>
    <w:rsid w:val="00264529"/>
    <w:rsid w:val="00265855"/>
    <w:rsid w:val="0026689E"/>
    <w:rsid w:val="00270518"/>
    <w:rsid w:val="002713EA"/>
    <w:rsid w:val="00271D20"/>
    <w:rsid w:val="00277ADE"/>
    <w:rsid w:val="00281A1D"/>
    <w:rsid w:val="00281F8E"/>
    <w:rsid w:val="002821D4"/>
    <w:rsid w:val="00284C8E"/>
    <w:rsid w:val="00285E67"/>
    <w:rsid w:val="00286271"/>
    <w:rsid w:val="002862D3"/>
    <w:rsid w:val="002866AD"/>
    <w:rsid w:val="00292068"/>
    <w:rsid w:val="00292ED3"/>
    <w:rsid w:val="00293003"/>
    <w:rsid w:val="00293D8B"/>
    <w:rsid w:val="00294B70"/>
    <w:rsid w:val="0029617F"/>
    <w:rsid w:val="002A5EC3"/>
    <w:rsid w:val="002B0B49"/>
    <w:rsid w:val="002B0FBE"/>
    <w:rsid w:val="002B2E4F"/>
    <w:rsid w:val="002B421F"/>
    <w:rsid w:val="002B530F"/>
    <w:rsid w:val="002B7DE0"/>
    <w:rsid w:val="002C0F27"/>
    <w:rsid w:val="002C294C"/>
    <w:rsid w:val="002C5840"/>
    <w:rsid w:val="002C64BD"/>
    <w:rsid w:val="002C70F1"/>
    <w:rsid w:val="002D5875"/>
    <w:rsid w:val="002E185B"/>
    <w:rsid w:val="002E3B6A"/>
    <w:rsid w:val="002E751C"/>
    <w:rsid w:val="002F0245"/>
    <w:rsid w:val="002F45AB"/>
    <w:rsid w:val="002F510E"/>
    <w:rsid w:val="002F523F"/>
    <w:rsid w:val="002F5B66"/>
    <w:rsid w:val="002F76B6"/>
    <w:rsid w:val="00304E47"/>
    <w:rsid w:val="00305807"/>
    <w:rsid w:val="00306280"/>
    <w:rsid w:val="003104E9"/>
    <w:rsid w:val="003136FF"/>
    <w:rsid w:val="00313936"/>
    <w:rsid w:val="00315F07"/>
    <w:rsid w:val="00316AA0"/>
    <w:rsid w:val="00321B48"/>
    <w:rsid w:val="00321F29"/>
    <w:rsid w:val="00322B97"/>
    <w:rsid w:val="00323927"/>
    <w:rsid w:val="00325D23"/>
    <w:rsid w:val="0033003E"/>
    <w:rsid w:val="00334777"/>
    <w:rsid w:val="00337692"/>
    <w:rsid w:val="00341C3D"/>
    <w:rsid w:val="0034553B"/>
    <w:rsid w:val="003464CE"/>
    <w:rsid w:val="00346A8C"/>
    <w:rsid w:val="00351741"/>
    <w:rsid w:val="00354A17"/>
    <w:rsid w:val="0036058C"/>
    <w:rsid w:val="0036254E"/>
    <w:rsid w:val="00363186"/>
    <w:rsid w:val="00365F26"/>
    <w:rsid w:val="00370680"/>
    <w:rsid w:val="00377209"/>
    <w:rsid w:val="00380315"/>
    <w:rsid w:val="00380359"/>
    <w:rsid w:val="0038138A"/>
    <w:rsid w:val="00382588"/>
    <w:rsid w:val="0038290F"/>
    <w:rsid w:val="00383583"/>
    <w:rsid w:val="00384FC3"/>
    <w:rsid w:val="003903F9"/>
    <w:rsid w:val="00395185"/>
    <w:rsid w:val="003951C5"/>
    <w:rsid w:val="003A04E8"/>
    <w:rsid w:val="003A5C57"/>
    <w:rsid w:val="003A7A0B"/>
    <w:rsid w:val="003B7B0E"/>
    <w:rsid w:val="003C02F7"/>
    <w:rsid w:val="003C1D9E"/>
    <w:rsid w:val="003C23A9"/>
    <w:rsid w:val="003C27DD"/>
    <w:rsid w:val="003C79A8"/>
    <w:rsid w:val="003D0CDA"/>
    <w:rsid w:val="003D53B5"/>
    <w:rsid w:val="003D7740"/>
    <w:rsid w:val="003E075D"/>
    <w:rsid w:val="003E1929"/>
    <w:rsid w:val="003E1EA2"/>
    <w:rsid w:val="003E44A4"/>
    <w:rsid w:val="003E57C7"/>
    <w:rsid w:val="003E5963"/>
    <w:rsid w:val="003E5C54"/>
    <w:rsid w:val="00403DA1"/>
    <w:rsid w:val="004046AB"/>
    <w:rsid w:val="00404C13"/>
    <w:rsid w:val="00405080"/>
    <w:rsid w:val="00406070"/>
    <w:rsid w:val="00411F94"/>
    <w:rsid w:val="00414164"/>
    <w:rsid w:val="00422A79"/>
    <w:rsid w:val="004260A7"/>
    <w:rsid w:val="00426304"/>
    <w:rsid w:val="00427123"/>
    <w:rsid w:val="004308BD"/>
    <w:rsid w:val="004315AD"/>
    <w:rsid w:val="00431FD0"/>
    <w:rsid w:val="00434C2E"/>
    <w:rsid w:val="004436FE"/>
    <w:rsid w:val="00444519"/>
    <w:rsid w:val="00444AEC"/>
    <w:rsid w:val="00445509"/>
    <w:rsid w:val="00445F1A"/>
    <w:rsid w:val="0044693F"/>
    <w:rsid w:val="00447948"/>
    <w:rsid w:val="00450B3C"/>
    <w:rsid w:val="00456A7C"/>
    <w:rsid w:val="00460EB4"/>
    <w:rsid w:val="00461D4E"/>
    <w:rsid w:val="00463E06"/>
    <w:rsid w:val="004649D9"/>
    <w:rsid w:val="00464C5B"/>
    <w:rsid w:val="00465412"/>
    <w:rsid w:val="00466A6B"/>
    <w:rsid w:val="00466E31"/>
    <w:rsid w:val="00466F11"/>
    <w:rsid w:val="00471F9D"/>
    <w:rsid w:val="004725A8"/>
    <w:rsid w:val="00472B64"/>
    <w:rsid w:val="00477065"/>
    <w:rsid w:val="00477136"/>
    <w:rsid w:val="00481CCE"/>
    <w:rsid w:val="00482522"/>
    <w:rsid w:val="004846FC"/>
    <w:rsid w:val="0048660A"/>
    <w:rsid w:val="00487841"/>
    <w:rsid w:val="00490CC6"/>
    <w:rsid w:val="0049157D"/>
    <w:rsid w:val="004949CA"/>
    <w:rsid w:val="004A1837"/>
    <w:rsid w:val="004A4F4A"/>
    <w:rsid w:val="004A67C6"/>
    <w:rsid w:val="004B045E"/>
    <w:rsid w:val="004B41F9"/>
    <w:rsid w:val="004B4764"/>
    <w:rsid w:val="004B6604"/>
    <w:rsid w:val="004B6DA9"/>
    <w:rsid w:val="004B7283"/>
    <w:rsid w:val="004C0C43"/>
    <w:rsid w:val="004C4592"/>
    <w:rsid w:val="004D1A43"/>
    <w:rsid w:val="004D6D65"/>
    <w:rsid w:val="004E017D"/>
    <w:rsid w:val="004E2803"/>
    <w:rsid w:val="004F0189"/>
    <w:rsid w:val="004F0729"/>
    <w:rsid w:val="004F3A70"/>
    <w:rsid w:val="004F3CC4"/>
    <w:rsid w:val="004F480B"/>
    <w:rsid w:val="004F550F"/>
    <w:rsid w:val="004F5890"/>
    <w:rsid w:val="004F7265"/>
    <w:rsid w:val="004F73E2"/>
    <w:rsid w:val="004F76C0"/>
    <w:rsid w:val="00500169"/>
    <w:rsid w:val="00500365"/>
    <w:rsid w:val="0050182D"/>
    <w:rsid w:val="00502465"/>
    <w:rsid w:val="0050263C"/>
    <w:rsid w:val="005034BD"/>
    <w:rsid w:val="00504563"/>
    <w:rsid w:val="00504D52"/>
    <w:rsid w:val="00506018"/>
    <w:rsid w:val="005067DC"/>
    <w:rsid w:val="00507703"/>
    <w:rsid w:val="005079B3"/>
    <w:rsid w:val="00512788"/>
    <w:rsid w:val="00521A4B"/>
    <w:rsid w:val="005226A2"/>
    <w:rsid w:val="005234E5"/>
    <w:rsid w:val="00524EE7"/>
    <w:rsid w:val="00525275"/>
    <w:rsid w:val="00526323"/>
    <w:rsid w:val="005277CF"/>
    <w:rsid w:val="005301B6"/>
    <w:rsid w:val="00531B83"/>
    <w:rsid w:val="00532393"/>
    <w:rsid w:val="00532659"/>
    <w:rsid w:val="00534E6F"/>
    <w:rsid w:val="00541710"/>
    <w:rsid w:val="00541738"/>
    <w:rsid w:val="00543A42"/>
    <w:rsid w:val="00544545"/>
    <w:rsid w:val="00544834"/>
    <w:rsid w:val="00546EE4"/>
    <w:rsid w:val="00547145"/>
    <w:rsid w:val="005548E4"/>
    <w:rsid w:val="0056122C"/>
    <w:rsid w:val="0056389A"/>
    <w:rsid w:val="00565AD2"/>
    <w:rsid w:val="005720B6"/>
    <w:rsid w:val="0057492C"/>
    <w:rsid w:val="00575397"/>
    <w:rsid w:val="0058583D"/>
    <w:rsid w:val="005877BC"/>
    <w:rsid w:val="0059150D"/>
    <w:rsid w:val="00594B3D"/>
    <w:rsid w:val="005978E0"/>
    <w:rsid w:val="005A28B6"/>
    <w:rsid w:val="005A2BE2"/>
    <w:rsid w:val="005A2D4D"/>
    <w:rsid w:val="005A337C"/>
    <w:rsid w:val="005A3EE7"/>
    <w:rsid w:val="005A4870"/>
    <w:rsid w:val="005A7316"/>
    <w:rsid w:val="005A75EA"/>
    <w:rsid w:val="005B05B7"/>
    <w:rsid w:val="005B2DCA"/>
    <w:rsid w:val="005B4A4E"/>
    <w:rsid w:val="005B73AD"/>
    <w:rsid w:val="005C060F"/>
    <w:rsid w:val="005C2D6E"/>
    <w:rsid w:val="005C4432"/>
    <w:rsid w:val="005C58F7"/>
    <w:rsid w:val="005C7C4C"/>
    <w:rsid w:val="005D0076"/>
    <w:rsid w:val="005D3759"/>
    <w:rsid w:val="005D3ADD"/>
    <w:rsid w:val="005D3B8B"/>
    <w:rsid w:val="005D4BBD"/>
    <w:rsid w:val="005E01F0"/>
    <w:rsid w:val="005E3C80"/>
    <w:rsid w:val="005E7F65"/>
    <w:rsid w:val="005E7F86"/>
    <w:rsid w:val="005F2001"/>
    <w:rsid w:val="005F20A3"/>
    <w:rsid w:val="005F4FEF"/>
    <w:rsid w:val="005F5BAD"/>
    <w:rsid w:val="005F644C"/>
    <w:rsid w:val="005F6CF7"/>
    <w:rsid w:val="00602A70"/>
    <w:rsid w:val="00602DA1"/>
    <w:rsid w:val="00610417"/>
    <w:rsid w:val="00611D1A"/>
    <w:rsid w:val="00612726"/>
    <w:rsid w:val="00613768"/>
    <w:rsid w:val="0062223D"/>
    <w:rsid w:val="00622732"/>
    <w:rsid w:val="00623E28"/>
    <w:rsid w:val="006243C5"/>
    <w:rsid w:val="0062535A"/>
    <w:rsid w:val="006257D4"/>
    <w:rsid w:val="00626061"/>
    <w:rsid w:val="006269A8"/>
    <w:rsid w:val="0063518E"/>
    <w:rsid w:val="00637692"/>
    <w:rsid w:val="006407AD"/>
    <w:rsid w:val="006417B5"/>
    <w:rsid w:val="0064421C"/>
    <w:rsid w:val="006503B4"/>
    <w:rsid w:val="00652454"/>
    <w:rsid w:val="0065383C"/>
    <w:rsid w:val="006547D8"/>
    <w:rsid w:val="006550A6"/>
    <w:rsid w:val="006566C4"/>
    <w:rsid w:val="0066128D"/>
    <w:rsid w:val="00662052"/>
    <w:rsid w:val="00662CFB"/>
    <w:rsid w:val="006734A2"/>
    <w:rsid w:val="00676F6A"/>
    <w:rsid w:val="00680452"/>
    <w:rsid w:val="00681C4E"/>
    <w:rsid w:val="00681FAE"/>
    <w:rsid w:val="00685487"/>
    <w:rsid w:val="00685E25"/>
    <w:rsid w:val="00690B0E"/>
    <w:rsid w:val="00694D9B"/>
    <w:rsid w:val="0069581C"/>
    <w:rsid w:val="006A1DFA"/>
    <w:rsid w:val="006A2672"/>
    <w:rsid w:val="006A3453"/>
    <w:rsid w:val="006B0C29"/>
    <w:rsid w:val="006B3947"/>
    <w:rsid w:val="006B49BC"/>
    <w:rsid w:val="006B74A8"/>
    <w:rsid w:val="006B7BBA"/>
    <w:rsid w:val="006C0386"/>
    <w:rsid w:val="006C1459"/>
    <w:rsid w:val="006C4B3F"/>
    <w:rsid w:val="006C79F6"/>
    <w:rsid w:val="006D06CA"/>
    <w:rsid w:val="006D16D1"/>
    <w:rsid w:val="006E074E"/>
    <w:rsid w:val="006E5C49"/>
    <w:rsid w:val="006E7ABD"/>
    <w:rsid w:val="006E7F9C"/>
    <w:rsid w:val="006F05E7"/>
    <w:rsid w:val="006F4272"/>
    <w:rsid w:val="006F5541"/>
    <w:rsid w:val="00700573"/>
    <w:rsid w:val="00702D92"/>
    <w:rsid w:val="00703D1B"/>
    <w:rsid w:val="0070476D"/>
    <w:rsid w:val="00706063"/>
    <w:rsid w:val="0071089C"/>
    <w:rsid w:val="0071183A"/>
    <w:rsid w:val="007163CB"/>
    <w:rsid w:val="00717638"/>
    <w:rsid w:val="00717E04"/>
    <w:rsid w:val="007247FA"/>
    <w:rsid w:val="00724C0E"/>
    <w:rsid w:val="007279DB"/>
    <w:rsid w:val="007302DA"/>
    <w:rsid w:val="00731386"/>
    <w:rsid w:val="00731C41"/>
    <w:rsid w:val="00732335"/>
    <w:rsid w:val="00732A14"/>
    <w:rsid w:val="007330A5"/>
    <w:rsid w:val="00737EF5"/>
    <w:rsid w:val="00740C83"/>
    <w:rsid w:val="007416F0"/>
    <w:rsid w:val="00742A87"/>
    <w:rsid w:val="0074439B"/>
    <w:rsid w:val="00745C72"/>
    <w:rsid w:val="00746CD3"/>
    <w:rsid w:val="007472F3"/>
    <w:rsid w:val="00747324"/>
    <w:rsid w:val="00753133"/>
    <w:rsid w:val="00754192"/>
    <w:rsid w:val="00754DA1"/>
    <w:rsid w:val="00756342"/>
    <w:rsid w:val="007618F5"/>
    <w:rsid w:val="0076234C"/>
    <w:rsid w:val="00762ECD"/>
    <w:rsid w:val="00764A21"/>
    <w:rsid w:val="0077175E"/>
    <w:rsid w:val="00771E37"/>
    <w:rsid w:val="00772163"/>
    <w:rsid w:val="00773EBD"/>
    <w:rsid w:val="00775F5E"/>
    <w:rsid w:val="00776CB6"/>
    <w:rsid w:val="00781C31"/>
    <w:rsid w:val="00786A5F"/>
    <w:rsid w:val="00787827"/>
    <w:rsid w:val="00790E21"/>
    <w:rsid w:val="007933C9"/>
    <w:rsid w:val="00797F7F"/>
    <w:rsid w:val="007A04B9"/>
    <w:rsid w:val="007A19C4"/>
    <w:rsid w:val="007A23B9"/>
    <w:rsid w:val="007A23FB"/>
    <w:rsid w:val="007A2D0F"/>
    <w:rsid w:val="007A3A6A"/>
    <w:rsid w:val="007A4242"/>
    <w:rsid w:val="007A5FC5"/>
    <w:rsid w:val="007A793D"/>
    <w:rsid w:val="007B2EFF"/>
    <w:rsid w:val="007B343D"/>
    <w:rsid w:val="007B46B3"/>
    <w:rsid w:val="007B482D"/>
    <w:rsid w:val="007B4D95"/>
    <w:rsid w:val="007B60D9"/>
    <w:rsid w:val="007B7CC8"/>
    <w:rsid w:val="007C5E5E"/>
    <w:rsid w:val="007C62BF"/>
    <w:rsid w:val="007C7EBD"/>
    <w:rsid w:val="007D33A8"/>
    <w:rsid w:val="007D35F7"/>
    <w:rsid w:val="007D3825"/>
    <w:rsid w:val="007D4937"/>
    <w:rsid w:val="007D63C7"/>
    <w:rsid w:val="007D6C61"/>
    <w:rsid w:val="007E3686"/>
    <w:rsid w:val="007E6CF3"/>
    <w:rsid w:val="007F181E"/>
    <w:rsid w:val="007F1A93"/>
    <w:rsid w:val="007F2C4E"/>
    <w:rsid w:val="007F3937"/>
    <w:rsid w:val="007F49EB"/>
    <w:rsid w:val="007F7953"/>
    <w:rsid w:val="008035D9"/>
    <w:rsid w:val="0080362E"/>
    <w:rsid w:val="0080600D"/>
    <w:rsid w:val="00806B9E"/>
    <w:rsid w:val="008101EA"/>
    <w:rsid w:val="00811934"/>
    <w:rsid w:val="0082047A"/>
    <w:rsid w:val="0082065E"/>
    <w:rsid w:val="00821743"/>
    <w:rsid w:val="008220DE"/>
    <w:rsid w:val="008224F4"/>
    <w:rsid w:val="008225B3"/>
    <w:rsid w:val="008267D4"/>
    <w:rsid w:val="00826CBB"/>
    <w:rsid w:val="00827776"/>
    <w:rsid w:val="00827D29"/>
    <w:rsid w:val="00831271"/>
    <w:rsid w:val="0083263D"/>
    <w:rsid w:val="00834DB5"/>
    <w:rsid w:val="008365B7"/>
    <w:rsid w:val="008371FD"/>
    <w:rsid w:val="0084369B"/>
    <w:rsid w:val="008441E0"/>
    <w:rsid w:val="00845F9D"/>
    <w:rsid w:val="00850639"/>
    <w:rsid w:val="008511DF"/>
    <w:rsid w:val="00852514"/>
    <w:rsid w:val="00853657"/>
    <w:rsid w:val="008543CE"/>
    <w:rsid w:val="00855CB7"/>
    <w:rsid w:val="008610C0"/>
    <w:rsid w:val="00865822"/>
    <w:rsid w:val="00870241"/>
    <w:rsid w:val="008717D4"/>
    <w:rsid w:val="00875395"/>
    <w:rsid w:val="00876160"/>
    <w:rsid w:val="00877178"/>
    <w:rsid w:val="00877B13"/>
    <w:rsid w:val="00880557"/>
    <w:rsid w:val="00881B3F"/>
    <w:rsid w:val="0088658F"/>
    <w:rsid w:val="00886B1D"/>
    <w:rsid w:val="008923AE"/>
    <w:rsid w:val="00896186"/>
    <w:rsid w:val="008A08C4"/>
    <w:rsid w:val="008A7B14"/>
    <w:rsid w:val="008B3BB8"/>
    <w:rsid w:val="008B4D13"/>
    <w:rsid w:val="008B6566"/>
    <w:rsid w:val="008B6C7F"/>
    <w:rsid w:val="008B7184"/>
    <w:rsid w:val="008B7F6D"/>
    <w:rsid w:val="008C1FB7"/>
    <w:rsid w:val="008C2B64"/>
    <w:rsid w:val="008C36B5"/>
    <w:rsid w:val="008C4ADD"/>
    <w:rsid w:val="008C54D4"/>
    <w:rsid w:val="008C58D1"/>
    <w:rsid w:val="008D00B3"/>
    <w:rsid w:val="008D00F5"/>
    <w:rsid w:val="008D2AC1"/>
    <w:rsid w:val="008D3C26"/>
    <w:rsid w:val="008E0EC2"/>
    <w:rsid w:val="008E23D5"/>
    <w:rsid w:val="008E2B0C"/>
    <w:rsid w:val="008E3251"/>
    <w:rsid w:val="008E3953"/>
    <w:rsid w:val="008E6181"/>
    <w:rsid w:val="008E626E"/>
    <w:rsid w:val="008F0C9D"/>
    <w:rsid w:val="008F63EC"/>
    <w:rsid w:val="008F7275"/>
    <w:rsid w:val="00901D85"/>
    <w:rsid w:val="00902823"/>
    <w:rsid w:val="009043DF"/>
    <w:rsid w:val="009057DB"/>
    <w:rsid w:val="00910032"/>
    <w:rsid w:val="00910B82"/>
    <w:rsid w:val="00914643"/>
    <w:rsid w:val="00915C67"/>
    <w:rsid w:val="00925853"/>
    <w:rsid w:val="00925B10"/>
    <w:rsid w:val="00930087"/>
    <w:rsid w:val="0093384D"/>
    <w:rsid w:val="009340D8"/>
    <w:rsid w:val="009350BB"/>
    <w:rsid w:val="00951082"/>
    <w:rsid w:val="0095256C"/>
    <w:rsid w:val="00953628"/>
    <w:rsid w:val="00953853"/>
    <w:rsid w:val="00953D89"/>
    <w:rsid w:val="0095753B"/>
    <w:rsid w:val="009602B4"/>
    <w:rsid w:val="0096050A"/>
    <w:rsid w:val="0096230E"/>
    <w:rsid w:val="009638CE"/>
    <w:rsid w:val="00971299"/>
    <w:rsid w:val="00971B11"/>
    <w:rsid w:val="0097531E"/>
    <w:rsid w:val="009754F3"/>
    <w:rsid w:val="00975C7E"/>
    <w:rsid w:val="00980145"/>
    <w:rsid w:val="00980188"/>
    <w:rsid w:val="009816E9"/>
    <w:rsid w:val="00985445"/>
    <w:rsid w:val="00985559"/>
    <w:rsid w:val="00986266"/>
    <w:rsid w:val="00987292"/>
    <w:rsid w:val="00987995"/>
    <w:rsid w:val="009928DF"/>
    <w:rsid w:val="00993635"/>
    <w:rsid w:val="00994E1E"/>
    <w:rsid w:val="00996962"/>
    <w:rsid w:val="00997499"/>
    <w:rsid w:val="009A0877"/>
    <w:rsid w:val="009A0FC3"/>
    <w:rsid w:val="009A3883"/>
    <w:rsid w:val="009A4B62"/>
    <w:rsid w:val="009A4FC1"/>
    <w:rsid w:val="009A50BB"/>
    <w:rsid w:val="009A6F8F"/>
    <w:rsid w:val="009B300F"/>
    <w:rsid w:val="009B306B"/>
    <w:rsid w:val="009C0001"/>
    <w:rsid w:val="009C290B"/>
    <w:rsid w:val="009C4B81"/>
    <w:rsid w:val="009C569F"/>
    <w:rsid w:val="009D0A14"/>
    <w:rsid w:val="009D251B"/>
    <w:rsid w:val="009D3DCD"/>
    <w:rsid w:val="009D4843"/>
    <w:rsid w:val="009D5BB5"/>
    <w:rsid w:val="009D7228"/>
    <w:rsid w:val="009E0D6B"/>
    <w:rsid w:val="009F411F"/>
    <w:rsid w:val="00A0317F"/>
    <w:rsid w:val="00A0424B"/>
    <w:rsid w:val="00A05F94"/>
    <w:rsid w:val="00A079C3"/>
    <w:rsid w:val="00A115AF"/>
    <w:rsid w:val="00A12470"/>
    <w:rsid w:val="00A12CAA"/>
    <w:rsid w:val="00A14D81"/>
    <w:rsid w:val="00A16419"/>
    <w:rsid w:val="00A175AF"/>
    <w:rsid w:val="00A20E83"/>
    <w:rsid w:val="00A21AE2"/>
    <w:rsid w:val="00A22B7C"/>
    <w:rsid w:val="00A22D95"/>
    <w:rsid w:val="00A23243"/>
    <w:rsid w:val="00A24A8E"/>
    <w:rsid w:val="00A262B9"/>
    <w:rsid w:val="00A27D5E"/>
    <w:rsid w:val="00A302F3"/>
    <w:rsid w:val="00A31E13"/>
    <w:rsid w:val="00A32F60"/>
    <w:rsid w:val="00A358BB"/>
    <w:rsid w:val="00A36771"/>
    <w:rsid w:val="00A43C27"/>
    <w:rsid w:val="00A44312"/>
    <w:rsid w:val="00A44609"/>
    <w:rsid w:val="00A44B7D"/>
    <w:rsid w:val="00A450F5"/>
    <w:rsid w:val="00A47E53"/>
    <w:rsid w:val="00A5040B"/>
    <w:rsid w:val="00A56795"/>
    <w:rsid w:val="00A579E9"/>
    <w:rsid w:val="00A600D0"/>
    <w:rsid w:val="00A6126E"/>
    <w:rsid w:val="00A61B51"/>
    <w:rsid w:val="00A6315A"/>
    <w:rsid w:val="00A64EA6"/>
    <w:rsid w:val="00A66247"/>
    <w:rsid w:val="00A66635"/>
    <w:rsid w:val="00A71E50"/>
    <w:rsid w:val="00A72B78"/>
    <w:rsid w:val="00A73CA0"/>
    <w:rsid w:val="00A73D36"/>
    <w:rsid w:val="00A80128"/>
    <w:rsid w:val="00A821B1"/>
    <w:rsid w:val="00A84491"/>
    <w:rsid w:val="00A926AF"/>
    <w:rsid w:val="00A9628A"/>
    <w:rsid w:val="00A96556"/>
    <w:rsid w:val="00A97D61"/>
    <w:rsid w:val="00A97F06"/>
    <w:rsid w:val="00AA2F25"/>
    <w:rsid w:val="00AA5A74"/>
    <w:rsid w:val="00AA63FD"/>
    <w:rsid w:val="00AA76D7"/>
    <w:rsid w:val="00AA770B"/>
    <w:rsid w:val="00AB4734"/>
    <w:rsid w:val="00AB64E9"/>
    <w:rsid w:val="00AC100D"/>
    <w:rsid w:val="00AC1492"/>
    <w:rsid w:val="00AC3860"/>
    <w:rsid w:val="00AC77C6"/>
    <w:rsid w:val="00AD0202"/>
    <w:rsid w:val="00AD0AA4"/>
    <w:rsid w:val="00AD1804"/>
    <w:rsid w:val="00AD28FB"/>
    <w:rsid w:val="00AD38D8"/>
    <w:rsid w:val="00AD41F4"/>
    <w:rsid w:val="00AD671E"/>
    <w:rsid w:val="00AD6F05"/>
    <w:rsid w:val="00AD7589"/>
    <w:rsid w:val="00AD7E5B"/>
    <w:rsid w:val="00AD7F2A"/>
    <w:rsid w:val="00AE08E9"/>
    <w:rsid w:val="00AE2151"/>
    <w:rsid w:val="00AE411F"/>
    <w:rsid w:val="00AE539F"/>
    <w:rsid w:val="00AE5482"/>
    <w:rsid w:val="00AF02F6"/>
    <w:rsid w:val="00AF14E9"/>
    <w:rsid w:val="00AF20CE"/>
    <w:rsid w:val="00AF232D"/>
    <w:rsid w:val="00AF35DE"/>
    <w:rsid w:val="00AF4BE5"/>
    <w:rsid w:val="00AF5056"/>
    <w:rsid w:val="00AF6541"/>
    <w:rsid w:val="00B008F0"/>
    <w:rsid w:val="00B0189A"/>
    <w:rsid w:val="00B02FB1"/>
    <w:rsid w:val="00B04374"/>
    <w:rsid w:val="00B05243"/>
    <w:rsid w:val="00B07A33"/>
    <w:rsid w:val="00B11A01"/>
    <w:rsid w:val="00B12A99"/>
    <w:rsid w:val="00B14EE5"/>
    <w:rsid w:val="00B2094E"/>
    <w:rsid w:val="00B20D54"/>
    <w:rsid w:val="00B231A3"/>
    <w:rsid w:val="00B2375B"/>
    <w:rsid w:val="00B23A1B"/>
    <w:rsid w:val="00B24194"/>
    <w:rsid w:val="00B26942"/>
    <w:rsid w:val="00B300ED"/>
    <w:rsid w:val="00B303D4"/>
    <w:rsid w:val="00B307E3"/>
    <w:rsid w:val="00B320AC"/>
    <w:rsid w:val="00B336C2"/>
    <w:rsid w:val="00B3783D"/>
    <w:rsid w:val="00B403BC"/>
    <w:rsid w:val="00B40C61"/>
    <w:rsid w:val="00B43A5C"/>
    <w:rsid w:val="00B50562"/>
    <w:rsid w:val="00B5258F"/>
    <w:rsid w:val="00B543B3"/>
    <w:rsid w:val="00B54EDF"/>
    <w:rsid w:val="00B5511B"/>
    <w:rsid w:val="00B57BCD"/>
    <w:rsid w:val="00B57D3F"/>
    <w:rsid w:val="00B63BA5"/>
    <w:rsid w:val="00B66296"/>
    <w:rsid w:val="00B70247"/>
    <w:rsid w:val="00B72325"/>
    <w:rsid w:val="00B74A12"/>
    <w:rsid w:val="00B77F8C"/>
    <w:rsid w:val="00B82A50"/>
    <w:rsid w:val="00B82CFE"/>
    <w:rsid w:val="00B83DF6"/>
    <w:rsid w:val="00B84C03"/>
    <w:rsid w:val="00B92875"/>
    <w:rsid w:val="00B93D35"/>
    <w:rsid w:val="00B94E70"/>
    <w:rsid w:val="00B95A1A"/>
    <w:rsid w:val="00B95B9A"/>
    <w:rsid w:val="00B97D37"/>
    <w:rsid w:val="00BA2093"/>
    <w:rsid w:val="00BA364C"/>
    <w:rsid w:val="00BA3FFC"/>
    <w:rsid w:val="00BA4D6E"/>
    <w:rsid w:val="00BA518D"/>
    <w:rsid w:val="00BA57A5"/>
    <w:rsid w:val="00BA5D5C"/>
    <w:rsid w:val="00BB0C11"/>
    <w:rsid w:val="00BB0E8E"/>
    <w:rsid w:val="00BB1251"/>
    <w:rsid w:val="00BB1B24"/>
    <w:rsid w:val="00BB25F4"/>
    <w:rsid w:val="00BB5055"/>
    <w:rsid w:val="00BC214E"/>
    <w:rsid w:val="00BC28BC"/>
    <w:rsid w:val="00BC32A9"/>
    <w:rsid w:val="00BC3DD4"/>
    <w:rsid w:val="00BC4BFB"/>
    <w:rsid w:val="00BC58FA"/>
    <w:rsid w:val="00BC6448"/>
    <w:rsid w:val="00BD2176"/>
    <w:rsid w:val="00BD2622"/>
    <w:rsid w:val="00BD3668"/>
    <w:rsid w:val="00BD38C4"/>
    <w:rsid w:val="00BD594E"/>
    <w:rsid w:val="00BD7ACA"/>
    <w:rsid w:val="00BE0AB5"/>
    <w:rsid w:val="00BE112A"/>
    <w:rsid w:val="00BE1515"/>
    <w:rsid w:val="00BE3457"/>
    <w:rsid w:val="00BE4877"/>
    <w:rsid w:val="00BE4A2D"/>
    <w:rsid w:val="00BE5073"/>
    <w:rsid w:val="00BE5478"/>
    <w:rsid w:val="00BE5DFC"/>
    <w:rsid w:val="00BF2648"/>
    <w:rsid w:val="00BF36F1"/>
    <w:rsid w:val="00BF44BB"/>
    <w:rsid w:val="00C00223"/>
    <w:rsid w:val="00C007D9"/>
    <w:rsid w:val="00C01C88"/>
    <w:rsid w:val="00C02DEE"/>
    <w:rsid w:val="00C03272"/>
    <w:rsid w:val="00C03A7B"/>
    <w:rsid w:val="00C03CCF"/>
    <w:rsid w:val="00C0481C"/>
    <w:rsid w:val="00C05717"/>
    <w:rsid w:val="00C12713"/>
    <w:rsid w:val="00C130BF"/>
    <w:rsid w:val="00C164AE"/>
    <w:rsid w:val="00C16EC2"/>
    <w:rsid w:val="00C17044"/>
    <w:rsid w:val="00C22FC8"/>
    <w:rsid w:val="00C23C31"/>
    <w:rsid w:val="00C277CF"/>
    <w:rsid w:val="00C277D3"/>
    <w:rsid w:val="00C27AAD"/>
    <w:rsid w:val="00C31DD0"/>
    <w:rsid w:val="00C31F0A"/>
    <w:rsid w:val="00C331E8"/>
    <w:rsid w:val="00C33D68"/>
    <w:rsid w:val="00C34C41"/>
    <w:rsid w:val="00C35544"/>
    <w:rsid w:val="00C37060"/>
    <w:rsid w:val="00C37372"/>
    <w:rsid w:val="00C40E38"/>
    <w:rsid w:val="00C41EB4"/>
    <w:rsid w:val="00C42A9F"/>
    <w:rsid w:val="00C42DAB"/>
    <w:rsid w:val="00C445F1"/>
    <w:rsid w:val="00C5247D"/>
    <w:rsid w:val="00C52AA0"/>
    <w:rsid w:val="00C52B00"/>
    <w:rsid w:val="00C53A26"/>
    <w:rsid w:val="00C53AE5"/>
    <w:rsid w:val="00C53B8F"/>
    <w:rsid w:val="00C55531"/>
    <w:rsid w:val="00C563D0"/>
    <w:rsid w:val="00C60D95"/>
    <w:rsid w:val="00C63D01"/>
    <w:rsid w:val="00C640EF"/>
    <w:rsid w:val="00C64C2F"/>
    <w:rsid w:val="00C66C75"/>
    <w:rsid w:val="00C6748B"/>
    <w:rsid w:val="00C7497E"/>
    <w:rsid w:val="00C80CE6"/>
    <w:rsid w:val="00C80CEB"/>
    <w:rsid w:val="00C83656"/>
    <w:rsid w:val="00C918BB"/>
    <w:rsid w:val="00C9359C"/>
    <w:rsid w:val="00C93DA7"/>
    <w:rsid w:val="00C946EB"/>
    <w:rsid w:val="00C94D07"/>
    <w:rsid w:val="00C97A2E"/>
    <w:rsid w:val="00CA250A"/>
    <w:rsid w:val="00CA62C1"/>
    <w:rsid w:val="00CB227C"/>
    <w:rsid w:val="00CB3743"/>
    <w:rsid w:val="00CB4C73"/>
    <w:rsid w:val="00CB6470"/>
    <w:rsid w:val="00CB6818"/>
    <w:rsid w:val="00CC1D9C"/>
    <w:rsid w:val="00CC34AF"/>
    <w:rsid w:val="00CC6134"/>
    <w:rsid w:val="00CD1256"/>
    <w:rsid w:val="00CD3A37"/>
    <w:rsid w:val="00CD3E9D"/>
    <w:rsid w:val="00CD5CD5"/>
    <w:rsid w:val="00CD5EB1"/>
    <w:rsid w:val="00CD6841"/>
    <w:rsid w:val="00CD68B8"/>
    <w:rsid w:val="00CD6BF4"/>
    <w:rsid w:val="00CD71AE"/>
    <w:rsid w:val="00CE33C4"/>
    <w:rsid w:val="00CE5789"/>
    <w:rsid w:val="00CE79D2"/>
    <w:rsid w:val="00CF294F"/>
    <w:rsid w:val="00CF6966"/>
    <w:rsid w:val="00CF6EE5"/>
    <w:rsid w:val="00D009DA"/>
    <w:rsid w:val="00D03886"/>
    <w:rsid w:val="00D059E1"/>
    <w:rsid w:val="00D07050"/>
    <w:rsid w:val="00D078D0"/>
    <w:rsid w:val="00D07EC1"/>
    <w:rsid w:val="00D112E4"/>
    <w:rsid w:val="00D13A14"/>
    <w:rsid w:val="00D163E3"/>
    <w:rsid w:val="00D17A58"/>
    <w:rsid w:val="00D21641"/>
    <w:rsid w:val="00D22A6F"/>
    <w:rsid w:val="00D2565E"/>
    <w:rsid w:val="00D2742D"/>
    <w:rsid w:val="00D312DB"/>
    <w:rsid w:val="00D314A0"/>
    <w:rsid w:val="00D3216F"/>
    <w:rsid w:val="00D35022"/>
    <w:rsid w:val="00D37EEA"/>
    <w:rsid w:val="00D40104"/>
    <w:rsid w:val="00D40230"/>
    <w:rsid w:val="00D43EF0"/>
    <w:rsid w:val="00D45E86"/>
    <w:rsid w:val="00D46E6F"/>
    <w:rsid w:val="00D473EF"/>
    <w:rsid w:val="00D50F50"/>
    <w:rsid w:val="00D5507F"/>
    <w:rsid w:val="00D55758"/>
    <w:rsid w:val="00D57936"/>
    <w:rsid w:val="00D61398"/>
    <w:rsid w:val="00D638D0"/>
    <w:rsid w:val="00D66504"/>
    <w:rsid w:val="00D66533"/>
    <w:rsid w:val="00D672ED"/>
    <w:rsid w:val="00D700BF"/>
    <w:rsid w:val="00D74642"/>
    <w:rsid w:val="00D76899"/>
    <w:rsid w:val="00D81459"/>
    <w:rsid w:val="00D8397C"/>
    <w:rsid w:val="00D87DAA"/>
    <w:rsid w:val="00D918DB"/>
    <w:rsid w:val="00D91ADD"/>
    <w:rsid w:val="00D9353B"/>
    <w:rsid w:val="00D9597E"/>
    <w:rsid w:val="00D971DF"/>
    <w:rsid w:val="00D976A2"/>
    <w:rsid w:val="00DA3914"/>
    <w:rsid w:val="00DA3C5D"/>
    <w:rsid w:val="00DA4A93"/>
    <w:rsid w:val="00DA4DB6"/>
    <w:rsid w:val="00DA6875"/>
    <w:rsid w:val="00DA6F20"/>
    <w:rsid w:val="00DA7702"/>
    <w:rsid w:val="00DB127F"/>
    <w:rsid w:val="00DB1D6B"/>
    <w:rsid w:val="00DB1D7E"/>
    <w:rsid w:val="00DB3DF4"/>
    <w:rsid w:val="00DB4002"/>
    <w:rsid w:val="00DC07EC"/>
    <w:rsid w:val="00DC0E93"/>
    <w:rsid w:val="00DC284D"/>
    <w:rsid w:val="00DC2A92"/>
    <w:rsid w:val="00DC309F"/>
    <w:rsid w:val="00DC671B"/>
    <w:rsid w:val="00DC67E0"/>
    <w:rsid w:val="00DC68B2"/>
    <w:rsid w:val="00DC77CB"/>
    <w:rsid w:val="00DD059D"/>
    <w:rsid w:val="00DD4737"/>
    <w:rsid w:val="00DD5C7B"/>
    <w:rsid w:val="00DD5EB9"/>
    <w:rsid w:val="00DE63CD"/>
    <w:rsid w:val="00DE64CF"/>
    <w:rsid w:val="00DE68F3"/>
    <w:rsid w:val="00DF05D0"/>
    <w:rsid w:val="00DF0B24"/>
    <w:rsid w:val="00DF2597"/>
    <w:rsid w:val="00DF4B40"/>
    <w:rsid w:val="00E00A7E"/>
    <w:rsid w:val="00E01F8B"/>
    <w:rsid w:val="00E04326"/>
    <w:rsid w:val="00E05F34"/>
    <w:rsid w:val="00E16127"/>
    <w:rsid w:val="00E161BA"/>
    <w:rsid w:val="00E16260"/>
    <w:rsid w:val="00E24055"/>
    <w:rsid w:val="00E2621D"/>
    <w:rsid w:val="00E263F5"/>
    <w:rsid w:val="00E269E9"/>
    <w:rsid w:val="00E301C8"/>
    <w:rsid w:val="00E33013"/>
    <w:rsid w:val="00E331F7"/>
    <w:rsid w:val="00E34E81"/>
    <w:rsid w:val="00E34ED1"/>
    <w:rsid w:val="00E3664E"/>
    <w:rsid w:val="00E37454"/>
    <w:rsid w:val="00E37A52"/>
    <w:rsid w:val="00E401EF"/>
    <w:rsid w:val="00E41CCB"/>
    <w:rsid w:val="00E455FF"/>
    <w:rsid w:val="00E46795"/>
    <w:rsid w:val="00E475F5"/>
    <w:rsid w:val="00E5285F"/>
    <w:rsid w:val="00E612F5"/>
    <w:rsid w:val="00E61432"/>
    <w:rsid w:val="00E6156D"/>
    <w:rsid w:val="00E63542"/>
    <w:rsid w:val="00E64A23"/>
    <w:rsid w:val="00E651D0"/>
    <w:rsid w:val="00E743A1"/>
    <w:rsid w:val="00E74AF6"/>
    <w:rsid w:val="00E75F98"/>
    <w:rsid w:val="00E80DFF"/>
    <w:rsid w:val="00E81B46"/>
    <w:rsid w:val="00E84434"/>
    <w:rsid w:val="00E8490C"/>
    <w:rsid w:val="00E8725A"/>
    <w:rsid w:val="00E90A73"/>
    <w:rsid w:val="00E9106D"/>
    <w:rsid w:val="00E91BC3"/>
    <w:rsid w:val="00E9221D"/>
    <w:rsid w:val="00E94E95"/>
    <w:rsid w:val="00E95466"/>
    <w:rsid w:val="00E95602"/>
    <w:rsid w:val="00E960DD"/>
    <w:rsid w:val="00E96397"/>
    <w:rsid w:val="00E97579"/>
    <w:rsid w:val="00E97A2F"/>
    <w:rsid w:val="00E97F36"/>
    <w:rsid w:val="00EA1481"/>
    <w:rsid w:val="00EA3A41"/>
    <w:rsid w:val="00EA7184"/>
    <w:rsid w:val="00EB02FD"/>
    <w:rsid w:val="00EB0664"/>
    <w:rsid w:val="00EB2084"/>
    <w:rsid w:val="00EB25A3"/>
    <w:rsid w:val="00EB3084"/>
    <w:rsid w:val="00EB43B6"/>
    <w:rsid w:val="00EB6ED5"/>
    <w:rsid w:val="00EC2750"/>
    <w:rsid w:val="00EC6DC0"/>
    <w:rsid w:val="00ED13DB"/>
    <w:rsid w:val="00ED47AC"/>
    <w:rsid w:val="00ED48B4"/>
    <w:rsid w:val="00ED5F3C"/>
    <w:rsid w:val="00ED68CA"/>
    <w:rsid w:val="00ED6B58"/>
    <w:rsid w:val="00EE2FB1"/>
    <w:rsid w:val="00EE3BC3"/>
    <w:rsid w:val="00EF01B2"/>
    <w:rsid w:val="00EF234C"/>
    <w:rsid w:val="00EF23A3"/>
    <w:rsid w:val="00EF2F8C"/>
    <w:rsid w:val="00EF5151"/>
    <w:rsid w:val="00F02A5B"/>
    <w:rsid w:val="00F04960"/>
    <w:rsid w:val="00F06387"/>
    <w:rsid w:val="00F07FCA"/>
    <w:rsid w:val="00F101D6"/>
    <w:rsid w:val="00F1025A"/>
    <w:rsid w:val="00F1213C"/>
    <w:rsid w:val="00F23278"/>
    <w:rsid w:val="00F2540C"/>
    <w:rsid w:val="00F25EAA"/>
    <w:rsid w:val="00F262D1"/>
    <w:rsid w:val="00F266A2"/>
    <w:rsid w:val="00F27498"/>
    <w:rsid w:val="00F31095"/>
    <w:rsid w:val="00F313B8"/>
    <w:rsid w:val="00F324F9"/>
    <w:rsid w:val="00F340CA"/>
    <w:rsid w:val="00F37325"/>
    <w:rsid w:val="00F41936"/>
    <w:rsid w:val="00F43601"/>
    <w:rsid w:val="00F4379F"/>
    <w:rsid w:val="00F4778D"/>
    <w:rsid w:val="00F50DB1"/>
    <w:rsid w:val="00F55E8C"/>
    <w:rsid w:val="00F55F04"/>
    <w:rsid w:val="00F569FC"/>
    <w:rsid w:val="00F572F1"/>
    <w:rsid w:val="00F73754"/>
    <w:rsid w:val="00F73AB1"/>
    <w:rsid w:val="00F7586A"/>
    <w:rsid w:val="00F77438"/>
    <w:rsid w:val="00F81E8E"/>
    <w:rsid w:val="00F85FA0"/>
    <w:rsid w:val="00F8660A"/>
    <w:rsid w:val="00F90207"/>
    <w:rsid w:val="00F92925"/>
    <w:rsid w:val="00F93769"/>
    <w:rsid w:val="00F949C0"/>
    <w:rsid w:val="00F961B6"/>
    <w:rsid w:val="00FA0E5D"/>
    <w:rsid w:val="00FA1986"/>
    <w:rsid w:val="00FA358D"/>
    <w:rsid w:val="00FA66C7"/>
    <w:rsid w:val="00FA68D8"/>
    <w:rsid w:val="00FA71D0"/>
    <w:rsid w:val="00FB042D"/>
    <w:rsid w:val="00FB4B59"/>
    <w:rsid w:val="00FB5764"/>
    <w:rsid w:val="00FB578F"/>
    <w:rsid w:val="00FC0177"/>
    <w:rsid w:val="00FC2205"/>
    <w:rsid w:val="00FC243F"/>
    <w:rsid w:val="00FC54E7"/>
    <w:rsid w:val="00FC698E"/>
    <w:rsid w:val="00FD0851"/>
    <w:rsid w:val="00FD1FF1"/>
    <w:rsid w:val="00FD43D0"/>
    <w:rsid w:val="00FE06F6"/>
    <w:rsid w:val="00FE1299"/>
    <w:rsid w:val="00FE1512"/>
    <w:rsid w:val="00FE1FC2"/>
    <w:rsid w:val="00FE4552"/>
    <w:rsid w:val="00FE4BFF"/>
    <w:rsid w:val="00FE4E1E"/>
    <w:rsid w:val="00FF0F15"/>
    <w:rsid w:val="00FF481C"/>
    <w:rsid w:val="00FF7858"/>
    <w:rsid w:val="00FF7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D8F89-F254-2C4F-9E95-A2B3350CA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F3937"/>
    <w:rPr>
      <w:rFonts w:ascii="宋体" w:eastAsia="宋体"/>
      <w:sz w:val="18"/>
      <w:szCs w:val="18"/>
    </w:rPr>
  </w:style>
  <w:style w:type="character" w:customStyle="1" w:styleId="a4">
    <w:name w:val="批注框文本 字符"/>
    <w:basedOn w:val="a0"/>
    <w:link w:val="a3"/>
    <w:uiPriority w:val="99"/>
    <w:semiHidden/>
    <w:rsid w:val="007F3937"/>
    <w:rPr>
      <w:rFonts w:ascii="宋体" w:eastAsia="宋体"/>
      <w:sz w:val="18"/>
      <w:szCs w:val="18"/>
    </w:rPr>
  </w:style>
  <w:style w:type="paragraph" w:customStyle="1" w:styleId="EndNoteBibliographyTitle">
    <w:name w:val="EndNote Bibliography Title"/>
    <w:basedOn w:val="a"/>
    <w:link w:val="EndNoteBibliographyTitle0"/>
    <w:rsid w:val="00F8660A"/>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F8660A"/>
    <w:rPr>
      <w:rFonts w:ascii="DengXian" w:eastAsia="DengXian" w:hAnsi="DengXian"/>
      <w:sz w:val="20"/>
    </w:rPr>
  </w:style>
  <w:style w:type="paragraph" w:customStyle="1" w:styleId="EndNoteBibliography">
    <w:name w:val="EndNote Bibliography"/>
    <w:basedOn w:val="a"/>
    <w:link w:val="EndNoteBibliography0"/>
    <w:rsid w:val="00F8660A"/>
    <w:rPr>
      <w:rFonts w:ascii="DengXian" w:eastAsia="DengXian" w:hAnsi="DengXian"/>
      <w:sz w:val="20"/>
    </w:rPr>
  </w:style>
  <w:style w:type="character" w:customStyle="1" w:styleId="EndNoteBibliography0">
    <w:name w:val="EndNote Bibliography 字符"/>
    <w:basedOn w:val="a0"/>
    <w:link w:val="EndNoteBibliography"/>
    <w:rsid w:val="00F8660A"/>
    <w:rPr>
      <w:rFonts w:ascii="DengXian" w:eastAsia="DengXian" w:hAnsi="DengXian"/>
      <w:sz w:val="20"/>
    </w:rPr>
  </w:style>
  <w:style w:type="paragraph" w:styleId="a5">
    <w:name w:val="footer"/>
    <w:basedOn w:val="a"/>
    <w:link w:val="a6"/>
    <w:uiPriority w:val="99"/>
    <w:unhideWhenUsed/>
    <w:rsid w:val="00637692"/>
    <w:pPr>
      <w:tabs>
        <w:tab w:val="center" w:pos="4153"/>
        <w:tab w:val="right" w:pos="8306"/>
      </w:tabs>
      <w:snapToGrid w:val="0"/>
      <w:jc w:val="left"/>
    </w:pPr>
    <w:rPr>
      <w:sz w:val="18"/>
      <w:szCs w:val="18"/>
    </w:rPr>
  </w:style>
  <w:style w:type="character" w:customStyle="1" w:styleId="a6">
    <w:name w:val="页脚 字符"/>
    <w:basedOn w:val="a0"/>
    <w:link w:val="a5"/>
    <w:uiPriority w:val="99"/>
    <w:rsid w:val="00637692"/>
    <w:rPr>
      <w:sz w:val="18"/>
      <w:szCs w:val="18"/>
    </w:rPr>
  </w:style>
  <w:style w:type="character" w:styleId="a7">
    <w:name w:val="page number"/>
    <w:basedOn w:val="a0"/>
    <w:uiPriority w:val="99"/>
    <w:semiHidden/>
    <w:unhideWhenUsed/>
    <w:rsid w:val="00637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205</Pages>
  <Words>49449</Words>
  <Characters>281861</Characters>
  <Application>Microsoft Office Word</Application>
  <DocSecurity>0</DocSecurity>
  <Lines>2348</Lines>
  <Paragraphs>661</Paragraphs>
  <ScaleCrop>false</ScaleCrop>
  <Company/>
  <LinksUpToDate>false</LinksUpToDate>
  <CharactersWithSpaces>330649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2</cp:revision>
  <dcterms:created xsi:type="dcterms:W3CDTF">2024-10-15T11:52:00Z</dcterms:created>
  <dcterms:modified xsi:type="dcterms:W3CDTF">2024-10-16T10:45:00Z</dcterms:modified>
</cp:coreProperties>
</file>