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129E46" w14:textId="77777777" w:rsidR="00E77104" w:rsidRDefault="00E77104" w:rsidP="00E77104">
      <w:pPr>
        <w:rPr>
          <w:rFonts w:ascii="Times New Roman" w:eastAsia="Times New Roman" w:hAnsi="Times New Roman" w:cs="Times New Roman"/>
          <w:color w:val="000000"/>
        </w:rPr>
      </w:pPr>
      <w:r w:rsidRPr="00C36994">
        <w:rPr>
          <w:rFonts w:ascii="Times New Roman" w:eastAsia="Times New Roman" w:hAnsi="Times New Roman" w:cs="Times New Roman"/>
          <w:b/>
          <w:bCs/>
          <w:color w:val="000000"/>
        </w:rPr>
        <w:t>Supplement 2</w:t>
      </w:r>
      <w:r>
        <w:rPr>
          <w:rFonts w:ascii="Times New Roman" w:eastAsia="Times New Roman" w:hAnsi="Times New Roman" w:cs="Times New Roman"/>
          <w:b/>
          <w:bCs/>
          <w:color w:val="000000"/>
        </w:rPr>
        <w:t xml:space="preserve">. </w:t>
      </w:r>
      <w:r w:rsidRPr="00C36994">
        <w:rPr>
          <w:rFonts w:ascii="Times New Roman" w:eastAsia="Times New Roman" w:hAnsi="Times New Roman" w:cs="Times New Roman"/>
          <w:b/>
          <w:bCs/>
          <w:color w:val="000000"/>
        </w:rPr>
        <w:t>Baseline Measures</w:t>
      </w:r>
    </w:p>
    <w:p w14:paraId="214EDC5E" w14:textId="77777777" w:rsidR="00E77104" w:rsidRPr="00C36994" w:rsidRDefault="00E77104" w:rsidP="00E77104">
      <w:pPr>
        <w:rPr>
          <w:rFonts w:ascii="Times New Roman" w:eastAsia="Times New Roman" w:hAnsi="Times New Roman" w:cs="Times New Roman"/>
          <w:b/>
          <w:bCs/>
          <w:color w:val="000000"/>
        </w:rPr>
      </w:pPr>
    </w:p>
    <w:p w14:paraId="6968BC37" w14:textId="77777777" w:rsidR="00E77104" w:rsidRDefault="00E77104" w:rsidP="00E77104">
      <w:pPr>
        <w:spacing w:line="480" w:lineRule="auto"/>
        <w:ind w:firstLine="720"/>
        <w:rPr>
          <w:rFonts w:ascii="Times New Roman" w:eastAsia="Times New Roman" w:hAnsi="Times New Roman" w:cs="Times New Roman"/>
        </w:rPr>
      </w:pPr>
      <w:r>
        <w:rPr>
          <w:rFonts w:ascii="Times New Roman" w:eastAsia="Times New Roman" w:hAnsi="Times New Roman" w:cs="Times New Roman"/>
        </w:rPr>
        <w:t>Demographics include age, sex, gender, race/ethnicity, ancestry, education, employment status, family members working in healthcare, household income, marital status, number of children, insurance coverage, resources, and total number of people living in the household. Health status asks perceived overall health status, provider’s name, frequency of seeing a doctor, and confidence in filling out medical forms. Participants are also asked about trust in genetics, healthcare, and research as well as genetic testing experiences and sources of learning about genetics. Family health history explores health issues in extended family members.</w:t>
      </w:r>
    </w:p>
    <w:p w14:paraId="7209816A" w14:textId="68D9052B" w:rsidR="00E77104" w:rsidRDefault="00E77104" w:rsidP="00E77104">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To evaluate levels of anxiety, questionnaires include the Generalized Anxiety Disorder Scale and State-Trait Anxiety Inventory (STAI). The Future Orientation Scale evaluates levels of future orientation and delay discounting, “the depreciation of the value of a reward related to the time that it takes to be released” </w:t>
      </w:r>
      <w:r>
        <w:rPr>
          <w:rFonts w:ascii="Times New Roman" w:eastAsia="Times New Roman" w:hAnsi="Times New Roman" w:cs="Times New Roman"/>
        </w:rPr>
        <w:fldChar w:fldCharType="begin">
          <w:fldData xml:space="preserve">PEVuZE5vdGU+PENpdGU+PEF1dGhvcj5NYXR0YTwvQXV0aG9yPjxZZWFyPjIwMTI8L1llYXI+PFJl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</w:fldData>
        </w:fldChar>
      </w:r>
      <w:r>
        <w:rPr>
          <w:rFonts w:ascii="Times New Roman" w:eastAsia="Times New Roman" w:hAnsi="Times New Roman" w:cs="Times New Roman"/>
        </w:rPr>
        <w:instrText xml:space="preserve"> ADDIN EN.CITE </w:instrText>
      </w:r>
      <w:r>
        <w:rPr>
          <w:rFonts w:ascii="Times New Roman" w:eastAsia="Times New Roman" w:hAnsi="Times New Roman" w:cs="Times New Roman"/>
        </w:rPr>
        <w:fldChar w:fldCharType="begin">
          <w:fldData xml:space="preserve">PEVuZE5vdGU+PENpdGU+PEF1dGhvcj5NYXR0YTwvQXV0aG9yPjxZZWFyPjIwMTI8L1llYXI+PFJl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</w:fldData>
        </w:fldChar>
      </w:r>
      <w:r>
        <w:rPr>
          <w:rFonts w:ascii="Times New Roman" w:eastAsia="Times New Roman" w:hAnsi="Times New Roman" w:cs="Times New Roman"/>
        </w:rPr>
        <w:instrText xml:space="preserve"> ADDIN EN.CITE.DATA </w:instrText>
      </w:r>
      <w:r>
        <w:rPr>
          <w:rFonts w:ascii="Times New Roman" w:eastAsia="Times New Roman" w:hAnsi="Times New Roman" w:cs="Times New Roman"/>
        </w:rPr>
      </w:r>
      <w:r>
        <w:rPr>
          <w:rFonts w:ascii="Times New Roman" w:eastAsia="Times New Roman" w:hAnsi="Times New Roman" w:cs="Times New Roman"/>
        </w:rPr>
        <w:fldChar w:fldCharType="end"/>
      </w:r>
      <w:r>
        <w:rPr>
          <w:rFonts w:ascii="Times New Roman" w:eastAsia="Times New Roman" w:hAnsi="Times New Roman" w:cs="Times New Roman"/>
        </w:rPr>
        <w:fldChar w:fldCharType="separate"/>
      </w:r>
      <w:r>
        <w:rPr>
          <w:rFonts w:ascii="Times New Roman" w:eastAsia="Times New Roman" w:hAnsi="Times New Roman" w:cs="Times New Roman"/>
          <w:noProof/>
        </w:rPr>
        <w:t>(1, 2)</w:t>
      </w:r>
      <w:r>
        <w:rPr>
          <w:rFonts w:ascii="Times New Roman" w:eastAsia="Times New Roman" w:hAnsi="Times New Roman" w:cs="Times New Roman"/>
        </w:rPr>
        <w:fldChar w:fldCharType="end"/>
      </w:r>
      <w:r>
        <w:rPr>
          <w:rFonts w:ascii="Times New Roman" w:eastAsia="Times New Roman" w:hAnsi="Times New Roman" w:cs="Times New Roman"/>
        </w:rPr>
        <w:t xml:space="preserve">. The Everyday Discrimination Scale (EDS) and Control Preferences Scale are also administered </w:t>
      </w:r>
      <w:proofErr w:type="gramStart"/>
      <w:r>
        <w:rPr>
          <w:rFonts w:ascii="Times New Roman" w:eastAsia="Times New Roman" w:hAnsi="Times New Roman" w:cs="Times New Roman"/>
        </w:rPr>
        <w:t>at this time</w:t>
      </w:r>
      <w:proofErr w:type="gramEnd"/>
      <w:r>
        <w:rPr>
          <w:rFonts w:ascii="Times New Roman" w:eastAsia="Times New Roman" w:hAnsi="Times New Roman" w:cs="Times New Roman"/>
        </w:rPr>
        <w:t xml:space="preserve"> point. The EDS measures chronic and routine unfair treatment in everyday life </w:t>
      </w:r>
      <w:r>
        <w:rPr>
          <w:rFonts w:ascii="Times New Roman" w:eastAsia="Times New Roman" w:hAnsi="Times New Roman" w:cs="Times New Roman"/>
        </w:rPr>
        <w:fldChar w:fldCharType="begin"/>
      </w:r>
      <w:r>
        <w:rPr>
          <w:rFonts w:ascii="Times New Roman" w:eastAsia="Times New Roman" w:hAnsi="Times New Roman" w:cs="Times New Roman"/>
        </w:rPr>
        <w:instrText xml:space="preserve"> ADDIN EN.CITE &lt;EndNote&gt;&lt;Cite&gt;&lt;Author&gt;Clark&lt;/Author&gt;&lt;Year&gt;2004&lt;/Year&gt;&lt;RecNum&gt;80&lt;/RecNum&gt;&lt;DisplayText&gt;(3)&lt;/DisplayText&gt;&lt;record&gt;&lt;rec-number&gt;80&lt;/rec-number&gt;&lt;foreign-keys&gt;&lt;key app="EN" db-id="fsd0rpwv9dr2e5ezswaxdx5o955dfrt9xtvf" timestamp="1681497473"&gt;80&lt;/key&gt;&lt;/foreign-keys&gt;&lt;ref-type name="Journal Article"&gt;17&lt;/ref-type&gt;&lt;contributors&gt;&lt;authors&gt;&lt;author&gt;Clark, Rodney&lt;/author&gt;&lt;author&gt;Coleman, Apollonia P&lt;/author&gt;&lt;author&gt;Novak, Jeremy D&lt;/author&gt;&lt;/authors&gt;&lt;/contributors&gt;&lt;titles&gt;&lt;title&gt;Brief report: Initial psychometric properties of the everyday discrimination scale in black adolescents&lt;/title&gt;&lt;secondary-title&gt;Journal of adolescence&lt;/secondary-title&gt;&lt;/titles&gt;&lt;periodical&gt;&lt;full-title&gt;Journal of adolescence&lt;/full-title&gt;&lt;/periodical&gt;&lt;pages&gt;363-368&lt;/pages&gt;&lt;volume&gt;27&lt;/volume&gt;&lt;number&gt;3&lt;/number&gt;&lt;dates&gt;&lt;year&gt;2004&lt;/year&gt;&lt;/dates&gt;&lt;isbn&gt;0140-1971&lt;/isbn&gt;&lt;urls&gt;&lt;/urls&gt;&lt;/record&gt;&lt;/Cite&gt;&lt;/EndNote&gt;</w:instrText>
      </w:r>
      <w:r>
        <w:rPr>
          <w:rFonts w:ascii="Times New Roman" w:eastAsia="Times New Roman" w:hAnsi="Times New Roman" w:cs="Times New Roman"/>
        </w:rPr>
        <w:fldChar w:fldCharType="separate"/>
      </w:r>
      <w:r>
        <w:rPr>
          <w:rFonts w:ascii="Times New Roman" w:eastAsia="Times New Roman" w:hAnsi="Times New Roman" w:cs="Times New Roman"/>
          <w:noProof/>
        </w:rPr>
        <w:t>(3)</w:t>
      </w:r>
      <w:r>
        <w:rPr>
          <w:rFonts w:ascii="Times New Roman" w:eastAsia="Times New Roman" w:hAnsi="Times New Roman" w:cs="Times New Roman"/>
        </w:rPr>
        <w:fldChar w:fldCharType="end"/>
      </w:r>
      <w:r>
        <w:rPr>
          <w:rFonts w:ascii="Times New Roman" w:eastAsia="Times New Roman" w:hAnsi="Times New Roman" w:cs="Times New Roman"/>
        </w:rPr>
        <w:t xml:space="preserve">. The Control Preferences Scale assesses the degree of control an individual wants to assume when decisions are being made about medical treatment </w:t>
      </w:r>
      <w:r>
        <w:rPr>
          <w:rFonts w:ascii="Times New Roman" w:eastAsia="Times New Roman" w:hAnsi="Times New Roman" w:cs="Times New Roman"/>
        </w:rPr>
        <w:fldChar w:fldCharType="begin"/>
      </w:r>
      <w:r>
        <w:rPr>
          <w:rFonts w:ascii="Times New Roman" w:eastAsia="Times New Roman" w:hAnsi="Times New Roman" w:cs="Times New Roman"/>
        </w:rPr>
        <w:instrText xml:space="preserve"> ADDIN EN.CITE &lt;EndNote&gt;&lt;Cite&gt;&lt;Author&gt;Degner&lt;/Author&gt;&lt;Year&gt;1997&lt;/Year&gt;&lt;RecNum&gt;81&lt;/RecNum&gt;&lt;DisplayText&gt;(4)&lt;/DisplayText&gt;&lt;record&gt;&lt;rec-number&gt;81&lt;/rec-number&gt;&lt;foreign-keys&gt;&lt;key app="EN" db-id="fsd0rpwv9dr2e5ezswaxdx5o955dfrt9xtvf" timestamp="1681497530"&gt;81&lt;/key&gt;&lt;/foreign-keys&gt;&lt;ref-type name="Journal Article"&gt;17&lt;/ref-type&gt;&lt;contributors&gt;&lt;authors&gt;&lt;author&gt;Degner, Lesley F&lt;/author&gt;&lt;author&gt;Sloan, Jeff A&lt;/author&gt;&lt;author&gt;Venkatesh, Peri&lt;/author&gt;&lt;/authors&gt;&lt;/contributors&gt;&lt;titles&gt;&lt;title&gt;The control preferences scale&lt;/title&gt;&lt;secondary-title&gt;Canadian Journal of Nursing Research Archive&lt;/secondary-title&gt;&lt;/titles&gt;&lt;periodical&gt;&lt;full-title&gt;Canadian Journal of Nursing Research Archive&lt;/full-title&gt;&lt;/periodical&gt;&lt;pages&gt;21-44&lt;/pages&gt;&lt;dates&gt;&lt;year&gt;1997&lt;/year&gt;&lt;/dates&gt;&lt;isbn&gt;1705-7051&lt;/isbn&gt;&lt;urls&gt;&lt;/urls&gt;&lt;/record&gt;&lt;/Cite&gt;&lt;/EndNote&gt;</w:instrText>
      </w:r>
      <w:r>
        <w:rPr>
          <w:rFonts w:ascii="Times New Roman" w:eastAsia="Times New Roman" w:hAnsi="Times New Roman" w:cs="Times New Roman"/>
        </w:rPr>
        <w:fldChar w:fldCharType="separate"/>
      </w:r>
      <w:r>
        <w:rPr>
          <w:rFonts w:ascii="Times New Roman" w:eastAsia="Times New Roman" w:hAnsi="Times New Roman" w:cs="Times New Roman"/>
          <w:noProof/>
        </w:rPr>
        <w:t>(4)</w:t>
      </w:r>
      <w:r>
        <w:rPr>
          <w:rFonts w:ascii="Times New Roman" w:eastAsia="Times New Roman" w:hAnsi="Times New Roman" w:cs="Times New Roman"/>
        </w:rPr>
        <w:fldChar w:fldCharType="end"/>
      </w:r>
      <w:r>
        <w:rPr>
          <w:rFonts w:ascii="Times New Roman" w:eastAsia="Times New Roman" w:hAnsi="Times New Roman" w:cs="Times New Roman"/>
        </w:rPr>
        <w:t xml:space="preserve">. In the current study, the Control Preferences Scale is modified so that adolescents, young </w:t>
      </w:r>
      <w:proofErr w:type="gramStart"/>
      <w:r>
        <w:rPr>
          <w:rFonts w:ascii="Times New Roman" w:eastAsia="Times New Roman" w:hAnsi="Times New Roman" w:cs="Times New Roman"/>
        </w:rPr>
        <w:t>adults</w:t>
      </w:r>
      <w:proofErr w:type="gramEnd"/>
      <w:r>
        <w:rPr>
          <w:rFonts w:ascii="Times New Roman" w:eastAsia="Times New Roman" w:hAnsi="Times New Roman" w:cs="Times New Roman"/>
        </w:rPr>
        <w:t xml:space="preserve"> and parents choose preferred control options that range from the adolescent solely making the decisions regarding genetic testing, through the adolescent making the decisions jointly with the parent, to the parent solely making the decisions.</w:t>
      </w:r>
    </w:p>
    <w:p w14:paraId="71B6ADE0" w14:textId="77777777" w:rsidR="00E77104" w:rsidRDefault="00E77104" w:rsidP="00E77104">
      <w:pPr>
        <w:spacing w:line="480" w:lineRule="auto"/>
        <w:ind w:firstLine="720"/>
        <w:rPr>
          <w:rFonts w:ascii="Times New Roman" w:eastAsia="Times New Roman" w:hAnsi="Times New Roman" w:cs="Times New Roman"/>
        </w:rPr>
      </w:pPr>
      <w:r>
        <w:rPr>
          <w:rFonts w:ascii="Times New Roman" w:eastAsia="Times New Roman" w:hAnsi="Times New Roman" w:cs="Times New Roman"/>
        </w:rPr>
        <w:t>Baseline study-developed questions regarding participants’ perceived risk perceptions of developing certain conditions in their lifetime (cancers that occur in adulthood, bleeding problems or aneurysms, liver or kidney problems, heart diseases leading to early death, and high cholesterol leading to a heart attack</w:t>
      </w:r>
      <w:proofErr w:type="gramStart"/>
      <w:r>
        <w:rPr>
          <w:rFonts w:ascii="Times New Roman" w:eastAsia="Times New Roman" w:hAnsi="Times New Roman" w:cs="Times New Roman"/>
        </w:rPr>
        <w:t>)</w:t>
      </w:r>
      <w:proofErr w:type="gramEnd"/>
      <w:r>
        <w:rPr>
          <w:rFonts w:ascii="Times New Roman" w:eastAsia="Times New Roman" w:hAnsi="Times New Roman" w:cs="Times New Roman"/>
        </w:rPr>
        <w:t xml:space="preserve"> and the type of genetic testing results they think they are </w:t>
      </w:r>
      <w:r>
        <w:rPr>
          <w:rFonts w:ascii="Times New Roman" w:eastAsia="Times New Roman" w:hAnsi="Times New Roman" w:cs="Times New Roman"/>
        </w:rPr>
        <w:lastRenderedPageBreak/>
        <w:t xml:space="preserve">most likely to receive are also asked. If participants answer that they believe they will receive one or more positive test results, they are asked if they think they will receive a positive result for any of the following: abnormal heart beats, breast cancer, colon cancer, heart muscle disorder, high cholesterol, carrier result, risk for serious bleeding, tumor/cancer syndrome, risk for a kidney problem, risk for a liver problem, or other. </w:t>
      </w:r>
    </w:p>
    <w:p w14:paraId="083959A6" w14:textId="2E598A50" w:rsidR="00E77104" w:rsidRDefault="00E77104" w:rsidP="00E77104">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One section of the Inventory of Parent and Peer Attachment (IPPA) is also administered at baseline, specifically the section measuring parent-child relationships </w:t>
      </w:r>
      <w:r>
        <w:rPr>
          <w:rFonts w:ascii="Times New Roman" w:eastAsia="Times New Roman" w:hAnsi="Times New Roman" w:cs="Times New Roman"/>
        </w:rPr>
        <w:fldChar w:fldCharType="begin"/>
      </w:r>
      <w:r>
        <w:rPr>
          <w:rFonts w:ascii="Times New Roman" w:eastAsia="Times New Roman" w:hAnsi="Times New Roman" w:cs="Times New Roman"/>
        </w:rPr>
        <w:instrText xml:space="preserve"> ADDIN EN.CITE &lt;EndNote&gt;&lt;Cite&gt;&lt;Author&gt;Armsden&lt;/Author&gt;&lt;Year&gt;1987&lt;/Year&gt;&lt;RecNum&gt;46&lt;/RecNum&gt;&lt;DisplayText&gt;(5)&lt;/DisplayText&gt;&lt;record&gt;&lt;rec-number&gt;46&lt;/rec-number&gt;&lt;foreign-keys&gt;&lt;key app="EN" db-id="fsd0rpwv9dr2e5ezswaxdx5o955dfrt9xtvf" timestamp="1669665823"&gt;46&lt;/key&gt;&lt;/foreign-keys&gt;&lt;ref-type name="Journal Article"&gt;17&lt;/ref-type&gt;&lt;contributors&gt;&lt;authors&gt;&lt;author&gt;Armsden, Gay C&lt;/author&gt;&lt;author&gt;Greenberg, Mark T&lt;/author&gt;&lt;/authors&gt;&lt;/contributors&gt;&lt;titles&gt;&lt;title&gt;The inventory of parent and peer attachment: Individual differences and their relationship to psychological well-being in adolescence&lt;/title&gt;&lt;secondary-title&gt;Journal of youth and adolescence&lt;/secondary-title&gt;&lt;/titles&gt;&lt;periodical&gt;&lt;full-title&gt;Journal of youth and adolescence&lt;/full-title&gt;&lt;/periodical&gt;&lt;pages&gt;427-454&lt;/pages&gt;&lt;volume&gt;16&lt;/volume&gt;&lt;number&gt;5&lt;/number&gt;&lt;dates&gt;&lt;year&gt;1987&lt;/year&gt;&lt;/dates&gt;&lt;isbn&gt;1573-6601&lt;/isbn&gt;&lt;urls&gt;&lt;/urls&gt;&lt;/record&gt;&lt;/Cite&gt;&lt;/EndNote&gt;</w:instrText>
      </w:r>
      <w:r>
        <w:rPr>
          <w:rFonts w:ascii="Times New Roman" w:eastAsia="Times New Roman" w:hAnsi="Times New Roman" w:cs="Times New Roman"/>
        </w:rPr>
        <w:fldChar w:fldCharType="separate"/>
      </w:r>
      <w:r>
        <w:rPr>
          <w:rFonts w:ascii="Times New Roman" w:eastAsia="Times New Roman" w:hAnsi="Times New Roman" w:cs="Times New Roman"/>
          <w:noProof/>
        </w:rPr>
        <w:t>(5)</w:t>
      </w:r>
      <w:r>
        <w:rPr>
          <w:rFonts w:ascii="Times New Roman" w:eastAsia="Times New Roman" w:hAnsi="Times New Roman" w:cs="Times New Roman"/>
        </w:rPr>
        <w:fldChar w:fldCharType="end"/>
      </w:r>
      <w:r>
        <w:rPr>
          <w:rFonts w:ascii="Times New Roman" w:eastAsia="Times New Roman" w:hAnsi="Times New Roman" w:cs="Times New Roman"/>
        </w:rPr>
        <w:t xml:space="preserve">. Peer relationships are not measured. Only adolescent participants complete the IPPA, which measures the quality of the adolescent’s relationship with his or her parent/legal guardian. It examines trust, communication, and feelings the adolescent may have toward his or her parent/legal guardian. Assenting adolescents are asked to consider their parent or guardian who enrolled in the study when completing the IPPA. Consenting young adults who do not involve a parent are asked to consider the parent who they would have brought to the study with them, if they were under 18 years old. </w:t>
      </w:r>
    </w:p>
    <w:p w14:paraId="168A9A37" w14:textId="6437F223" w:rsidR="00E77104" w:rsidRDefault="00E77104">
      <w:pPr>
        <w:rPr>
          <w:rFonts w:ascii="Times New Roman" w:eastAsia="Times New Roman" w:hAnsi="Times New Roman" w:cs="Times New Roman"/>
          <w:color w:val="000000"/>
        </w:rPr>
      </w:pPr>
    </w:p>
    <w:p w14:paraId="5151089F" w14:textId="04505193" w:rsidR="00E77104" w:rsidRPr="00E77104" w:rsidRDefault="00E77104" w:rsidP="00E77104">
      <w:pPr>
        <w:jc w:val="center"/>
        <w:rPr>
          <w:rFonts w:ascii="Times New Roman" w:eastAsia="Times New Roman" w:hAnsi="Times New Roman" w:cs="Times New Roman"/>
          <w:b/>
          <w:bCs/>
          <w:color w:val="000000"/>
        </w:rPr>
      </w:pPr>
      <w:r w:rsidRPr="00E77104">
        <w:rPr>
          <w:rFonts w:ascii="Times New Roman" w:eastAsia="Times New Roman" w:hAnsi="Times New Roman" w:cs="Times New Roman"/>
          <w:b/>
          <w:bCs/>
          <w:color w:val="000000"/>
        </w:rPr>
        <w:t>References</w:t>
      </w:r>
    </w:p>
    <w:p w14:paraId="7CA572E9" w14:textId="77777777" w:rsidR="00E77104" w:rsidRPr="00E77104" w:rsidRDefault="00E77104">
      <w:pPr>
        <w:rPr>
          <w:rFonts w:ascii="Times New Roman" w:eastAsia="Times New Roman" w:hAnsi="Times New Roman" w:cs="Times New Roman"/>
          <w:color w:val="000000"/>
        </w:rPr>
      </w:pPr>
    </w:p>
    <w:p w14:paraId="462CE07C" w14:textId="77777777" w:rsidR="00E77104" w:rsidRPr="00E77104" w:rsidRDefault="00E77104" w:rsidP="00E77104">
      <w:pPr>
        <w:pStyle w:val="EndNoteBibliography"/>
        <w:rPr>
          <w:rFonts w:ascii="Times New Roman" w:hAnsi="Times New Roman" w:cs="Times New Roman"/>
        </w:rPr>
      </w:pPr>
      <w:r w:rsidRPr="00E77104">
        <w:rPr>
          <w:rFonts w:ascii="Times New Roman" w:eastAsia="Times New Roman" w:hAnsi="Times New Roman" w:cs="Times New Roman"/>
          <w:color w:val="000000"/>
        </w:rPr>
        <w:fldChar w:fldCharType="begin"/>
      </w:r>
      <w:r w:rsidRPr="00E77104">
        <w:rPr>
          <w:rFonts w:ascii="Times New Roman" w:eastAsia="Times New Roman" w:hAnsi="Times New Roman" w:cs="Times New Roman"/>
          <w:color w:val="000000"/>
        </w:rPr>
        <w:instrText xml:space="preserve"> ADDIN EN.REFLIST </w:instrText>
      </w:r>
      <w:r w:rsidRPr="00E77104">
        <w:rPr>
          <w:rFonts w:ascii="Times New Roman" w:eastAsia="Times New Roman" w:hAnsi="Times New Roman" w:cs="Times New Roman"/>
          <w:color w:val="000000"/>
        </w:rPr>
        <w:fldChar w:fldCharType="separate"/>
      </w:r>
      <w:r w:rsidRPr="00E77104">
        <w:rPr>
          <w:rFonts w:ascii="Times New Roman" w:hAnsi="Times New Roman" w:cs="Times New Roman"/>
        </w:rPr>
        <w:t>1.</w:t>
      </w:r>
      <w:r w:rsidRPr="00E77104">
        <w:rPr>
          <w:rFonts w:ascii="Times New Roman" w:hAnsi="Times New Roman" w:cs="Times New Roman"/>
        </w:rPr>
        <w:tab/>
        <w:t>Matta Ad, Gonçalves FL, Bizarro L. Delay discounting: Concepts and measures. Psychology &amp; Neuroscience. 2012;5:135-46.</w:t>
      </w:r>
    </w:p>
    <w:p w14:paraId="70FE312E" w14:textId="77777777" w:rsidR="00E77104" w:rsidRPr="00E77104" w:rsidRDefault="00E77104" w:rsidP="00E77104">
      <w:pPr>
        <w:pStyle w:val="EndNoteBibliography"/>
        <w:rPr>
          <w:rFonts w:ascii="Times New Roman" w:hAnsi="Times New Roman" w:cs="Times New Roman"/>
        </w:rPr>
      </w:pPr>
      <w:r w:rsidRPr="00E77104">
        <w:rPr>
          <w:rFonts w:ascii="Times New Roman" w:hAnsi="Times New Roman" w:cs="Times New Roman"/>
        </w:rPr>
        <w:t>2.</w:t>
      </w:r>
      <w:r w:rsidRPr="00E77104">
        <w:rPr>
          <w:rFonts w:ascii="Times New Roman" w:hAnsi="Times New Roman" w:cs="Times New Roman"/>
        </w:rPr>
        <w:tab/>
        <w:t>Steinberg L, Graham S, O'Brien L, Woolard J, Cauffman E, Banich M. Age differences in future orientation and delay discounting. Child Dev. 2009;80(1):28-44.</w:t>
      </w:r>
    </w:p>
    <w:p w14:paraId="56D22671" w14:textId="77777777" w:rsidR="00E77104" w:rsidRPr="00E77104" w:rsidRDefault="00E77104" w:rsidP="00E77104">
      <w:pPr>
        <w:pStyle w:val="EndNoteBibliography"/>
        <w:rPr>
          <w:rFonts w:ascii="Times New Roman" w:hAnsi="Times New Roman" w:cs="Times New Roman"/>
        </w:rPr>
      </w:pPr>
      <w:r w:rsidRPr="00E77104">
        <w:rPr>
          <w:rFonts w:ascii="Times New Roman" w:hAnsi="Times New Roman" w:cs="Times New Roman"/>
        </w:rPr>
        <w:t>3.</w:t>
      </w:r>
      <w:r w:rsidRPr="00E77104">
        <w:rPr>
          <w:rFonts w:ascii="Times New Roman" w:hAnsi="Times New Roman" w:cs="Times New Roman"/>
        </w:rPr>
        <w:tab/>
        <w:t>Clark R, Coleman AP, Novak JD. Brief report: Initial psychometric properties of the everyday discrimination scale in black adolescents. Journal of adolescence. 2004;27(3):363-8.</w:t>
      </w:r>
    </w:p>
    <w:p w14:paraId="34C49782" w14:textId="77777777" w:rsidR="00E77104" w:rsidRPr="00E77104" w:rsidRDefault="00E77104" w:rsidP="00E77104">
      <w:pPr>
        <w:pStyle w:val="EndNoteBibliography"/>
        <w:rPr>
          <w:rFonts w:ascii="Times New Roman" w:hAnsi="Times New Roman" w:cs="Times New Roman"/>
        </w:rPr>
      </w:pPr>
      <w:r w:rsidRPr="00E77104">
        <w:rPr>
          <w:rFonts w:ascii="Times New Roman" w:hAnsi="Times New Roman" w:cs="Times New Roman"/>
        </w:rPr>
        <w:t>4.</w:t>
      </w:r>
      <w:r w:rsidRPr="00E77104">
        <w:rPr>
          <w:rFonts w:ascii="Times New Roman" w:hAnsi="Times New Roman" w:cs="Times New Roman"/>
        </w:rPr>
        <w:tab/>
        <w:t>Degner LF, Sloan JA, Venkatesh P. The control preferences scale. Canadian Journal of Nursing Research Archive. 1997:21-44.</w:t>
      </w:r>
    </w:p>
    <w:p w14:paraId="4EE85E5E" w14:textId="77777777" w:rsidR="00E77104" w:rsidRPr="00E77104" w:rsidRDefault="00E77104" w:rsidP="00E77104">
      <w:pPr>
        <w:pStyle w:val="EndNoteBibliography"/>
        <w:rPr>
          <w:rFonts w:ascii="Times New Roman" w:hAnsi="Times New Roman" w:cs="Times New Roman"/>
        </w:rPr>
      </w:pPr>
      <w:r w:rsidRPr="00E77104">
        <w:rPr>
          <w:rFonts w:ascii="Times New Roman" w:hAnsi="Times New Roman" w:cs="Times New Roman"/>
        </w:rPr>
        <w:t>5.</w:t>
      </w:r>
      <w:r w:rsidRPr="00E77104">
        <w:rPr>
          <w:rFonts w:ascii="Times New Roman" w:hAnsi="Times New Roman" w:cs="Times New Roman"/>
        </w:rPr>
        <w:tab/>
        <w:t>Armsden GC, Greenberg MT. The inventory of parent and peer attachment: Individual differences and their relationship to psychological well-being in adolescence. Journal of youth and adolescence. 1987;16(5):427-54.</w:t>
      </w:r>
    </w:p>
    <w:p w14:paraId="1A0D3420" w14:textId="7C89D61F" w:rsidR="00314034" w:rsidRPr="00E77104" w:rsidRDefault="00E77104">
      <w:pPr>
        <w:rPr>
          <w:rFonts w:ascii="Times New Roman" w:eastAsia="Times New Roman" w:hAnsi="Times New Roman" w:cs="Times New Roman"/>
          <w:color w:val="000000"/>
        </w:rPr>
      </w:pPr>
      <w:r w:rsidRPr="00E77104">
        <w:rPr>
          <w:rFonts w:ascii="Times New Roman" w:eastAsia="Times New Roman" w:hAnsi="Times New Roman" w:cs="Times New Roman"/>
          <w:color w:val="000000"/>
        </w:rPr>
        <w:fldChar w:fldCharType="end"/>
      </w:r>
    </w:p>
    <w:sectPr w:rsidR="00314034" w:rsidRPr="00E771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sd0rpwv9dr2e5ezswaxdx5o955dfrt9xtvf&quot;&gt;e3 RoR EndNote&lt;record-ids&gt;&lt;item&gt;46&lt;/item&gt;&lt;item&gt;54&lt;/item&gt;&lt;item&gt;70&lt;/item&gt;&lt;item&gt;80&lt;/item&gt;&lt;item&gt;81&lt;/item&gt;&lt;/record-ids&gt;&lt;/item&gt;&lt;/Libraries&gt;"/>
  </w:docVars>
  <w:rsids>
    <w:rsidRoot w:val="00E77104"/>
    <w:rsid w:val="00314034"/>
    <w:rsid w:val="00E771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B9B8E"/>
  <w15:chartTrackingRefBased/>
  <w15:docId w15:val="{9D8AD6FB-CB9B-4336-A3ED-330AD7266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7104"/>
    <w:pPr>
      <w:spacing w:after="0" w:line="240" w:lineRule="auto"/>
    </w:pPr>
    <w:rPr>
      <w:rFonts w:ascii="Calibri" w:eastAsia="Calibri" w:hAnsi="Calibri" w:cs="Calibri"/>
      <w:kern w:val="0"/>
      <w:sz w:val="24"/>
      <w:szCs w:val="24"/>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E77104"/>
    <w:pPr>
      <w:jc w:val="center"/>
    </w:pPr>
    <w:rPr>
      <w:noProof/>
    </w:rPr>
  </w:style>
  <w:style w:type="character" w:customStyle="1" w:styleId="EndNoteBibliographyTitleChar">
    <w:name w:val="EndNote Bibliography Title Char"/>
    <w:basedOn w:val="DefaultParagraphFont"/>
    <w:link w:val="EndNoteBibliographyTitle"/>
    <w:rsid w:val="00E77104"/>
    <w:rPr>
      <w:rFonts w:ascii="Calibri" w:eastAsia="Calibri" w:hAnsi="Calibri" w:cs="Calibri"/>
      <w:noProof/>
      <w:kern w:val="0"/>
      <w:sz w:val="24"/>
      <w:szCs w:val="24"/>
      <w14:ligatures w14:val="none"/>
    </w:rPr>
  </w:style>
  <w:style w:type="paragraph" w:customStyle="1" w:styleId="EndNoteBibliography">
    <w:name w:val="EndNote Bibliography"/>
    <w:basedOn w:val="Normal"/>
    <w:link w:val="EndNoteBibliographyChar"/>
    <w:rsid w:val="00E77104"/>
    <w:rPr>
      <w:noProof/>
    </w:rPr>
  </w:style>
  <w:style w:type="character" w:customStyle="1" w:styleId="EndNoteBibliographyChar">
    <w:name w:val="EndNote Bibliography Char"/>
    <w:basedOn w:val="DefaultParagraphFont"/>
    <w:link w:val="EndNoteBibliography"/>
    <w:rsid w:val="00E77104"/>
    <w:rPr>
      <w:rFonts w:ascii="Calibri" w:eastAsia="Calibri" w:hAnsi="Calibri" w:cs="Calibri"/>
      <w:noProof/>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1005</Words>
  <Characters>5735</Characters>
  <Application>Microsoft Office Word</Application>
  <DocSecurity>0</DocSecurity>
  <Lines>47</Lines>
  <Paragraphs>13</Paragraphs>
  <ScaleCrop>false</ScaleCrop>
  <Company/>
  <LinksUpToDate>false</LinksUpToDate>
  <CharactersWithSpaces>6727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Blumling, Amy</dc:creator>
  <cp:keywords/>
  <dc:description/>
  <cp:lastModifiedBy>Blumling, Amy</cp:lastModifiedBy>
  <cp:revision>1</cp:revision>
  <dcterms:created xsi:type="dcterms:W3CDTF">2023-04-14T18:40:00Z</dcterms:created>
  <dcterms:modified xsi:type="dcterms:W3CDTF">2023-04-14T18:42:00Z</dcterms:modified>
</cp:coreProperties>
</file>