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2F12D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rPr>
          <w:rFonts w:ascii="Times New Roman" w:hAnsi="Times New Roman" w:eastAsia="等线"/>
          <w:b/>
          <w:bCs/>
          <w:sz w:val="28"/>
          <w:szCs w:val="28"/>
        </w:rPr>
      </w:pPr>
      <w:r>
        <w:rPr>
          <w:rFonts w:ascii="Times New Roman" w:hAnsi="Times New Roman" w:eastAsia="等线"/>
          <w:b/>
          <w:bCs/>
          <w:sz w:val="28"/>
          <w:szCs w:val="28"/>
        </w:rPr>
        <w:t>Supplementary Materials for</w:t>
      </w:r>
    </w:p>
    <w:p w14:paraId="2794D4D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rPr>
          <w:rFonts w:ascii="Times New Roman" w:hAnsi="Times New Roman" w:eastAsia="等线"/>
          <w:b/>
          <w:bCs/>
          <w:sz w:val="28"/>
          <w:szCs w:val="28"/>
        </w:rPr>
      </w:pPr>
      <w:r>
        <w:rPr>
          <w:rFonts w:ascii="Times New Roman" w:hAnsi="Times New Roman" w:eastAsia="等线"/>
          <w:b/>
          <w:bCs/>
          <w:sz w:val="28"/>
          <w:szCs w:val="28"/>
        </w:rPr>
        <w:t>Death risk prediction model for patients with non-traumatic intracerebral hemorrhage</w:t>
      </w:r>
    </w:p>
    <w:p w14:paraId="13B674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rPr>
          <w:rFonts w:ascii="Times New Roman" w:hAnsi="Times New Roman" w:eastAsia="等线"/>
          <w:sz w:val="24"/>
          <w:szCs w:val="24"/>
        </w:rPr>
      </w:pPr>
    </w:p>
    <w:p w14:paraId="5997B3C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rPr>
          <w:rFonts w:ascii="Times New Roman" w:hAnsi="Times New Roman"/>
          <w:b/>
          <w:bCs/>
          <w:sz w:val="24"/>
          <w:szCs w:val="24"/>
        </w:rPr>
      </w:pPr>
    </w:p>
    <w:p w14:paraId="2BD8363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rPr>
          <w:rFonts w:ascii="Times New Roman" w:hAnsi="Times New Roman"/>
          <w:b/>
          <w:bCs/>
          <w:sz w:val="24"/>
          <w:szCs w:val="24"/>
        </w:rPr>
      </w:pPr>
    </w:p>
    <w:p w14:paraId="20A5289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rPr>
          <w:rFonts w:ascii="Times New Roman" w:hAnsi="Times New Roman"/>
          <w:b/>
          <w:bCs/>
          <w:sz w:val="24"/>
          <w:szCs w:val="24"/>
        </w:rPr>
      </w:pPr>
    </w:p>
    <w:p w14:paraId="7B13C4D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rPr>
          <w:rFonts w:ascii="Times New Roman" w:hAnsi="Times New Roman"/>
          <w:b/>
          <w:bCs/>
          <w:sz w:val="24"/>
          <w:szCs w:val="24"/>
        </w:rPr>
      </w:pPr>
    </w:p>
    <w:p w14:paraId="4073094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</w:pPr>
      <w:r>
        <w:rPr>
          <w:rFonts w:ascii="Times New Roman" w:hAnsi="Times New Roman"/>
          <w:b/>
          <w:bCs/>
          <w:sz w:val="24"/>
          <w:szCs w:val="24"/>
        </w:rPr>
        <w:t>The file includes:</w:t>
      </w:r>
    </w:p>
    <w:p w14:paraId="1836CF6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bottom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Supplemental Table 1</w:t>
      </w:r>
      <w:r>
        <w:rPr>
          <w:rFonts w:hint="eastAsia" w:ascii="Times New Roman" w:hAnsi="Times New Roman"/>
          <w:bCs/>
          <w:sz w:val="24"/>
          <w:szCs w:val="24"/>
        </w:rPr>
        <w:t>、</w:t>
      </w:r>
      <w:r>
        <w:rPr>
          <w:rFonts w:ascii="Times New Roman" w:hAnsi="Times New Roman"/>
          <w:bCs/>
          <w:sz w:val="24"/>
          <w:szCs w:val="24"/>
        </w:rPr>
        <w:t>Table 2</w:t>
      </w:r>
      <w:r>
        <w:rPr>
          <w:rFonts w:hint="eastAsia" w:ascii="Times New Roman" w:hAnsi="Times New Roman"/>
          <w:bCs/>
          <w:sz w:val="24"/>
          <w:szCs w:val="24"/>
        </w:rPr>
        <w:t xml:space="preserve"> 、Table 3</w:t>
      </w:r>
      <w:r>
        <w:rPr>
          <w:rFonts w:hint="eastAsia" w:ascii="Times New Roman" w:hAnsi="Times New Roman"/>
          <w:bCs/>
          <w:sz w:val="24"/>
          <w:szCs w:val="24"/>
          <w:lang w:val="en-US" w:eastAsia="zh-CN"/>
        </w:rPr>
        <w:t xml:space="preserve"> and </w:t>
      </w:r>
      <w:r>
        <w:rPr>
          <w:rFonts w:ascii="Times New Roman" w:hAnsi="Times New Roman"/>
          <w:bCs/>
          <w:sz w:val="24"/>
          <w:szCs w:val="24"/>
        </w:rPr>
        <w:t xml:space="preserve">Table </w:t>
      </w:r>
      <w:r>
        <w:rPr>
          <w:rFonts w:hint="eastAsia" w:ascii="Times New Roman" w:hAnsi="Times New Roman"/>
          <w:bCs/>
          <w:sz w:val="24"/>
          <w:szCs w:val="24"/>
          <w:lang w:val="en-US" w:eastAsia="zh-CN"/>
        </w:rPr>
        <w:t>4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09BFF65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Supplemental Figure 1</w:t>
      </w:r>
    </w:p>
    <w:p w14:paraId="0BAC7EC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rPr>
          <w:rFonts w:ascii="Times New Roman" w:hAnsi="Times New Roman"/>
          <w:bCs/>
          <w:sz w:val="24"/>
          <w:szCs w:val="24"/>
        </w:rPr>
      </w:pPr>
      <w:r>
        <w:rPr>
          <w:rFonts w:hint="eastAsia" w:ascii="Times New Roman" w:hAnsi="Times New Roman"/>
          <w:bCs/>
          <w:sz w:val="24"/>
          <w:szCs w:val="24"/>
        </w:rPr>
        <w:t>Supplementary statement</w:t>
      </w:r>
    </w:p>
    <w:p w14:paraId="1F1F1C6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rPr>
          <w:rFonts w:ascii="Times New Roman" w:hAnsi="Times New Roman"/>
          <w:bCs/>
          <w:sz w:val="24"/>
          <w:szCs w:val="24"/>
        </w:rPr>
      </w:pPr>
    </w:p>
    <w:p w14:paraId="24594EF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rPr>
          <w:rFonts w:ascii="Times New Roman" w:hAnsi="Times New Roman" w:eastAsia="等线"/>
          <w:sz w:val="24"/>
          <w:szCs w:val="24"/>
        </w:rPr>
      </w:pPr>
    </w:p>
    <w:p w14:paraId="1137A69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rPr>
          <w:rFonts w:ascii="Times New Roman" w:hAnsi="Times New Roman" w:eastAsia="等线"/>
          <w:sz w:val="24"/>
          <w:szCs w:val="24"/>
        </w:rPr>
      </w:pPr>
    </w:p>
    <w:p w14:paraId="1EFE933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rPr>
          <w:rFonts w:ascii="Times New Roman" w:hAnsi="Times New Roman" w:eastAsia="等线"/>
          <w:sz w:val="24"/>
          <w:szCs w:val="24"/>
        </w:rPr>
      </w:pPr>
    </w:p>
    <w:p w14:paraId="2761C2A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rPr>
          <w:rFonts w:ascii="Times New Roman" w:hAnsi="Times New Roman" w:eastAsia="等线"/>
          <w:sz w:val="24"/>
          <w:szCs w:val="24"/>
        </w:rPr>
      </w:pPr>
    </w:p>
    <w:p w14:paraId="6C7634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rPr>
          <w:rFonts w:ascii="Times New Roman" w:hAnsi="Times New Roman" w:eastAsia="等线"/>
          <w:sz w:val="24"/>
          <w:szCs w:val="24"/>
        </w:rPr>
      </w:pPr>
    </w:p>
    <w:p w14:paraId="0DD0864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rPr>
          <w:rFonts w:ascii="Times New Roman" w:hAnsi="Times New Roman" w:eastAsia="等线"/>
          <w:sz w:val="24"/>
          <w:szCs w:val="24"/>
        </w:rPr>
      </w:pPr>
    </w:p>
    <w:p w14:paraId="13BD18B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rPr>
          <w:rFonts w:ascii="Times New Roman" w:hAnsi="Times New Roman" w:eastAsia="等线"/>
          <w:sz w:val="24"/>
          <w:szCs w:val="24"/>
        </w:rPr>
      </w:pPr>
    </w:p>
    <w:p w14:paraId="58699E5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rPr>
          <w:rFonts w:ascii="Times New Roman" w:hAnsi="Times New Roman" w:eastAsia="等线"/>
          <w:sz w:val="24"/>
          <w:szCs w:val="24"/>
        </w:rPr>
      </w:pPr>
    </w:p>
    <w:p w14:paraId="4A2FD1C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rPr>
          <w:rFonts w:ascii="Times New Roman" w:hAnsi="Times New Roman" w:eastAsia="等线"/>
          <w:sz w:val="24"/>
          <w:szCs w:val="24"/>
        </w:rPr>
      </w:pPr>
    </w:p>
    <w:p w14:paraId="7E3386F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Supplemental Table </w:t>
      </w:r>
      <w:r>
        <w:rPr>
          <w:rFonts w:hint="eastAsia"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hint="eastAsia" w:ascii="Times New Roman" w:hAnsi="Times New Roman"/>
          <w:b/>
          <w:sz w:val="24"/>
          <w:szCs w:val="24"/>
        </w:rPr>
        <w:t>Variables extracted from the MIMIC-Ⅳ database</w:t>
      </w:r>
    </w:p>
    <w:tbl>
      <w:tblPr>
        <w:tblStyle w:val="5"/>
        <w:tblW w:w="8901" w:type="dxa"/>
        <w:tblInd w:w="135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7"/>
        <w:gridCol w:w="6484"/>
      </w:tblGrid>
      <w:tr w14:paraId="5D0A1E7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417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  <w:tl2br w:val="nil"/>
            </w:tcBorders>
            <w:shd w:val="clear" w:color="auto" w:fill="FFFFFF"/>
            <w:noWrap/>
            <w:vAlign w:val="bottom"/>
          </w:tcPr>
          <w:p w14:paraId="0F41D2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6484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bottom"/>
          </w:tcPr>
          <w:p w14:paraId="6B2A9E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  <w:t>Variable</w:t>
            </w:r>
          </w:p>
        </w:tc>
      </w:tr>
      <w:tr w14:paraId="46BE3F1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2417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noWrap/>
          </w:tcPr>
          <w:p w14:paraId="683F9C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>Demographics</w:t>
            </w:r>
          </w:p>
        </w:tc>
        <w:tc>
          <w:tcPr>
            <w:tcW w:w="6484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noWrap/>
          </w:tcPr>
          <w:p w14:paraId="6B6618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>BMI</w:t>
            </w:r>
            <w:r>
              <w:rPr>
                <w:rFonts w:hint="eastAsia"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>Gender</w:t>
            </w:r>
            <w:r>
              <w:rPr>
                <w:rFonts w:hint="eastAsia"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>Age</w:t>
            </w:r>
          </w:p>
        </w:tc>
      </w:tr>
      <w:tr w14:paraId="00DB1E5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09E36E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>Vital signs</w:t>
            </w:r>
          </w:p>
        </w:tc>
        <w:tc>
          <w:tcPr>
            <w:tcW w:w="64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7505F6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>PO2</w:t>
            </w:r>
            <w:r>
              <w:rPr>
                <w:rFonts w:hint="eastAsia"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>PCO2</w:t>
            </w:r>
            <w:r>
              <w:rPr>
                <w:rFonts w:hint="eastAsia"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>Blood</w:t>
            </w:r>
            <w:r>
              <w:rPr>
                <w:rFonts w:hint="eastAsia"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>oxygen</w:t>
            </w:r>
            <w:r>
              <w:rPr>
                <w:rFonts w:hint="eastAsia"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>saturation</w:t>
            </w:r>
            <w:r>
              <w:rPr>
                <w:rFonts w:hint="eastAsia"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 xml:space="preserve">, Positive End-Expiratory Pressure, </w:t>
            </w:r>
            <w:r>
              <w:rPr>
                <w:rFonts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>PH</w:t>
            </w:r>
            <w:r>
              <w:rPr>
                <w:rFonts w:hint="eastAsia"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>, Body temperature, H</w:t>
            </w:r>
            <w:r>
              <w:rPr>
                <w:rFonts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>eart</w:t>
            </w:r>
            <w:r>
              <w:rPr>
                <w:rFonts w:hint="eastAsia"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>rate</w:t>
            </w:r>
            <w:r>
              <w:rPr>
                <w:rFonts w:hint="eastAsia"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>, S</w:t>
            </w:r>
            <w:r>
              <w:rPr>
                <w:rFonts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>ystolic</w:t>
            </w:r>
            <w:r>
              <w:rPr>
                <w:rFonts w:hint="eastAsia"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>pressure</w:t>
            </w:r>
            <w:r>
              <w:rPr>
                <w:rFonts w:hint="eastAsia"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>Respiratory</w:t>
            </w:r>
            <w:r>
              <w:rPr>
                <w:rFonts w:hint="eastAsia"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>rate</w:t>
            </w:r>
          </w:p>
        </w:tc>
      </w:tr>
      <w:tr w14:paraId="065EF3B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1AE434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>Comorbidities</w:t>
            </w:r>
          </w:p>
        </w:tc>
        <w:tc>
          <w:tcPr>
            <w:tcW w:w="64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3FCF14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>Type</w:t>
            </w:r>
            <w:r>
              <w:rPr>
                <w:rFonts w:hint="eastAsia"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>2</w:t>
            </w:r>
            <w:r>
              <w:rPr>
                <w:rFonts w:hint="eastAsia"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>diabetes</w:t>
            </w:r>
            <w:r>
              <w:rPr>
                <w:rFonts w:hint="eastAsia"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>Atrial</w:t>
            </w:r>
            <w:r>
              <w:rPr>
                <w:rFonts w:hint="eastAsia"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>fibrillation</w:t>
            </w:r>
            <w:r>
              <w:rPr>
                <w:rFonts w:hint="eastAsia"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>Pulmonary</w:t>
            </w:r>
            <w:r>
              <w:rPr>
                <w:rFonts w:hint="eastAsia"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>embolism</w:t>
            </w:r>
            <w:r>
              <w:rPr>
                <w:rFonts w:hint="eastAsia"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 xml:space="preserve">, Lower extremity venous thrombosis, </w:t>
            </w:r>
            <w:r>
              <w:rPr>
                <w:rFonts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>Hypertension</w:t>
            </w:r>
          </w:p>
        </w:tc>
      </w:tr>
      <w:tr w14:paraId="3BD63F8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03B880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 xml:space="preserve">Laboratory </w:t>
            </w:r>
            <w:r>
              <w:rPr>
                <w:rFonts w:hint="eastAsia"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>t</w:t>
            </w:r>
            <w:r>
              <w:rPr>
                <w:rFonts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>est</w:t>
            </w:r>
          </w:p>
        </w:tc>
        <w:tc>
          <w:tcPr>
            <w:tcW w:w="64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58186B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>Albumin</w:t>
            </w:r>
            <w:r>
              <w:rPr>
                <w:rFonts w:hint="eastAsia"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>C-reactive</w:t>
            </w:r>
            <w:r>
              <w:rPr>
                <w:rFonts w:hint="eastAsia"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>protein</w:t>
            </w:r>
            <w:r>
              <w:rPr>
                <w:rFonts w:hint="eastAsia"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>High</w:t>
            </w:r>
            <w:r>
              <w:rPr>
                <w:rFonts w:hint="eastAsia"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>density</w:t>
            </w:r>
            <w:r>
              <w:rPr>
                <w:rFonts w:hint="eastAsia"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>lipoprotein</w:t>
            </w:r>
            <w:r>
              <w:rPr>
                <w:rFonts w:hint="eastAsia"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>Low</w:t>
            </w:r>
            <w:r>
              <w:rPr>
                <w:rFonts w:hint="eastAsia"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>density</w:t>
            </w:r>
            <w:r>
              <w:rPr>
                <w:rFonts w:hint="eastAsia"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 xml:space="preserve"> l</w:t>
            </w:r>
            <w:r>
              <w:rPr>
                <w:rFonts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>ipoprotein</w:t>
            </w:r>
            <w:r>
              <w:rPr>
                <w:rFonts w:hint="eastAsia"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>cholesterol</w:t>
            </w:r>
            <w:r>
              <w:rPr>
                <w:rFonts w:hint="eastAsia"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>Creatinine</w:t>
            </w:r>
            <w:r>
              <w:rPr>
                <w:rFonts w:hint="eastAsia"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>, W</w:t>
            </w:r>
            <w:r>
              <w:rPr>
                <w:rFonts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>hite</w:t>
            </w:r>
            <w:r>
              <w:rPr>
                <w:rFonts w:hint="eastAsia"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>blood</w:t>
            </w:r>
            <w:r>
              <w:rPr>
                <w:rFonts w:hint="eastAsia"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>cell</w:t>
            </w:r>
            <w:r>
              <w:rPr>
                <w:rFonts w:hint="eastAsia"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 xml:space="preserve">, ALT, AST, </w:t>
            </w:r>
            <w:r>
              <w:rPr>
                <w:rFonts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>Platelet</w:t>
            </w:r>
            <w:r>
              <w:rPr>
                <w:rFonts w:hint="eastAsia"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>,</w:t>
            </w:r>
            <w:r>
              <w:rPr>
                <w:rFonts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>H</w:t>
            </w:r>
            <w:r>
              <w:rPr>
                <w:rFonts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>emoglobin</w:t>
            </w:r>
          </w:p>
        </w:tc>
      </w:tr>
      <w:tr w14:paraId="4BFFB87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21015A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>ICU related indicators</w:t>
            </w:r>
          </w:p>
        </w:tc>
        <w:tc>
          <w:tcPr>
            <w:tcW w:w="64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4BE930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 xml:space="preserve">GCS </w:t>
            </w:r>
            <w:r>
              <w:rPr>
                <w:rFonts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>min</w:t>
            </w:r>
            <w:r>
              <w:rPr>
                <w:rFonts w:hint="eastAsia"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 xml:space="preserve">, GCS </w:t>
            </w:r>
            <w:r>
              <w:rPr>
                <w:rFonts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>motor</w:t>
            </w:r>
            <w:r>
              <w:rPr>
                <w:rFonts w:hint="eastAsia"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 xml:space="preserve">, GCS </w:t>
            </w:r>
            <w:r>
              <w:rPr>
                <w:rFonts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>eyes</w:t>
            </w:r>
            <w:r>
              <w:rPr>
                <w:rFonts w:hint="eastAsia"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>, V</w:t>
            </w:r>
            <w:r>
              <w:rPr>
                <w:rFonts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>entilation</w:t>
            </w:r>
            <w:r>
              <w:rPr>
                <w:rFonts w:hint="eastAsia"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>status</w:t>
            </w:r>
            <w:r>
              <w:rPr>
                <w:rFonts w:hint="eastAsia"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>,</w:t>
            </w:r>
          </w:p>
        </w:tc>
      </w:tr>
      <w:tr w14:paraId="6AE6FCB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41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</w:tcPr>
          <w:p w14:paraId="150D58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>Other indicators</w:t>
            </w:r>
          </w:p>
        </w:tc>
        <w:tc>
          <w:tcPr>
            <w:tcW w:w="648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</w:tcPr>
          <w:p w14:paraId="3BF96D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>End</w:t>
            </w:r>
            <w:r>
              <w:rPr>
                <w:rFonts w:hint="eastAsia"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>time</w:t>
            </w:r>
            <w:r>
              <w:rPr>
                <w:rFonts w:hint="eastAsia"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>, S</w:t>
            </w:r>
            <w:r>
              <w:rPr>
                <w:rFonts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>tart</w:t>
            </w:r>
            <w:r>
              <w:rPr>
                <w:rFonts w:hint="eastAsia"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Theme="minorEastAsia"/>
                <w:b w:val="0"/>
                <w:snapToGrid w:val="0"/>
                <w:color w:val="000000"/>
                <w:sz w:val="21"/>
                <w:szCs w:val="21"/>
              </w:rPr>
              <w:t>time</w:t>
            </w:r>
          </w:p>
        </w:tc>
      </w:tr>
    </w:tbl>
    <w:p w14:paraId="1543DF5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rPr>
          <w:rFonts w:hint="eastAsia"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Abbreviations: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hint="eastAsia" w:ascii="Times New Roman" w:hAnsi="Times New Roman"/>
          <w:kern w:val="0"/>
          <w:sz w:val="24"/>
          <w:szCs w:val="24"/>
        </w:rPr>
        <w:t>E</w:t>
      </w:r>
      <w:r>
        <w:rPr>
          <w:rFonts w:ascii="Times New Roman" w:hAnsi="Times New Roman"/>
          <w:kern w:val="0"/>
          <w:sz w:val="24"/>
          <w:szCs w:val="24"/>
        </w:rPr>
        <w:t>nd</w:t>
      </w:r>
      <w:r>
        <w:rPr>
          <w:rFonts w:hint="eastAsia" w:ascii="Times New Roman" w:hAnsi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kern w:val="0"/>
          <w:sz w:val="24"/>
          <w:szCs w:val="24"/>
        </w:rPr>
        <w:t>time</w:t>
      </w:r>
      <w:r>
        <w:rPr>
          <w:rFonts w:hint="eastAsia"/>
          <w:sz w:val="24"/>
          <w:szCs w:val="24"/>
        </w:rPr>
        <w:t xml:space="preserve">: </w:t>
      </w:r>
      <w:r>
        <w:rPr>
          <w:rFonts w:hint="eastAsia"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hint="eastAsia"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time records the end time of the ventilator treatment</w:t>
      </w:r>
      <w:r>
        <w:rPr>
          <w:rFonts w:hint="eastAsia" w:ascii="Times New Roman" w:hAnsi="Times New Roman"/>
          <w:sz w:val="24"/>
          <w:szCs w:val="24"/>
        </w:rPr>
        <w:t xml:space="preserve">; </w:t>
      </w:r>
      <w:r>
        <w:rPr>
          <w:rFonts w:hint="eastAsia" w:ascii="Times New Roman" w:hAnsi="Times New Roman"/>
          <w:kern w:val="0"/>
          <w:sz w:val="24"/>
          <w:szCs w:val="24"/>
        </w:rPr>
        <w:t>S</w:t>
      </w:r>
      <w:r>
        <w:rPr>
          <w:rFonts w:ascii="Times New Roman" w:hAnsi="Times New Roman"/>
          <w:kern w:val="0"/>
          <w:sz w:val="24"/>
          <w:szCs w:val="24"/>
        </w:rPr>
        <w:t>tart</w:t>
      </w:r>
      <w:r>
        <w:rPr>
          <w:rFonts w:hint="eastAsia" w:ascii="Times New Roman" w:hAnsi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kern w:val="0"/>
          <w:sz w:val="24"/>
          <w:szCs w:val="24"/>
        </w:rPr>
        <w:t>time</w:t>
      </w:r>
      <w:r>
        <w:rPr>
          <w:rFonts w:hint="eastAsia" w:ascii="Times New Roman" w:hAnsi="Times New Roman"/>
          <w:kern w:val="0"/>
          <w:sz w:val="24"/>
          <w:szCs w:val="24"/>
        </w:rPr>
        <w:t>:</w:t>
      </w:r>
      <w:r>
        <w:rPr>
          <w:rFonts w:ascii="Times New Roman" w:hAnsi="Times New Roman"/>
          <w:kern w:val="0"/>
          <w:sz w:val="24"/>
          <w:szCs w:val="24"/>
        </w:rPr>
        <w:t xml:space="preserve"> </w:t>
      </w:r>
      <w:r>
        <w:rPr>
          <w:rFonts w:hint="eastAsia" w:ascii="Times New Roman" w:hAnsi="Times New Roman"/>
          <w:kern w:val="0"/>
          <w:sz w:val="24"/>
          <w:szCs w:val="24"/>
        </w:rPr>
        <w:t>S</w:t>
      </w:r>
      <w:r>
        <w:rPr>
          <w:rFonts w:ascii="Times New Roman" w:hAnsi="Times New Roman"/>
          <w:kern w:val="0"/>
          <w:sz w:val="24"/>
          <w:szCs w:val="24"/>
        </w:rPr>
        <w:t>tart</w:t>
      </w:r>
      <w:r>
        <w:rPr>
          <w:rFonts w:hint="eastAsia" w:ascii="Times New Roman" w:hAnsi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kern w:val="0"/>
          <w:sz w:val="24"/>
          <w:szCs w:val="24"/>
        </w:rPr>
        <w:t>time</w:t>
      </w:r>
      <w:r>
        <w:rPr>
          <w:rFonts w:ascii="Times New Roman" w:hAnsi="Times New Roman"/>
          <w:sz w:val="24"/>
          <w:szCs w:val="24"/>
        </w:rPr>
        <w:t xml:space="preserve"> is also used to record the exact start time of ventilator treatment</w:t>
      </w:r>
      <w:r>
        <w:rPr>
          <w:rFonts w:hint="eastAsia"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kern w:val="0"/>
          <w:sz w:val="24"/>
          <w:szCs w:val="24"/>
        </w:rPr>
        <w:t>GCS</w:t>
      </w:r>
      <w:r>
        <w:rPr>
          <w:rFonts w:hint="eastAsia" w:ascii="Times New Roman" w:hAnsi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kern w:val="0"/>
          <w:sz w:val="24"/>
          <w:szCs w:val="24"/>
        </w:rPr>
        <w:t>min</w:t>
      </w:r>
      <w:r>
        <w:rPr>
          <w:rFonts w:hint="eastAsia" w:ascii="Times New Roman" w:hAnsi="Times New Roman"/>
          <w:kern w:val="0"/>
          <w:sz w:val="24"/>
          <w:szCs w:val="24"/>
        </w:rPr>
        <w:t>:</w:t>
      </w:r>
      <w:r>
        <w:rPr>
          <w:rFonts w:ascii="Times New Roman" w:hAnsi="Times New Roman"/>
          <w:kern w:val="0"/>
          <w:sz w:val="24"/>
          <w:szCs w:val="24"/>
        </w:rPr>
        <w:t xml:space="preserve"> The minimum </w:t>
      </w:r>
      <w:bookmarkStart w:id="0" w:name="_Hlk184827220"/>
      <w:r>
        <w:rPr>
          <w:rFonts w:ascii="Times New Roman" w:hAnsi="Times New Roman"/>
          <w:kern w:val="0"/>
          <w:sz w:val="24"/>
          <w:szCs w:val="24"/>
        </w:rPr>
        <w:t>GCS</w:t>
      </w:r>
      <w:bookmarkEnd w:id="0"/>
      <w:r>
        <w:rPr>
          <w:rFonts w:ascii="Times New Roman" w:hAnsi="Times New Roman"/>
          <w:kern w:val="0"/>
          <w:sz w:val="24"/>
          <w:szCs w:val="24"/>
        </w:rPr>
        <w:t xml:space="preserve"> score of a patient over a certain period reflects the patient's consciousness state at the worst time during that period.</w:t>
      </w:r>
      <w:r>
        <w:rPr>
          <w:rFonts w:hint="eastAsia" w:ascii="宋体" w:hAnsi="宋体"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kern w:val="0"/>
          <w:sz w:val="24"/>
          <w:szCs w:val="24"/>
        </w:rPr>
        <w:t>GCS</w:t>
      </w:r>
      <w:r>
        <w:rPr>
          <w:rFonts w:hint="eastAsia" w:ascii="Times New Roman" w:hAnsi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kern w:val="0"/>
          <w:sz w:val="24"/>
          <w:szCs w:val="24"/>
        </w:rPr>
        <w:t>motor</w:t>
      </w:r>
      <w:r>
        <w:rPr>
          <w:rFonts w:hint="eastAsia" w:ascii="Times New Roman" w:hAnsi="Times New Roman"/>
          <w:kern w:val="0"/>
          <w:sz w:val="24"/>
          <w:szCs w:val="24"/>
        </w:rPr>
        <w:t>:</w:t>
      </w:r>
      <w:r>
        <w:rPr>
          <w:rFonts w:ascii="Times New Roman" w:hAnsi="Times New Roman"/>
          <w:kern w:val="0"/>
          <w:sz w:val="24"/>
          <w:szCs w:val="24"/>
        </w:rPr>
        <w:t xml:space="preserve"> The "motor response" component of the Glasgow Coma Scale (GCS) represents</w:t>
      </w:r>
      <w:r>
        <w:rPr>
          <w:rFonts w:hint="eastAsia" w:ascii="宋体" w:hAnsi="宋体"/>
          <w:kern w:val="0"/>
          <w:sz w:val="24"/>
          <w:szCs w:val="24"/>
        </w:rPr>
        <w:t xml:space="preserve">; </w:t>
      </w:r>
      <w:r>
        <w:rPr>
          <w:rFonts w:ascii="Times New Roman" w:hAnsi="Times New Roman"/>
          <w:kern w:val="0"/>
          <w:sz w:val="24"/>
          <w:szCs w:val="24"/>
        </w:rPr>
        <w:t>GCS</w:t>
      </w:r>
      <w:r>
        <w:rPr>
          <w:rFonts w:hint="eastAsia" w:ascii="Times New Roman" w:hAnsi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kern w:val="0"/>
          <w:sz w:val="24"/>
          <w:szCs w:val="24"/>
        </w:rPr>
        <w:t>eyes: The term "</w:t>
      </w:r>
      <w:r>
        <w:t xml:space="preserve"> </w:t>
      </w:r>
      <w:r>
        <w:rPr>
          <w:rFonts w:ascii="Times New Roman" w:hAnsi="Times New Roman"/>
          <w:kern w:val="0"/>
          <w:sz w:val="24"/>
          <w:szCs w:val="24"/>
        </w:rPr>
        <w:t>GCS</w:t>
      </w:r>
      <w:r>
        <w:rPr>
          <w:rFonts w:hint="eastAsia" w:ascii="Times New Roman" w:hAnsi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kern w:val="0"/>
          <w:sz w:val="24"/>
          <w:szCs w:val="24"/>
        </w:rPr>
        <w:t>eyes" refers to the "Eye Response" component of the Glasgow Coma Scale (GCS)</w:t>
      </w:r>
      <w:r>
        <w:rPr>
          <w:rFonts w:hint="eastAsia" w:ascii="Times New Roman" w:hAnsi="Times New Roman"/>
          <w:kern w:val="0"/>
          <w:sz w:val="24"/>
          <w:szCs w:val="24"/>
        </w:rPr>
        <w:t>; V</w:t>
      </w:r>
      <w:r>
        <w:rPr>
          <w:rFonts w:ascii="Times New Roman" w:hAnsi="Times New Roman"/>
          <w:kern w:val="0"/>
          <w:sz w:val="24"/>
          <w:szCs w:val="24"/>
        </w:rPr>
        <w:t>entilation</w:t>
      </w:r>
      <w:r>
        <w:rPr>
          <w:rFonts w:hint="eastAsia" w:ascii="Times New Roman" w:hAnsi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kern w:val="0"/>
          <w:sz w:val="24"/>
          <w:szCs w:val="24"/>
        </w:rPr>
        <w:t>status</w:t>
      </w:r>
      <w:r>
        <w:rPr>
          <w:rFonts w:hint="eastAsia" w:ascii="Times New Roman" w:hAnsi="Times New Roman"/>
          <w:kern w:val="0"/>
          <w:sz w:val="24"/>
          <w:szCs w:val="24"/>
        </w:rPr>
        <w:t>:</w:t>
      </w:r>
      <w:r>
        <w:rPr>
          <w:rFonts w:ascii="Times New Roman" w:hAnsi="Times New Roman"/>
          <w:kern w:val="0"/>
          <w:sz w:val="24"/>
          <w:szCs w:val="24"/>
        </w:rPr>
        <w:t xml:space="preserve"> "Ventilation</w:t>
      </w:r>
      <w:r>
        <w:rPr>
          <w:rFonts w:hint="eastAsia" w:ascii="Times New Roman" w:hAnsi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kern w:val="0"/>
          <w:sz w:val="24"/>
          <w:szCs w:val="24"/>
        </w:rPr>
        <w:t xml:space="preserve">status" is typically used to describe a patient's status or relevant information regarding mechanical ventilation. </w:t>
      </w:r>
    </w:p>
    <w:p w14:paraId="12683D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rPr>
          <w:rFonts w:ascii="Times New Roman" w:hAnsi="Times New Roman"/>
          <w:b/>
          <w:sz w:val="24"/>
          <w:szCs w:val="24"/>
        </w:rPr>
      </w:pPr>
    </w:p>
    <w:p w14:paraId="2902A93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rPr>
          <w:rFonts w:ascii="Times New Roman" w:hAnsi="Times New Roman"/>
          <w:b/>
          <w:sz w:val="24"/>
          <w:szCs w:val="24"/>
        </w:rPr>
      </w:pPr>
    </w:p>
    <w:p w14:paraId="1EDF4AB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rPr>
          <w:rFonts w:ascii="Times New Roman" w:hAnsi="Times New Roman"/>
          <w:b/>
          <w:sz w:val="24"/>
          <w:szCs w:val="24"/>
        </w:rPr>
      </w:pPr>
    </w:p>
    <w:p w14:paraId="4B2FD1E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rPr>
          <w:rFonts w:ascii="Times New Roman" w:hAnsi="Times New Roman"/>
          <w:b/>
          <w:sz w:val="24"/>
          <w:szCs w:val="24"/>
        </w:rPr>
      </w:pPr>
    </w:p>
    <w:p w14:paraId="4603370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rPr>
          <w:rFonts w:ascii="Times New Roman" w:hAnsi="Times New Roman"/>
          <w:b/>
          <w:sz w:val="24"/>
          <w:szCs w:val="24"/>
        </w:rPr>
      </w:pPr>
    </w:p>
    <w:p w14:paraId="0A3ACE6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rPr>
          <w:rFonts w:ascii="Times New Roman" w:hAnsi="Times New Roman"/>
          <w:b/>
          <w:sz w:val="24"/>
          <w:szCs w:val="24"/>
        </w:rPr>
      </w:pPr>
    </w:p>
    <w:p w14:paraId="53843F8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rPr>
          <w:rFonts w:ascii="Times New Roman" w:hAnsi="Times New Roman"/>
          <w:b/>
          <w:sz w:val="24"/>
          <w:szCs w:val="24"/>
        </w:rPr>
      </w:pPr>
    </w:p>
    <w:p w14:paraId="278E9AF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</w:pPr>
      <w:r>
        <w:rPr>
          <w:rFonts w:ascii="Times New Roman" w:hAnsi="Times New Roman"/>
          <w:b/>
          <w:sz w:val="24"/>
          <w:szCs w:val="24"/>
        </w:rPr>
        <w:t xml:space="preserve">Supplemental Table </w:t>
      </w:r>
      <w:r>
        <w:rPr>
          <w:rFonts w:hint="eastAsia"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hint="eastAsia" w:ascii="Times New Roman" w:hAnsi="Times New Roman"/>
          <w:b/>
          <w:sz w:val="24"/>
          <w:szCs w:val="24"/>
        </w:rPr>
        <w:t>The meaning of ICD-10 codes for disease</w:t>
      </w:r>
    </w:p>
    <w:tbl>
      <w:tblPr>
        <w:tblStyle w:val="5"/>
        <w:tblW w:w="932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0"/>
        <w:gridCol w:w="3276"/>
        <w:gridCol w:w="1499"/>
        <w:gridCol w:w="3693"/>
      </w:tblGrid>
      <w:tr w14:paraId="5C4600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60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  <w:tl2br w:val="nil"/>
            </w:tcBorders>
            <w:shd w:val="clear" w:color="auto" w:fill="FFFFFF"/>
            <w:vAlign w:val="center"/>
          </w:tcPr>
          <w:p w14:paraId="677D197A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bookmarkStart w:id="1" w:name="_Hlk184833160"/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Serial number</w:t>
            </w:r>
          </w:p>
        </w:tc>
        <w:tc>
          <w:tcPr>
            <w:tcW w:w="3276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45475DD3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V</w:t>
            </w:r>
            <w:r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  <w:t>ariable</w:t>
            </w:r>
          </w:p>
        </w:tc>
        <w:tc>
          <w:tcPr>
            <w:tcW w:w="1499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5DE72ED5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</w:rPr>
              <w:t>Diagnostic code (icdCode)</w:t>
            </w:r>
          </w:p>
        </w:tc>
        <w:tc>
          <w:tcPr>
            <w:tcW w:w="3693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08FC90A7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  <w:t>Description</w:t>
            </w:r>
          </w:p>
        </w:tc>
      </w:tr>
      <w:tr w14:paraId="11CF25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60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5B9875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3276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54760D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21"/>
                <w:szCs w:val="21"/>
                <w:lang w:val="en-US" w:eastAsia="zh-CN"/>
              </w:rPr>
              <w:t>Non-traumatic i</w:t>
            </w:r>
            <w:r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ntracerebral hemorrhage</w:t>
            </w:r>
          </w:p>
        </w:tc>
        <w:tc>
          <w:tcPr>
            <w:tcW w:w="1499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055FB8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 xml:space="preserve">I61    </w:t>
            </w:r>
          </w:p>
        </w:tc>
        <w:tc>
          <w:tcPr>
            <w:tcW w:w="3693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519612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Nontraumatic intracerebral hemorrhage</w:t>
            </w:r>
          </w:p>
        </w:tc>
      </w:tr>
      <w:tr w14:paraId="46D1ED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64D48E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D196F7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A5CB14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 xml:space="preserve">I610 </w:t>
            </w:r>
          </w:p>
        </w:tc>
        <w:tc>
          <w:tcPr>
            <w:tcW w:w="3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C875B2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Nontraumatic intracerebral hemorrhage in hemisphere, subcortical</w:t>
            </w:r>
          </w:p>
        </w:tc>
      </w:tr>
      <w:tr w14:paraId="5467F1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661493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C692DE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5A437C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I61</w:t>
            </w:r>
            <w:r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3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77045A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Nontraumatic intracerebral hemorrhage in hemisphere, cortical</w:t>
            </w:r>
          </w:p>
        </w:tc>
      </w:tr>
      <w:tr w14:paraId="55CEFE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40C131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12EA6F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DFBC03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I61</w:t>
            </w:r>
            <w:r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3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5D3E67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Nontraumatic intracerebral hemorrhage in hemisphere, unspecified</w:t>
            </w:r>
          </w:p>
        </w:tc>
      </w:tr>
      <w:tr w14:paraId="582484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B91578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17345D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7992E9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I61</w:t>
            </w:r>
            <w:r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3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D1A581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Nontraumatic intracerebral hemorrhage in brain stem</w:t>
            </w:r>
          </w:p>
        </w:tc>
      </w:tr>
      <w:tr w14:paraId="283B2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FF09C8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B19871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728531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I61</w:t>
            </w:r>
            <w:r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3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179811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Nontraumatic intracerebral hemorrhage in cerebellum</w:t>
            </w:r>
          </w:p>
        </w:tc>
      </w:tr>
      <w:tr w14:paraId="5D0088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31829A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40AC4D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118508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I61</w:t>
            </w:r>
            <w:r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3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83E2D0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Nontraumatic intracerebral hemorrhage, intraventricular</w:t>
            </w:r>
          </w:p>
        </w:tc>
      </w:tr>
      <w:tr w14:paraId="39519A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6A66B2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1EF7B4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7C13B0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I61</w:t>
            </w:r>
            <w:r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3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4A4939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Nontraumatic intracerebral hemorrhage, multiple localized</w:t>
            </w:r>
          </w:p>
        </w:tc>
      </w:tr>
      <w:tr w14:paraId="6A615C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E059AB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0DD9D6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0155BC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I61</w:t>
            </w:r>
            <w:r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951A06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Other nontraumatic intracerebral hemorrhage</w:t>
            </w:r>
          </w:p>
        </w:tc>
      </w:tr>
      <w:tr w14:paraId="25163D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DC0CC6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BA62FD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93572F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I61</w:t>
            </w:r>
            <w:r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3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266A33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Nontraumatic intracerebral hemorrhage, unspecified</w:t>
            </w:r>
          </w:p>
        </w:tc>
      </w:tr>
      <w:tr w14:paraId="55DF3C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7BF094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2</w:t>
            </w:r>
          </w:p>
        </w:tc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C8FDB0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BMI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B90AF3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Z68.1 - Z68.45</w:t>
            </w:r>
          </w:p>
        </w:tc>
        <w:tc>
          <w:tcPr>
            <w:tcW w:w="3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E5E716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Body mass index (BMI)</w:t>
            </w:r>
          </w:p>
        </w:tc>
      </w:tr>
      <w:tr w14:paraId="61132E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  <w:jc w:val="center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2FC114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3</w:t>
            </w:r>
          </w:p>
        </w:tc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0F1CB1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Gender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CC9908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N/A</w:t>
            </w:r>
          </w:p>
        </w:tc>
        <w:tc>
          <w:tcPr>
            <w:tcW w:w="3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177C95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There is no direct corresponding ICD-10 code</w:t>
            </w:r>
          </w:p>
        </w:tc>
      </w:tr>
      <w:tr w14:paraId="5293B7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E06512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4</w:t>
            </w:r>
          </w:p>
        </w:tc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9237C2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Age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71ED9D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N/A</w:t>
            </w:r>
          </w:p>
        </w:tc>
        <w:tc>
          <w:tcPr>
            <w:tcW w:w="3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B5553D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There is no direct corresponding ICD-10 code</w:t>
            </w:r>
          </w:p>
        </w:tc>
      </w:tr>
      <w:tr w14:paraId="1654A3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EB5938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5</w:t>
            </w:r>
          </w:p>
        </w:tc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CA69D2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bookmarkStart w:id="2" w:name="_Hlk176778230"/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Death</w:t>
            </w:r>
            <w:bookmarkEnd w:id="2"/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4A8B22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R99</w:t>
            </w:r>
          </w:p>
        </w:tc>
        <w:tc>
          <w:tcPr>
            <w:tcW w:w="3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C87C48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Unexplained death</w:t>
            </w:r>
          </w:p>
        </w:tc>
      </w:tr>
      <w:tr w14:paraId="16383F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0DB109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6</w:t>
            </w:r>
          </w:p>
        </w:tc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4D8175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bookmarkStart w:id="3" w:name="_Hlk176778154"/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Type 2 diabetes</w:t>
            </w:r>
            <w:bookmarkEnd w:id="3"/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6C4184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E11.0 - E11.9</w:t>
            </w:r>
          </w:p>
        </w:tc>
        <w:tc>
          <w:tcPr>
            <w:tcW w:w="3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1A40E3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Type 2 diabetes</w:t>
            </w:r>
          </w:p>
        </w:tc>
      </w:tr>
      <w:tr w14:paraId="0465CD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F44E5A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7</w:t>
            </w:r>
          </w:p>
        </w:tc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6E92FB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Atrial fibrillation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09A18A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I48.0 - I48.92</w:t>
            </w:r>
          </w:p>
        </w:tc>
        <w:tc>
          <w:tcPr>
            <w:tcW w:w="3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871CBA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Atrial fibrillation and flutter</w:t>
            </w:r>
          </w:p>
        </w:tc>
      </w:tr>
      <w:tr w14:paraId="391BC5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7B68B8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8</w:t>
            </w:r>
          </w:p>
        </w:tc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6D2CBE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bookmarkStart w:id="4" w:name="_Hlk176778171"/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Pulmonary embolism</w:t>
            </w:r>
            <w:bookmarkEnd w:id="4"/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5A3CF4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I26.01 - I26.99</w:t>
            </w:r>
          </w:p>
        </w:tc>
        <w:tc>
          <w:tcPr>
            <w:tcW w:w="3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E144DF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Pulmonary embolism</w:t>
            </w:r>
          </w:p>
        </w:tc>
      </w:tr>
      <w:tr w14:paraId="0B8C67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758D74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9</w:t>
            </w:r>
          </w:p>
        </w:tc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C08AEF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bookmarkStart w:id="5" w:name="_Hlk176778309"/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Lower extremity venous thrombosis</w:t>
            </w:r>
            <w:bookmarkEnd w:id="5"/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9ECCF6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I82.401 - I82.4Z9</w:t>
            </w:r>
          </w:p>
        </w:tc>
        <w:tc>
          <w:tcPr>
            <w:tcW w:w="3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29E6EA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Lower extremity venous thrombosis</w:t>
            </w:r>
          </w:p>
        </w:tc>
      </w:tr>
      <w:tr w14:paraId="095E21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7B4BBC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10</w:t>
            </w:r>
          </w:p>
        </w:tc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1528F7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bookmarkStart w:id="6" w:name="_Hlk176778252"/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Hypertension</w:t>
            </w:r>
            <w:bookmarkEnd w:id="6"/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D15204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I10 - I16.9</w:t>
            </w:r>
          </w:p>
        </w:tc>
        <w:tc>
          <w:tcPr>
            <w:tcW w:w="3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442578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Hypertension</w:t>
            </w:r>
          </w:p>
        </w:tc>
      </w:tr>
      <w:tr w14:paraId="110717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268287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11</w:t>
            </w:r>
          </w:p>
        </w:tc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6A6597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PO2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C7FEBC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R79.81</w:t>
            </w:r>
          </w:p>
        </w:tc>
        <w:tc>
          <w:tcPr>
            <w:tcW w:w="3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846AEF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Abnormal blood gas</w:t>
            </w:r>
          </w:p>
        </w:tc>
      </w:tr>
      <w:tr w14:paraId="19E6EC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18EC28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12</w:t>
            </w:r>
          </w:p>
        </w:tc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28A767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Hemoglobin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AAF155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R79.89</w:t>
            </w:r>
          </w:p>
        </w:tc>
        <w:tc>
          <w:tcPr>
            <w:tcW w:w="3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F93EB1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Other abnormal findings from blood chemistry</w:t>
            </w:r>
          </w:p>
        </w:tc>
      </w:tr>
      <w:tr w14:paraId="35F33C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1D58FB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13</w:t>
            </w:r>
          </w:p>
        </w:tc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EB7731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PLT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485CC1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R79.89</w:t>
            </w:r>
          </w:p>
        </w:tc>
        <w:tc>
          <w:tcPr>
            <w:tcW w:w="3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1B3CAB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Other abnormal findings from blood chemistry</w:t>
            </w:r>
          </w:p>
        </w:tc>
      </w:tr>
      <w:tr w14:paraId="796C7F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710FD1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14</w:t>
            </w:r>
          </w:p>
        </w:tc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78A25D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ALT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F990AC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R74.0</w:t>
            </w:r>
          </w:p>
        </w:tc>
        <w:tc>
          <w:tcPr>
            <w:tcW w:w="3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2FC385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Elevated levels of transaminase and lactate dehydrogenase</w:t>
            </w:r>
          </w:p>
        </w:tc>
      </w:tr>
      <w:tr w14:paraId="21BD23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572A6D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15</w:t>
            </w:r>
          </w:p>
        </w:tc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036C0A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AST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54B0AC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R74.0</w:t>
            </w:r>
          </w:p>
        </w:tc>
        <w:tc>
          <w:tcPr>
            <w:tcW w:w="3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0A85D6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Elevated levels of transaminase and lactate dehydrogenase</w:t>
            </w:r>
          </w:p>
        </w:tc>
      </w:tr>
      <w:tr w14:paraId="08E75A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183C59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16</w:t>
            </w:r>
          </w:p>
        </w:tc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D008D5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PCO2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EFBFCE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R79.81</w:t>
            </w:r>
          </w:p>
        </w:tc>
        <w:tc>
          <w:tcPr>
            <w:tcW w:w="3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9DEF05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Abnormal blood gas</w:t>
            </w:r>
          </w:p>
        </w:tc>
      </w:tr>
      <w:tr w14:paraId="6951F0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8B79DF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17</w:t>
            </w:r>
          </w:p>
        </w:tc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CF3522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Blood oxygen saturation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361A04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R79.89</w:t>
            </w:r>
          </w:p>
        </w:tc>
        <w:tc>
          <w:tcPr>
            <w:tcW w:w="3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90DBEC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Other abnormal findings from blood chemistry</w:t>
            </w:r>
          </w:p>
        </w:tc>
      </w:tr>
      <w:tr w14:paraId="6ABC60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743F82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18</w:t>
            </w:r>
          </w:p>
        </w:tc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B50498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White blood cell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7DEEB1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R72</w:t>
            </w:r>
          </w:p>
        </w:tc>
        <w:tc>
          <w:tcPr>
            <w:tcW w:w="3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3AF456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Leukocytosis</w:t>
            </w:r>
          </w:p>
        </w:tc>
      </w:tr>
      <w:tr w14:paraId="23F36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D3F513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19</w:t>
            </w:r>
          </w:p>
        </w:tc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6DCC04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Creatinine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38A7CC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R79.89</w:t>
            </w:r>
          </w:p>
        </w:tc>
        <w:tc>
          <w:tcPr>
            <w:tcW w:w="3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89F7C8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Other abnormal findings from blood chemistry</w:t>
            </w:r>
          </w:p>
        </w:tc>
      </w:tr>
      <w:tr w14:paraId="267B75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12E627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20</w:t>
            </w:r>
          </w:p>
        </w:tc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1431FE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Positive End-Expiratory Pressure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CED695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N/A</w:t>
            </w:r>
          </w:p>
        </w:tc>
        <w:tc>
          <w:tcPr>
            <w:tcW w:w="3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0AEEE5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There is no direct corresponding ICD-10 code</w:t>
            </w:r>
          </w:p>
        </w:tc>
      </w:tr>
      <w:tr w14:paraId="4C9ED9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600C54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21</w:t>
            </w:r>
          </w:p>
        </w:tc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C5CF5B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Cholesterol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B08B8E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E78.0</w:t>
            </w:r>
          </w:p>
        </w:tc>
        <w:tc>
          <w:tcPr>
            <w:tcW w:w="3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E6BAF3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Pure hypercholesterolemia</w:t>
            </w:r>
          </w:p>
        </w:tc>
      </w:tr>
      <w:tr w14:paraId="5206D9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0A68C1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22</w:t>
            </w:r>
          </w:p>
        </w:tc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616D81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21"/>
                <w:szCs w:val="21"/>
                <w:lang w:val="en-US" w:eastAsia="zh-CN"/>
              </w:rPr>
              <w:t>Low</w:t>
            </w:r>
            <w:r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 xml:space="preserve"> density lipoprotein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B2F34F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R79.89</w:t>
            </w:r>
          </w:p>
        </w:tc>
        <w:tc>
          <w:tcPr>
            <w:tcW w:w="3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2D0ADE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Other abnormal findings from blood chemistry</w:t>
            </w:r>
          </w:p>
        </w:tc>
      </w:tr>
      <w:tr w14:paraId="5E7FD0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D08204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23</w:t>
            </w:r>
          </w:p>
        </w:tc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18B59C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High density lipoprotein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FBF9B7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R79.89</w:t>
            </w:r>
          </w:p>
        </w:tc>
        <w:tc>
          <w:tcPr>
            <w:tcW w:w="3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A7A55D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Other abnormal findings from blood chemistry</w:t>
            </w:r>
          </w:p>
        </w:tc>
      </w:tr>
      <w:tr w14:paraId="29E1DD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68F85D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24</w:t>
            </w:r>
          </w:p>
        </w:tc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0D08AA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PH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12256A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R79.81</w:t>
            </w:r>
          </w:p>
        </w:tc>
        <w:tc>
          <w:tcPr>
            <w:tcW w:w="3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325489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Abnormal blood gas</w:t>
            </w:r>
          </w:p>
        </w:tc>
      </w:tr>
      <w:tr w14:paraId="28FFDC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FBF14F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25</w:t>
            </w:r>
          </w:p>
        </w:tc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65542A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C-reactive protein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5AC1BF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Z92.82</w:t>
            </w:r>
          </w:p>
        </w:tc>
        <w:tc>
          <w:tcPr>
            <w:tcW w:w="3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C7AB36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Other abnormal findings from blood chemistry</w:t>
            </w:r>
          </w:p>
        </w:tc>
      </w:tr>
      <w:tr w14:paraId="4633FF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BC23CC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26</w:t>
            </w:r>
          </w:p>
        </w:tc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B63383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Albumin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E2D95E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R77.0</w:t>
            </w:r>
          </w:p>
        </w:tc>
        <w:tc>
          <w:tcPr>
            <w:tcW w:w="3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B9CE80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Abnormal albumin</w:t>
            </w:r>
          </w:p>
        </w:tc>
      </w:tr>
      <w:tr w14:paraId="0E6216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D088B5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27</w:t>
            </w:r>
          </w:p>
        </w:tc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19662B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Body temperature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712E01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R50.9</w:t>
            </w:r>
          </w:p>
        </w:tc>
        <w:tc>
          <w:tcPr>
            <w:tcW w:w="3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FEA08D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Fever, not specified</w:t>
            </w:r>
          </w:p>
        </w:tc>
      </w:tr>
      <w:tr w14:paraId="20F662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16ED98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28</w:t>
            </w:r>
          </w:p>
        </w:tc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A5DC73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Heart rate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0707C3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R00.0</w:t>
            </w:r>
          </w:p>
        </w:tc>
        <w:tc>
          <w:tcPr>
            <w:tcW w:w="3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C19177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Heart rate</w:t>
            </w:r>
          </w:p>
        </w:tc>
      </w:tr>
      <w:tr w14:paraId="780875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3F6451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29</w:t>
            </w:r>
          </w:p>
        </w:tc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F82EF3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Systolic pressure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2DEA9B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R03.0</w:t>
            </w:r>
          </w:p>
        </w:tc>
        <w:tc>
          <w:tcPr>
            <w:tcW w:w="3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8E1D57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Elevated blood pressure readings, no diagnosis of hypertension</w:t>
            </w:r>
          </w:p>
        </w:tc>
      </w:tr>
      <w:tr w14:paraId="4BCDBA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7FB436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30</w:t>
            </w:r>
          </w:p>
        </w:tc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316DE1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Respiratory rate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515116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R06.00</w:t>
            </w:r>
          </w:p>
        </w:tc>
        <w:tc>
          <w:tcPr>
            <w:tcW w:w="3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A0BF0A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Difficulty breathing, not specified</w:t>
            </w:r>
          </w:p>
        </w:tc>
      </w:tr>
      <w:tr w14:paraId="3BB08D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85027A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31</w:t>
            </w:r>
          </w:p>
        </w:tc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BCC349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GCS min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9C8D81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R40.20</w:t>
            </w:r>
          </w:p>
        </w:tc>
        <w:tc>
          <w:tcPr>
            <w:tcW w:w="3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ED5A5D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Coma, not specified</w:t>
            </w:r>
          </w:p>
        </w:tc>
      </w:tr>
      <w:tr w14:paraId="22E7A1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213CA9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32</w:t>
            </w:r>
          </w:p>
        </w:tc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211E06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GCS motor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89A51F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R40.20</w:t>
            </w:r>
          </w:p>
        </w:tc>
        <w:tc>
          <w:tcPr>
            <w:tcW w:w="3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90610B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Coma, not specified</w:t>
            </w:r>
          </w:p>
        </w:tc>
      </w:tr>
      <w:tr w14:paraId="683A3B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1C9F44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33</w:t>
            </w:r>
          </w:p>
        </w:tc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16C35B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GCS eyes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5130C1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R40.20</w:t>
            </w:r>
          </w:p>
        </w:tc>
        <w:tc>
          <w:tcPr>
            <w:tcW w:w="3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C84CE1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Coma, not specified</w:t>
            </w:r>
          </w:p>
        </w:tc>
      </w:tr>
      <w:tr w14:paraId="5F2E7F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157FDE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34</w:t>
            </w:r>
          </w:p>
        </w:tc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D7314D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Start time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8B4604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N/A</w:t>
            </w:r>
          </w:p>
        </w:tc>
        <w:tc>
          <w:tcPr>
            <w:tcW w:w="3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09E8A2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There is no direct corresponding ICD-10 code</w:t>
            </w:r>
          </w:p>
        </w:tc>
      </w:tr>
      <w:tr w14:paraId="49BF87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D4590C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35</w:t>
            </w:r>
          </w:p>
        </w:tc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68EDF0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End time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7CDC16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N/A</w:t>
            </w:r>
          </w:p>
        </w:tc>
        <w:tc>
          <w:tcPr>
            <w:tcW w:w="3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143845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There is no direct corresponding ICD-10 code</w:t>
            </w:r>
          </w:p>
        </w:tc>
      </w:tr>
      <w:tr w14:paraId="3B83E5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C60005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21"/>
                <w:szCs w:val="21"/>
                <w:lang w:val="en-US" w:eastAsia="zh-CN"/>
              </w:rPr>
              <w:t>36</w:t>
            </w:r>
          </w:p>
        </w:tc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FBB4C7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Ventilation status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5324E2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Z99.11</w:t>
            </w:r>
          </w:p>
        </w:tc>
        <w:tc>
          <w:tcPr>
            <w:tcW w:w="3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BAF633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 w:val="0"/>
                <w:color w:val="000000"/>
                <w:sz w:val="21"/>
                <w:szCs w:val="21"/>
              </w:rPr>
              <w:t>A state of dependence on a ventilator</w:t>
            </w:r>
          </w:p>
        </w:tc>
      </w:tr>
      <w:tr w14:paraId="592111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9328" w:type="dxa"/>
            <w:gridSpan w:val="4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550001C">
            <w:pPr>
              <w:pStyle w:val="1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cs="Times New Roman" w:eastAsiaTheme="minorHAnsi"/>
                <w:b w:val="0"/>
                <w:color w:val="000000"/>
                <w:sz w:val="21"/>
                <w:szCs w:val="21"/>
              </w:rPr>
            </w:pPr>
          </w:p>
        </w:tc>
      </w:tr>
      <w:bookmarkEnd w:id="1"/>
    </w:tbl>
    <w:p w14:paraId="7C78807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rPr>
          <w:rFonts w:ascii="Times New Roman" w:hAnsi="Times New Roman" w:eastAsia="等线"/>
          <w:sz w:val="24"/>
          <w:szCs w:val="24"/>
        </w:rPr>
      </w:pPr>
    </w:p>
    <w:p w14:paraId="0CE2DF2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rPr>
          <w:rFonts w:ascii="Times New Roman" w:hAnsi="Times New Roman" w:eastAsia="等线"/>
          <w:sz w:val="24"/>
          <w:szCs w:val="24"/>
        </w:rPr>
      </w:pPr>
    </w:p>
    <w:p w14:paraId="57245DA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rPr>
          <w:rFonts w:ascii="Times New Roman" w:hAnsi="Times New Roman" w:eastAsia="等线"/>
          <w:sz w:val="24"/>
          <w:szCs w:val="24"/>
        </w:rPr>
      </w:pPr>
    </w:p>
    <w:p w14:paraId="46E858B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rPr>
          <w:rFonts w:ascii="Times New Roman" w:hAnsi="Times New Roman" w:eastAsia="等线"/>
          <w:sz w:val="24"/>
          <w:szCs w:val="24"/>
        </w:rPr>
      </w:pPr>
    </w:p>
    <w:p w14:paraId="57B427E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rPr>
          <w:rFonts w:ascii="Times New Roman" w:hAnsi="Times New Roman" w:eastAsia="等线"/>
          <w:sz w:val="24"/>
          <w:szCs w:val="24"/>
        </w:rPr>
      </w:pPr>
    </w:p>
    <w:p w14:paraId="0A83380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rPr>
          <w:rFonts w:ascii="Times New Roman" w:hAnsi="Times New Roman" w:eastAsia="等线"/>
          <w:sz w:val="24"/>
          <w:szCs w:val="24"/>
        </w:rPr>
      </w:pPr>
    </w:p>
    <w:p w14:paraId="7F9DB1B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Supplemental Table </w:t>
      </w:r>
      <w:r>
        <w:rPr>
          <w:rFonts w:hint="eastAsia"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. Proportion of missing data for each variable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1"/>
        <w:gridCol w:w="4394"/>
      </w:tblGrid>
      <w:tr w14:paraId="6E1DF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  <w:tl2br w:val="nil"/>
            </w:tcBorders>
            <w:shd w:val="clear" w:color="auto" w:fill="FFFFFF"/>
            <w:vAlign w:val="top"/>
          </w:tcPr>
          <w:p w14:paraId="4AE438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  <w:t>Variable</w:t>
            </w:r>
          </w:p>
        </w:tc>
        <w:tc>
          <w:tcPr>
            <w:tcW w:w="567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top"/>
          </w:tcPr>
          <w:p w14:paraId="306700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  <w:t>Missing</w:t>
            </w:r>
            <w:r>
              <w:rPr>
                <w:rFonts w:hint="eastAsia" w:ascii="Times New Roman" w:hAnsi="Times New Roman" w:eastAsiaTheme="minorEastAsia"/>
                <w:b w:val="0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  <w:t>Rate</w:t>
            </w:r>
          </w:p>
        </w:tc>
      </w:tr>
      <w:tr w14:paraId="67C30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</w:tcPr>
          <w:p w14:paraId="0E46A9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  <w:t>PO2</w:t>
            </w:r>
          </w:p>
        </w:tc>
        <w:tc>
          <w:tcPr>
            <w:tcW w:w="4394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</w:tcPr>
          <w:p w14:paraId="47D62C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  <w:t>29.2668760</w:t>
            </w:r>
          </w:p>
        </w:tc>
      </w:tr>
      <w:tr w14:paraId="38DB0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0082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  <w:t>PCO2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A767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  <w:t>29.2668760</w:t>
            </w:r>
          </w:p>
        </w:tc>
      </w:tr>
      <w:tr w14:paraId="19397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294C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  <w:t>Low</w:t>
            </w:r>
            <w:r>
              <w:rPr>
                <w:rFonts w:hint="eastAsia" w:ascii="Times New Roman" w:hAnsi="Times New Roman" w:eastAsiaTheme="minorEastAsia"/>
                <w:b w:val="0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  <w:t>density</w:t>
            </w:r>
            <w:r>
              <w:rPr>
                <w:rFonts w:hint="eastAsia" w:ascii="Times New Roman" w:hAnsi="Times New Roman" w:eastAsiaTheme="minorEastAsia"/>
                <w:b w:val="0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  <w:t>lipoprotein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603B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  <w:t>28.7755102</w:t>
            </w:r>
          </w:p>
        </w:tc>
      </w:tr>
      <w:tr w14:paraId="7114A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3CD8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  <w:t>PH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3832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  <w:t>28.6970173</w:t>
            </w:r>
          </w:p>
        </w:tc>
      </w:tr>
      <w:tr w14:paraId="191C3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979D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  <w:t>High</w:t>
            </w:r>
            <w:r>
              <w:rPr>
                <w:rFonts w:hint="eastAsia" w:ascii="Times New Roman" w:hAnsi="Times New Roman" w:eastAsiaTheme="minorEastAsia"/>
                <w:b w:val="0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  <w:t>density</w:t>
            </w:r>
            <w:r>
              <w:rPr>
                <w:rFonts w:hint="eastAsia" w:ascii="Times New Roman" w:hAnsi="Times New Roman" w:eastAsiaTheme="minorEastAsia"/>
                <w:b w:val="0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  <w:t>lipoprotein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8A01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  <w:t>27.9120879</w:t>
            </w:r>
          </w:p>
        </w:tc>
      </w:tr>
      <w:tr w14:paraId="23A2C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6EC5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  <w:t>cholesterol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8DD2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  <w:t>26.8916797</w:t>
            </w:r>
          </w:p>
        </w:tc>
      </w:tr>
      <w:tr w14:paraId="40888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81DA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  <w:t>albumin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A00C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  <w:t>15.0706436</w:t>
            </w:r>
          </w:p>
        </w:tc>
      </w:tr>
      <w:tr w14:paraId="00B6C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6064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  <w:t>GCS min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0F3A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  <w:t>13.2653061</w:t>
            </w:r>
          </w:p>
        </w:tc>
      </w:tr>
      <w:tr w14:paraId="67E6E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1D5F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  <w:t>GCS motor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DD82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  <w:t>12.7158556</w:t>
            </w:r>
          </w:p>
        </w:tc>
      </w:tr>
      <w:tr w14:paraId="716BF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375F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  <w:t>GCS eyes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5F81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  <w:t>12.1664050</w:t>
            </w:r>
          </w:p>
        </w:tc>
      </w:tr>
      <w:tr w14:paraId="0B686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3FE6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  <w:t>ALT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7BD1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  <w:t>10.8320251</w:t>
            </w:r>
          </w:p>
        </w:tc>
      </w:tr>
      <w:tr w14:paraId="073BF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2178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  <w:t>AST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1A2D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  <w:t>9.8116170</w:t>
            </w:r>
          </w:p>
        </w:tc>
      </w:tr>
      <w:tr w14:paraId="21D2C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8DDE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b w:val="0"/>
                <w:color w:val="000000"/>
                <w:sz w:val="21"/>
                <w:szCs w:val="21"/>
              </w:rPr>
              <w:t>W</w:t>
            </w:r>
            <w:r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  <w:t>hite</w:t>
            </w:r>
            <w:r>
              <w:rPr>
                <w:rFonts w:hint="eastAsia" w:ascii="Times New Roman" w:hAnsi="Times New Roman" w:eastAsiaTheme="minorEastAsia"/>
                <w:b w:val="0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  <w:t>blood</w:t>
            </w:r>
            <w:r>
              <w:rPr>
                <w:rFonts w:hint="eastAsia" w:ascii="Times New Roman" w:hAnsi="Times New Roman" w:eastAsiaTheme="minorEastAsia"/>
                <w:b w:val="0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  <w:t>cell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AF7E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  <w:t>0.7849294</w:t>
            </w:r>
          </w:p>
        </w:tc>
      </w:tr>
      <w:tr w14:paraId="1472B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5A80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  <w:t>Platelet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F7C7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  <w:t>0.6279435</w:t>
            </w:r>
          </w:p>
        </w:tc>
      </w:tr>
      <w:tr w14:paraId="312A3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F51E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  <w:t>Creatinine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9B5A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  <w:t>0.6279435</w:t>
            </w:r>
          </w:p>
        </w:tc>
      </w:tr>
      <w:tr w14:paraId="7E7AC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A5A7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  <w:t>Gender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245A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  <w:t>0.0000000</w:t>
            </w:r>
          </w:p>
        </w:tc>
      </w:tr>
      <w:tr w14:paraId="712DF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5F61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  <w:t>Age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23F5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  <w:t>0.0000000</w:t>
            </w:r>
          </w:p>
        </w:tc>
      </w:tr>
      <w:tr w14:paraId="12AA5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EA0F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  <w:t>Death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6A6C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  <w:t>0.0000000</w:t>
            </w:r>
          </w:p>
        </w:tc>
      </w:tr>
      <w:tr w14:paraId="3EE33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780E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  <w:t>Type</w:t>
            </w:r>
            <w:r>
              <w:rPr>
                <w:rFonts w:hint="eastAsia" w:ascii="Times New Roman" w:hAnsi="Times New Roman" w:eastAsiaTheme="minorEastAsia"/>
                <w:b w:val="0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  <w:t>2</w:t>
            </w:r>
            <w:r>
              <w:rPr>
                <w:rFonts w:hint="eastAsia" w:ascii="Times New Roman" w:hAnsi="Times New Roman" w:eastAsiaTheme="minorEastAsia"/>
                <w:b w:val="0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  <w:t>diabetes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CD95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  <w:t>0.0000000</w:t>
            </w:r>
          </w:p>
        </w:tc>
      </w:tr>
      <w:tr w14:paraId="29936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05BB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  <w:t>Atrial</w:t>
            </w:r>
            <w:r>
              <w:rPr>
                <w:rFonts w:hint="eastAsia" w:ascii="Times New Roman" w:hAnsi="Times New Roman" w:eastAsiaTheme="minorEastAsia"/>
                <w:b w:val="0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  <w:t>fibrillation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F716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  <w:t>0.0000000</w:t>
            </w:r>
          </w:p>
        </w:tc>
      </w:tr>
      <w:tr w14:paraId="0D801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C21B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  <w:t>Pulmonary embolism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B2D9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  <w:t>0.0000000</w:t>
            </w:r>
          </w:p>
        </w:tc>
      </w:tr>
      <w:tr w14:paraId="3C4DE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409C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  <w:t>Deep</w:t>
            </w:r>
            <w:r>
              <w:rPr>
                <w:rFonts w:hint="eastAsia" w:ascii="Times New Roman" w:hAnsi="Times New Roman" w:eastAsiaTheme="minorEastAsia"/>
                <w:b w:val="0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  <w:t>vein</w:t>
            </w:r>
            <w:r>
              <w:rPr>
                <w:rFonts w:hint="eastAsia" w:ascii="Times New Roman" w:hAnsi="Times New Roman" w:eastAsiaTheme="minorEastAsia"/>
                <w:b w:val="0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  <w:t>thrombosis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D16E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  <w:t>0.0000000</w:t>
            </w:r>
          </w:p>
        </w:tc>
      </w:tr>
      <w:tr w14:paraId="461AD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12C74E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  <w:t>Hypertension</w:t>
            </w:r>
          </w:p>
        </w:tc>
        <w:tc>
          <w:tcPr>
            <w:tcW w:w="439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03088E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 w:val="0"/>
                <w:color w:val="000000"/>
                <w:sz w:val="21"/>
                <w:szCs w:val="21"/>
              </w:rPr>
              <w:t>0.0000000</w:t>
            </w:r>
          </w:p>
        </w:tc>
      </w:tr>
    </w:tbl>
    <w:p w14:paraId="1BE438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rPr>
          <w:rFonts w:ascii="Times New Roman" w:hAnsi="Times New Roman" w:eastAsia="等线"/>
          <w:sz w:val="24"/>
          <w:szCs w:val="24"/>
        </w:rPr>
      </w:pPr>
    </w:p>
    <w:p w14:paraId="1D65E80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rPr>
          <w:rFonts w:ascii="Times New Roman" w:hAnsi="Times New Roman" w:eastAsia="等线"/>
          <w:sz w:val="24"/>
          <w:szCs w:val="24"/>
        </w:rPr>
      </w:pPr>
    </w:p>
    <w:p w14:paraId="698400E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rPr>
          <w:rFonts w:ascii="Times New Roman" w:hAnsi="Times New Roman" w:eastAsia="等线"/>
          <w:sz w:val="24"/>
          <w:szCs w:val="24"/>
        </w:rPr>
      </w:pPr>
    </w:p>
    <w:p w14:paraId="08248BD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rPr>
          <w:rFonts w:ascii="Times New Roman" w:hAnsi="Times New Roman" w:eastAsia="等线"/>
          <w:sz w:val="24"/>
          <w:szCs w:val="24"/>
        </w:rPr>
      </w:pPr>
    </w:p>
    <w:p w14:paraId="7D16A29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rPr>
          <w:rFonts w:ascii="Times New Roman" w:hAnsi="Times New Roman" w:eastAsia="等线"/>
          <w:sz w:val="24"/>
          <w:szCs w:val="24"/>
        </w:rPr>
      </w:pPr>
    </w:p>
    <w:p w14:paraId="68680D4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rPr>
          <w:rFonts w:ascii="Times New Roman" w:hAnsi="Times New Roman" w:eastAsia="等线"/>
          <w:sz w:val="24"/>
          <w:szCs w:val="24"/>
        </w:rPr>
      </w:pPr>
    </w:p>
    <w:p w14:paraId="7AD29DB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rPr>
          <w:rFonts w:ascii="Times New Roman" w:hAnsi="Times New Roman" w:eastAsia="等线"/>
          <w:sz w:val="24"/>
          <w:szCs w:val="24"/>
        </w:rPr>
      </w:pPr>
    </w:p>
    <w:p w14:paraId="7CFA049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rPr>
          <w:rFonts w:ascii="Times New Roman" w:hAnsi="Times New Roman" w:eastAsia="等线"/>
          <w:sz w:val="24"/>
          <w:szCs w:val="24"/>
        </w:rPr>
      </w:pPr>
    </w:p>
    <w:p w14:paraId="1983259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rPr>
          <w:rFonts w:hint="eastAsia" w:ascii="Times New Roman" w:hAnsi="Times New Roman"/>
          <w:b/>
          <w:sz w:val="24"/>
          <w:szCs w:val="24"/>
        </w:rPr>
      </w:pPr>
    </w:p>
    <w:p w14:paraId="3E3443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Times New Roman" w:hAnsi="Times New Roman"/>
          <w:b/>
          <w:sz w:val="24"/>
          <w:szCs w:val="24"/>
        </w:rPr>
      </w:pPr>
      <w:r>
        <w:rPr>
          <w:rFonts w:hint="eastAsia" w:ascii="Times New Roman" w:hAnsi="Times New Roman"/>
          <w:b/>
          <w:sz w:val="24"/>
          <w:szCs w:val="24"/>
        </w:rPr>
        <w:t xml:space="preserve">Supplemental Table 4. Model-relevant variable data for external patients </w:t>
      </w:r>
    </w:p>
    <w:tbl>
      <w:tblPr>
        <w:tblStyle w:val="5"/>
        <w:tblpPr w:leftFromText="180" w:rightFromText="180" w:vertAnchor="text" w:horzAnchor="page" w:tblpX="1463" w:tblpY="601"/>
        <w:tblOverlap w:val="never"/>
        <w:tblW w:w="5417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9"/>
        <w:gridCol w:w="1733"/>
        <w:gridCol w:w="2130"/>
        <w:gridCol w:w="2346"/>
        <w:gridCol w:w="841"/>
      </w:tblGrid>
      <w:tr w14:paraId="5A736A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083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568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40" w:lineRule="auto"/>
              <w:ind w:left="40" w:right="40"/>
              <w:jc w:val="center"/>
              <w:textAlignment w:val="auto"/>
              <w:rPr>
                <w:rFonts w:hint="eastAsia" w:ascii="Times New Roman" w:hAnsi="Times New Roman"/>
                <w:color w:val="000000"/>
                <w:sz w:val="21"/>
                <w:szCs w:val="21"/>
              </w:rPr>
            </w:pPr>
            <w:bookmarkStart w:id="7" w:name="_Hlk184826161"/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Variables</w:t>
            </w:r>
          </w:p>
        </w:tc>
        <w:tc>
          <w:tcPr>
            <w:tcW w:w="963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218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40" w:lineRule="auto"/>
              <w:ind w:left="40" w:right="40"/>
              <w:jc w:val="center"/>
              <w:textAlignment w:val="auto"/>
              <w:rPr>
                <w:rFonts w:hint="eastAsia"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Total (n = 129)</w:t>
            </w:r>
          </w:p>
        </w:tc>
        <w:tc>
          <w:tcPr>
            <w:tcW w:w="1183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EFB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40" w:lineRule="auto"/>
              <w:ind w:left="40" w:right="40"/>
              <w:jc w:val="center"/>
              <w:textAlignment w:val="auto"/>
              <w:rPr>
                <w:rFonts w:hint="eastAsia"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Non-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val="en-US" w:eastAsia="zh-CN"/>
              </w:rPr>
              <w:t>Death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 xml:space="preserve"> (n = 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val="en-US" w:eastAsia="zh-CN"/>
              </w:rPr>
              <w:t>102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302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95A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40" w:lineRule="auto"/>
              <w:ind w:left="40" w:right="40"/>
              <w:jc w:val="center"/>
              <w:textAlignment w:val="auto"/>
              <w:rPr>
                <w:rFonts w:hint="eastAsia"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val="en-US" w:eastAsia="zh-CN"/>
              </w:rPr>
              <w:t>Death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 xml:space="preserve"> (n = 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val="en-US" w:eastAsia="zh-CN"/>
              </w:rPr>
              <w:t>27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467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917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40" w:lineRule="auto"/>
              <w:ind w:left="40" w:right="40"/>
              <w:jc w:val="center"/>
              <w:textAlignment w:val="auto"/>
              <w:rPr>
                <w:rFonts w:hint="default" w:ascii="Times New Roman" w:hAnsi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val="en-US" w:eastAsia="zh-CN"/>
              </w:rPr>
              <w:t>P</w:t>
            </w:r>
          </w:p>
        </w:tc>
      </w:tr>
      <w:tr w14:paraId="5187D4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3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872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40" w:lineRule="auto"/>
              <w:ind w:left="40" w:right="40"/>
              <w:jc w:val="left"/>
              <w:textAlignment w:val="auto"/>
              <w:rPr>
                <w:rFonts w:hint="default" w:ascii="Times New Roman" w:hAnsi="Times New Roman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Age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val="en-US" w:eastAsia="zh-CN"/>
              </w:rPr>
              <w:t>(years)</w:t>
            </w:r>
          </w:p>
        </w:tc>
        <w:tc>
          <w:tcPr>
            <w:tcW w:w="963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F72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40" w:lineRule="auto"/>
              <w:ind w:left="40" w:right="40"/>
              <w:jc w:val="center"/>
              <w:textAlignment w:val="auto"/>
              <w:rPr>
                <w:rFonts w:hint="eastAsia"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57.00 (50.00, 68.00)</w:t>
            </w:r>
          </w:p>
        </w:tc>
        <w:tc>
          <w:tcPr>
            <w:tcW w:w="1183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B98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40" w:lineRule="auto"/>
              <w:ind w:left="40" w:right="40"/>
              <w:jc w:val="center"/>
              <w:textAlignment w:val="auto"/>
              <w:rPr>
                <w:rFonts w:hint="eastAsia"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55.00 (49.00, 67.00)</w:t>
            </w:r>
          </w:p>
        </w:tc>
        <w:tc>
          <w:tcPr>
            <w:tcW w:w="1302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C76F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40" w:lineRule="auto"/>
              <w:ind w:left="40" w:right="40"/>
              <w:jc w:val="center"/>
              <w:textAlignment w:val="auto"/>
              <w:rPr>
                <w:rFonts w:hint="eastAsia"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61.00 (57.50, 71.50)</w:t>
            </w:r>
          </w:p>
        </w:tc>
        <w:tc>
          <w:tcPr>
            <w:tcW w:w="467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CC3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40" w:lineRule="auto"/>
              <w:ind w:left="40" w:right="40"/>
              <w:jc w:val="center"/>
              <w:textAlignment w:val="auto"/>
              <w:rPr>
                <w:rFonts w:hint="eastAsia"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0.032</w:t>
            </w:r>
          </w:p>
          <w:p w14:paraId="555592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40" w:lineRule="auto"/>
              <w:ind w:left="40" w:right="40"/>
              <w:jc w:val="center"/>
              <w:textAlignment w:val="auto"/>
              <w:rPr>
                <w:rFonts w:hint="eastAsia" w:ascii="Times New Roman" w:hAnsi="Times New Roman"/>
                <w:color w:val="000000"/>
                <w:sz w:val="21"/>
                <w:szCs w:val="21"/>
              </w:rPr>
            </w:pPr>
          </w:p>
        </w:tc>
      </w:tr>
      <w:tr w14:paraId="43417D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C41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40" w:lineRule="auto"/>
              <w:ind w:left="40" w:right="40"/>
              <w:jc w:val="left"/>
              <w:textAlignment w:val="auto"/>
              <w:rPr>
                <w:rFonts w:hint="eastAsia"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LDL(mg/dL)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393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40" w:lineRule="auto"/>
              <w:ind w:left="40" w:right="40"/>
              <w:jc w:val="center"/>
              <w:textAlignment w:val="auto"/>
              <w:rPr>
                <w:rFonts w:hint="eastAsia"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98.22 (80.43, 121.81)</w:t>
            </w:r>
          </w:p>
        </w:tc>
        <w:tc>
          <w:tcPr>
            <w:tcW w:w="11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621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40" w:lineRule="auto"/>
              <w:ind w:left="40" w:right="40"/>
              <w:jc w:val="center"/>
              <w:textAlignment w:val="auto"/>
              <w:rPr>
                <w:rFonts w:hint="eastAsia"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99.38 (81.30, 122.78)</w:t>
            </w:r>
          </w:p>
        </w:tc>
        <w:tc>
          <w:tcPr>
            <w:tcW w:w="13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592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40" w:lineRule="auto"/>
              <w:ind w:left="40" w:right="40"/>
              <w:jc w:val="center"/>
              <w:textAlignment w:val="auto"/>
              <w:rPr>
                <w:rFonts w:hint="eastAsia"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97.45 (79.27, 120.84)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41A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40" w:lineRule="auto"/>
              <w:ind w:left="40" w:right="40"/>
              <w:jc w:val="center"/>
              <w:textAlignment w:val="auto"/>
              <w:rPr>
                <w:rFonts w:hint="eastAsia"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0.623</w:t>
            </w:r>
          </w:p>
        </w:tc>
      </w:tr>
      <w:tr w14:paraId="2FF3EB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77E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40" w:lineRule="auto"/>
              <w:ind w:left="40" w:right="40"/>
              <w:jc w:val="left"/>
              <w:textAlignment w:val="auto"/>
              <w:rPr>
                <w:rFonts w:hint="eastAsia"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Albumin(g/dL)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4BA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40" w:lineRule="auto"/>
              <w:ind w:left="40" w:right="40"/>
              <w:jc w:val="center"/>
              <w:textAlignment w:val="auto"/>
              <w:rPr>
                <w:rFonts w:hint="eastAsia"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3.98 (3.74, 4.26)</w:t>
            </w:r>
          </w:p>
        </w:tc>
        <w:tc>
          <w:tcPr>
            <w:tcW w:w="11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78E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40" w:lineRule="auto"/>
              <w:ind w:left="40" w:right="40"/>
              <w:jc w:val="center"/>
              <w:textAlignment w:val="auto"/>
              <w:rPr>
                <w:rFonts w:hint="eastAsia"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3.98 (3.75, 4.26)</w:t>
            </w:r>
          </w:p>
        </w:tc>
        <w:tc>
          <w:tcPr>
            <w:tcW w:w="13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789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40" w:lineRule="auto"/>
              <w:ind w:left="40" w:right="40"/>
              <w:jc w:val="center"/>
              <w:textAlignment w:val="auto"/>
              <w:rPr>
                <w:rFonts w:hint="eastAsia"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3.97 (3.66, 4.17)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6DE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40" w:lineRule="auto"/>
              <w:ind w:left="40" w:right="40"/>
              <w:jc w:val="center"/>
              <w:textAlignment w:val="auto"/>
              <w:rPr>
                <w:rFonts w:hint="eastAsia"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0.469</w:t>
            </w:r>
          </w:p>
        </w:tc>
      </w:tr>
      <w:tr w14:paraId="2D79DC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EFD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40" w:lineRule="auto"/>
              <w:ind w:left="40" w:right="40"/>
              <w:jc w:val="left"/>
              <w:textAlignment w:val="auto"/>
              <w:rPr>
                <w:rFonts w:hint="eastAsia"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GCS motor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9E9E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40" w:lineRule="auto"/>
              <w:ind w:left="40" w:right="40"/>
              <w:jc w:val="center"/>
              <w:textAlignment w:val="auto"/>
              <w:rPr>
                <w:rFonts w:hint="eastAsia"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4.00 (3.00, 6.00)</w:t>
            </w:r>
          </w:p>
        </w:tc>
        <w:tc>
          <w:tcPr>
            <w:tcW w:w="11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D25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40" w:lineRule="auto"/>
              <w:ind w:left="40" w:right="40"/>
              <w:jc w:val="center"/>
              <w:textAlignment w:val="auto"/>
              <w:rPr>
                <w:rFonts w:hint="eastAsia"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5.00 (4.00, 6.00)</w:t>
            </w:r>
          </w:p>
        </w:tc>
        <w:tc>
          <w:tcPr>
            <w:tcW w:w="13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F66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40" w:lineRule="auto"/>
              <w:ind w:left="40" w:right="40"/>
              <w:jc w:val="center"/>
              <w:textAlignment w:val="auto"/>
              <w:rPr>
                <w:rFonts w:hint="eastAsia"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3.00 (1.00, 4.00)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AFD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40" w:lineRule="auto"/>
              <w:ind w:left="40" w:right="40"/>
              <w:jc w:val="center"/>
              <w:textAlignment w:val="auto"/>
              <w:rPr>
                <w:rFonts w:hint="eastAsia"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&lt;.001</w:t>
            </w:r>
          </w:p>
        </w:tc>
      </w:tr>
      <w:tr w14:paraId="221CA9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91D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40" w:lineRule="auto"/>
              <w:ind w:left="40" w:right="40"/>
              <w:jc w:val="left"/>
              <w:textAlignment w:val="auto"/>
              <w:rPr>
                <w:rFonts w:hint="eastAsia"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GCS eyes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1ED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40" w:lineRule="auto"/>
              <w:ind w:left="40" w:right="40"/>
              <w:jc w:val="center"/>
              <w:textAlignment w:val="auto"/>
              <w:rPr>
                <w:rFonts w:hint="eastAsia"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3.00 (1.00, 4.00)</w:t>
            </w:r>
          </w:p>
        </w:tc>
        <w:tc>
          <w:tcPr>
            <w:tcW w:w="11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214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40" w:lineRule="auto"/>
              <w:ind w:left="40" w:right="40"/>
              <w:jc w:val="center"/>
              <w:textAlignment w:val="auto"/>
              <w:rPr>
                <w:rFonts w:hint="eastAsia"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3.00 (2.00, 4.00)</w:t>
            </w:r>
          </w:p>
        </w:tc>
        <w:tc>
          <w:tcPr>
            <w:tcW w:w="13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C17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40" w:lineRule="auto"/>
              <w:ind w:left="40" w:right="40"/>
              <w:jc w:val="center"/>
              <w:textAlignment w:val="auto"/>
              <w:rPr>
                <w:rFonts w:hint="eastAsia"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1.00 (1.00, 1.50)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06D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40" w:lineRule="auto"/>
              <w:ind w:left="40" w:right="40"/>
              <w:jc w:val="center"/>
              <w:textAlignment w:val="auto"/>
              <w:rPr>
                <w:rFonts w:hint="eastAsia"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&lt;.001</w:t>
            </w:r>
          </w:p>
        </w:tc>
      </w:tr>
      <w:tr w14:paraId="0A3B65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C21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40" w:lineRule="auto"/>
              <w:ind w:left="40" w:right="40"/>
              <w:jc w:val="left"/>
              <w:textAlignment w:val="auto"/>
              <w:rPr>
                <w:rFonts w:hint="eastAsia"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Atrial fibrillation(%)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7F2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40" w:lineRule="auto"/>
              <w:ind w:left="40" w:right="40"/>
              <w:jc w:val="center"/>
              <w:textAlignment w:val="auto"/>
              <w:rPr>
                <w:rFonts w:hint="eastAsia"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483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40" w:lineRule="auto"/>
              <w:ind w:left="40" w:right="40"/>
              <w:jc w:val="center"/>
              <w:textAlignment w:val="auto"/>
              <w:rPr>
                <w:rFonts w:hint="eastAsia"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FE7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40" w:lineRule="auto"/>
              <w:ind w:left="40" w:right="40"/>
              <w:jc w:val="center"/>
              <w:textAlignment w:val="auto"/>
              <w:rPr>
                <w:rFonts w:hint="eastAsia"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A87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40" w:lineRule="auto"/>
              <w:ind w:left="40" w:right="40"/>
              <w:jc w:val="center"/>
              <w:textAlignment w:val="auto"/>
              <w:rPr>
                <w:rFonts w:hint="eastAsia"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0.089</w:t>
            </w:r>
          </w:p>
        </w:tc>
      </w:tr>
      <w:tr w14:paraId="3361F2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241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40" w:lineRule="auto"/>
              <w:ind w:left="40" w:right="40"/>
              <w:jc w:val="left"/>
              <w:textAlignment w:val="auto"/>
              <w:rPr>
                <w:rFonts w:hint="eastAsia"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No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018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40" w:lineRule="auto"/>
              <w:ind w:left="40" w:right="40"/>
              <w:jc w:val="center"/>
              <w:textAlignment w:val="auto"/>
              <w:rPr>
                <w:rFonts w:hint="eastAsia"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118 (91.47)</w:t>
            </w:r>
          </w:p>
        </w:tc>
        <w:tc>
          <w:tcPr>
            <w:tcW w:w="11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EB6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40" w:lineRule="auto"/>
              <w:ind w:left="40" w:right="40"/>
              <w:jc w:val="center"/>
              <w:textAlignment w:val="auto"/>
              <w:rPr>
                <w:rFonts w:hint="eastAsia"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96 (94.12)</w:t>
            </w:r>
          </w:p>
        </w:tc>
        <w:tc>
          <w:tcPr>
            <w:tcW w:w="13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B90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40" w:lineRule="auto"/>
              <w:ind w:left="40" w:right="40"/>
              <w:jc w:val="center"/>
              <w:textAlignment w:val="auto"/>
              <w:rPr>
                <w:rFonts w:hint="eastAsia"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22 (81.48)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582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40" w:lineRule="auto"/>
              <w:ind w:left="40" w:right="40"/>
              <w:jc w:val="center"/>
              <w:textAlignment w:val="auto"/>
              <w:rPr>
                <w:rFonts w:hint="eastAsia" w:ascii="Times New Roman" w:hAnsi="Times New Roman"/>
                <w:color w:val="000000"/>
                <w:sz w:val="21"/>
                <w:szCs w:val="21"/>
              </w:rPr>
            </w:pPr>
          </w:p>
        </w:tc>
      </w:tr>
      <w:tr w14:paraId="2578EE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D3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40" w:lineRule="auto"/>
              <w:ind w:left="40" w:right="40"/>
              <w:jc w:val="left"/>
              <w:textAlignment w:val="auto"/>
              <w:rPr>
                <w:rFonts w:hint="eastAsia"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Yes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B91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40" w:lineRule="auto"/>
              <w:ind w:left="40" w:right="40"/>
              <w:jc w:val="center"/>
              <w:textAlignment w:val="auto"/>
              <w:rPr>
                <w:rFonts w:hint="eastAsia"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11 (8.53)</w:t>
            </w:r>
          </w:p>
        </w:tc>
        <w:tc>
          <w:tcPr>
            <w:tcW w:w="11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0B3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40" w:lineRule="auto"/>
              <w:ind w:left="40" w:right="40"/>
              <w:jc w:val="center"/>
              <w:textAlignment w:val="auto"/>
              <w:rPr>
                <w:rFonts w:hint="eastAsia"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6 (5.88)</w:t>
            </w:r>
          </w:p>
        </w:tc>
        <w:tc>
          <w:tcPr>
            <w:tcW w:w="13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9E3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40" w:lineRule="auto"/>
              <w:ind w:left="40" w:right="40"/>
              <w:jc w:val="center"/>
              <w:textAlignment w:val="auto"/>
              <w:rPr>
                <w:rFonts w:hint="eastAsia" w:ascii="Times New Roman" w:hAnsi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val="en-US" w:eastAsia="zh-CN"/>
              </w:rPr>
              <w:t>5 (18.52)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F1B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40" w:lineRule="auto"/>
              <w:ind w:left="40" w:right="40"/>
              <w:jc w:val="center"/>
              <w:textAlignment w:val="auto"/>
              <w:rPr>
                <w:rFonts w:hint="eastAsia" w:ascii="Times New Roman" w:hAnsi="Times New Roman"/>
                <w:color w:val="000000"/>
                <w:sz w:val="21"/>
                <w:szCs w:val="21"/>
              </w:rPr>
            </w:pPr>
          </w:p>
        </w:tc>
      </w:tr>
      <w:tr w14:paraId="14B1CC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D3D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40" w:lineRule="auto"/>
              <w:ind w:left="40" w:right="40"/>
              <w:jc w:val="left"/>
              <w:textAlignment w:val="auto"/>
              <w:rPr>
                <w:rFonts w:hint="eastAsia"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Gender(%)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8E3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40" w:lineRule="auto"/>
              <w:ind w:left="40" w:right="40"/>
              <w:jc w:val="center"/>
              <w:textAlignment w:val="auto"/>
              <w:rPr>
                <w:rFonts w:hint="eastAsia"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4C8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40" w:lineRule="auto"/>
              <w:ind w:left="40" w:right="40"/>
              <w:jc w:val="center"/>
              <w:textAlignment w:val="auto"/>
              <w:rPr>
                <w:rFonts w:hint="eastAsia"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E43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40" w:lineRule="auto"/>
              <w:ind w:left="40" w:right="40"/>
              <w:jc w:val="center"/>
              <w:textAlignment w:val="auto"/>
              <w:rPr>
                <w:rFonts w:hint="eastAsia"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85D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40" w:lineRule="auto"/>
              <w:ind w:left="40" w:right="40"/>
              <w:jc w:val="center"/>
              <w:textAlignment w:val="auto"/>
              <w:rPr>
                <w:rFonts w:hint="eastAsia"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0.161</w:t>
            </w:r>
          </w:p>
        </w:tc>
      </w:tr>
      <w:tr w14:paraId="4CD115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443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40" w:lineRule="auto"/>
              <w:ind w:left="40" w:right="40"/>
              <w:jc w:val="left"/>
              <w:textAlignment w:val="auto"/>
              <w:rPr>
                <w:rFonts w:hint="default" w:ascii="Times New Roman" w:hAnsi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val="en-US" w:eastAsia="zh-CN"/>
              </w:rPr>
              <w:t>Male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59F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40" w:lineRule="auto"/>
              <w:ind w:left="40" w:right="40"/>
              <w:jc w:val="center"/>
              <w:textAlignment w:val="auto"/>
              <w:rPr>
                <w:rFonts w:hint="eastAsia"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61 (47.29)</w:t>
            </w:r>
          </w:p>
        </w:tc>
        <w:tc>
          <w:tcPr>
            <w:tcW w:w="11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5DC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40" w:lineRule="auto"/>
              <w:ind w:left="40" w:right="40"/>
              <w:jc w:val="center"/>
              <w:textAlignment w:val="auto"/>
              <w:rPr>
                <w:rFonts w:hint="eastAsia"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45 (44.12)</w:t>
            </w:r>
          </w:p>
        </w:tc>
        <w:tc>
          <w:tcPr>
            <w:tcW w:w="13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0AD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40" w:lineRule="auto"/>
              <w:ind w:left="40" w:right="40"/>
              <w:jc w:val="center"/>
              <w:textAlignment w:val="auto"/>
              <w:rPr>
                <w:rFonts w:hint="eastAsia"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16 (59.26)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D16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40" w:lineRule="auto"/>
              <w:ind w:left="40" w:right="40"/>
              <w:jc w:val="center"/>
              <w:textAlignment w:val="auto"/>
              <w:rPr>
                <w:rFonts w:hint="eastAsia" w:ascii="Times New Roman" w:hAnsi="Times New Roman"/>
                <w:color w:val="000000"/>
                <w:sz w:val="21"/>
                <w:szCs w:val="21"/>
              </w:rPr>
            </w:pPr>
          </w:p>
        </w:tc>
      </w:tr>
      <w:tr w14:paraId="25A744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3" w:type="pct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D34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40" w:lineRule="auto"/>
              <w:ind w:left="40" w:right="40"/>
              <w:jc w:val="left"/>
              <w:textAlignment w:val="auto"/>
              <w:rPr>
                <w:rFonts w:hint="default" w:ascii="Times New Roman" w:hAnsi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val="en-US" w:eastAsia="zh-CN"/>
              </w:rPr>
              <w:t>Female</w:t>
            </w:r>
          </w:p>
        </w:tc>
        <w:tc>
          <w:tcPr>
            <w:tcW w:w="963" w:type="pct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B7F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40" w:lineRule="auto"/>
              <w:ind w:left="40" w:right="40"/>
              <w:jc w:val="center"/>
              <w:textAlignment w:val="auto"/>
              <w:rPr>
                <w:rFonts w:hint="eastAsia"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68 (52.71)</w:t>
            </w:r>
          </w:p>
        </w:tc>
        <w:tc>
          <w:tcPr>
            <w:tcW w:w="1183" w:type="pct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F82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40" w:lineRule="auto"/>
              <w:ind w:left="40" w:right="40"/>
              <w:jc w:val="center"/>
              <w:textAlignment w:val="auto"/>
              <w:rPr>
                <w:rFonts w:hint="eastAsia"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57 (55.88)</w:t>
            </w:r>
          </w:p>
        </w:tc>
        <w:tc>
          <w:tcPr>
            <w:tcW w:w="1302" w:type="pct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B81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40" w:lineRule="auto"/>
              <w:ind w:left="40" w:right="40"/>
              <w:jc w:val="center"/>
              <w:textAlignment w:val="auto"/>
              <w:rPr>
                <w:rFonts w:hint="eastAsia"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11 (40.74)</w:t>
            </w:r>
          </w:p>
        </w:tc>
        <w:tc>
          <w:tcPr>
            <w:tcW w:w="467" w:type="pct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DFE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40" w:lineRule="auto"/>
              <w:ind w:left="40" w:right="40"/>
              <w:jc w:val="center"/>
              <w:textAlignment w:val="auto"/>
              <w:rPr>
                <w:rFonts w:hint="eastAsia" w:ascii="Times New Roman" w:hAnsi="Times New Roman"/>
                <w:color w:val="000000"/>
                <w:sz w:val="21"/>
                <w:szCs w:val="21"/>
              </w:rPr>
            </w:pPr>
          </w:p>
        </w:tc>
      </w:tr>
      <w:tr w14:paraId="31227D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2" w:type="pct"/>
            <w:gridSpan w:val="4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47D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40" w:lineRule="auto"/>
              <w:ind w:left="40" w:right="40"/>
              <w:jc w:val="left"/>
              <w:textAlignment w:val="auto"/>
              <w:rPr>
                <w:rFonts w:hint="eastAsia"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71C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40" w:lineRule="auto"/>
              <w:ind w:left="40" w:right="40"/>
              <w:jc w:val="center"/>
              <w:textAlignment w:val="auto"/>
              <w:rPr>
                <w:rFonts w:hint="eastAsia" w:ascii="Times New Roman" w:hAnsi="Times New Roman"/>
                <w:color w:val="000000"/>
                <w:sz w:val="21"/>
                <w:szCs w:val="21"/>
              </w:rPr>
            </w:pPr>
          </w:p>
        </w:tc>
      </w:tr>
      <w:bookmarkEnd w:id="7"/>
    </w:tbl>
    <w:p w14:paraId="78E3FBA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rPr>
          <w:rFonts w:ascii="Times New Roman" w:hAnsi="Times New Roman" w:eastAsia="等线"/>
          <w:sz w:val="24"/>
          <w:szCs w:val="24"/>
        </w:rPr>
      </w:pPr>
    </w:p>
    <w:p w14:paraId="72FF23C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rPr>
          <w:rFonts w:ascii="Times New Roman" w:hAnsi="Times New Roman" w:eastAsia="等线"/>
          <w:sz w:val="24"/>
          <w:szCs w:val="24"/>
        </w:rPr>
      </w:pPr>
    </w:p>
    <w:p w14:paraId="013890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rPr>
          <w:rFonts w:ascii="Times New Roman" w:hAnsi="Times New Roman" w:eastAsia="等线"/>
          <w:sz w:val="24"/>
          <w:szCs w:val="24"/>
        </w:rPr>
      </w:pPr>
    </w:p>
    <w:p w14:paraId="7E21170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rPr>
          <w:rFonts w:ascii="Times New Roman" w:hAnsi="Times New Roman" w:eastAsia="等线"/>
          <w:sz w:val="24"/>
          <w:szCs w:val="24"/>
        </w:rPr>
      </w:pPr>
    </w:p>
    <w:p w14:paraId="79C1DA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rPr>
          <w:rFonts w:ascii="Times New Roman" w:hAnsi="Times New Roman" w:eastAsia="等线"/>
          <w:sz w:val="24"/>
          <w:szCs w:val="24"/>
        </w:rPr>
      </w:pPr>
    </w:p>
    <w:p w14:paraId="0A7D5EE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rPr>
          <w:rFonts w:ascii="Times New Roman" w:hAnsi="Times New Roman" w:eastAsia="等线"/>
          <w:sz w:val="24"/>
          <w:szCs w:val="24"/>
        </w:rPr>
      </w:pPr>
    </w:p>
    <w:p w14:paraId="2D807AA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rPr>
          <w:rFonts w:ascii="Times New Roman" w:hAnsi="Times New Roman" w:eastAsia="等线"/>
          <w:sz w:val="24"/>
          <w:szCs w:val="24"/>
        </w:rPr>
      </w:pPr>
    </w:p>
    <w:p w14:paraId="4208A6A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rPr>
          <w:rFonts w:ascii="Times New Roman" w:hAnsi="Times New Roman"/>
          <w:b/>
          <w:bCs/>
          <w:sz w:val="24"/>
          <w:szCs w:val="24"/>
        </w:rPr>
      </w:pPr>
    </w:p>
    <w:p w14:paraId="0B63CB7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rPr>
          <w:rFonts w:ascii="Times New Roman" w:hAnsi="Times New Roman"/>
          <w:b/>
          <w:bCs/>
          <w:sz w:val="24"/>
          <w:szCs w:val="24"/>
        </w:rPr>
      </w:pPr>
    </w:p>
    <w:p w14:paraId="66AEBB9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rPr>
          <w:rFonts w:ascii="Times New Roman" w:hAnsi="Times New Roman"/>
          <w:b/>
          <w:bCs/>
          <w:sz w:val="24"/>
          <w:szCs w:val="24"/>
        </w:rPr>
      </w:pPr>
    </w:p>
    <w:p w14:paraId="60552D0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rPr>
          <w:rFonts w:ascii="Times New Roman" w:hAnsi="Times New Roman"/>
          <w:b/>
          <w:bCs/>
          <w:sz w:val="24"/>
          <w:szCs w:val="24"/>
        </w:rPr>
      </w:pPr>
    </w:p>
    <w:p w14:paraId="4C43665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Supplemental </w:t>
      </w:r>
      <w:bookmarkStart w:id="8" w:name="_Hlk176782702"/>
      <w:r>
        <w:rPr>
          <w:rFonts w:ascii="Times New Roman" w:hAnsi="Times New Roman"/>
          <w:b/>
          <w:bCs/>
          <w:sz w:val="24"/>
          <w:szCs w:val="24"/>
        </w:rPr>
        <w:t>Figure 1</w:t>
      </w:r>
      <w:bookmarkEnd w:id="8"/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hint="eastAsia" w:ascii="Times New Roman" w:hAnsi="Times New Roman"/>
          <w:b/>
          <w:bCs/>
          <w:sz w:val="24"/>
          <w:szCs w:val="24"/>
        </w:rPr>
        <w:t>Data cleaning flow chart</w:t>
      </w:r>
    </w:p>
    <w:p w14:paraId="50BA2A8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</w:pPr>
    </w:p>
    <w:p w14:paraId="10FED1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rPr>
          <w:rFonts w:ascii="Times New Roman" w:hAnsi="Times New Roman" w:eastAsia="等线"/>
          <w:sz w:val="24"/>
          <w:szCs w:val="24"/>
        </w:rPr>
      </w:pPr>
      <w:r>
        <w:rPr>
          <w:rFonts w:ascii="Times New Roman" w:hAnsi="Times New Roman" w:eastAsia="等线"/>
          <w:sz w:val="24"/>
          <w:szCs w:val="24"/>
        </w:rPr>
        <w:drawing>
          <wp:inline distT="0" distB="0" distL="0" distR="0">
            <wp:extent cx="5274310" cy="2122170"/>
            <wp:effectExtent l="0" t="0" r="2540" b="0"/>
            <wp:docPr id="29847072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470729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2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179FA">
      <w:pPr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55275348">
      <w:pPr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6C9DE387">
      <w:pPr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4500DBFB">
      <w:pPr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2A0BABDE">
      <w:pPr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1338FABE">
      <w:pPr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5400073F">
      <w:pPr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72DCD747">
      <w:pPr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374C11C9">
      <w:pPr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61BCDEBC">
      <w:pPr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21C37950">
      <w:pPr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4F7EB8EB">
      <w:pPr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6D7E694B">
      <w:pPr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7BA659C6">
      <w:pPr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71D0639F">
      <w:pPr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7090202C">
      <w:pPr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595A4116">
      <w:pPr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64519E88">
      <w:pPr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09326D9C">
      <w:pPr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5E44FBA3">
      <w:pPr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26011D41">
      <w:pPr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24CF7045">
      <w:pPr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0D21607D">
      <w:pPr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1BC4A65D">
      <w:pPr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23EA7DEE">
      <w:pPr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62FD635D">
      <w:pPr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56D0FAE5">
      <w:pPr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1BDBFD6A">
      <w:pPr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2E64D90A">
      <w:pPr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547BBB1E">
      <w:pPr>
        <w:jc w:val="left"/>
        <w:rPr>
          <w:rFonts w:hint="eastAsia" w:ascii="Times New Roman" w:hAnsi="Times New Roman"/>
          <w:b/>
          <w:bCs/>
          <w:sz w:val="24"/>
          <w:szCs w:val="24"/>
        </w:rPr>
      </w:pPr>
      <w:r>
        <w:rPr>
          <w:rFonts w:hint="eastAsia" w:ascii="Times New Roman" w:hAnsi="Times New Roman"/>
          <w:b/>
          <w:bCs/>
          <w:sz w:val="24"/>
          <w:szCs w:val="24"/>
        </w:rPr>
        <w:t>Supplementary statement</w:t>
      </w:r>
    </w:p>
    <w:p w14:paraId="6491D962">
      <w:pPr>
        <w:pStyle w:val="4"/>
        <w:keepNext w:val="0"/>
        <w:keepLines w:val="0"/>
        <w:widowControl/>
        <w:suppressLineNumbers w:val="0"/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-SA"/>
        </w:rPr>
        <w:t xml:space="preserve">· 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2"/>
          <w:sz w:val="21"/>
          <w:szCs w:val="21"/>
          <w:lang w:val="en-US" w:eastAsia="zh-CN" w:bidi="ar-SA"/>
        </w:rPr>
        <w:t>Accuracy</w:t>
      </w:r>
      <w:r>
        <w:rPr>
          <w:rFonts w:hint="eastAsia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-SA"/>
        </w:rPr>
        <w:t>: Accuracy represents the proportion of correctly predicted instances, calculated as:</w:t>
      </w:r>
    </w:p>
    <w:p w14:paraId="77D0AEB6">
      <w:pPr>
        <w:keepNext w:val="0"/>
        <w:keepLines w:val="0"/>
        <w:widowControl/>
        <w:suppressLineNumbers w:val="0"/>
        <w:rPr>
          <w:rFonts w:hint="eastAsia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-SA"/>
        </w:rPr>
        <w:br w:type="textWrapping"/>
      </w:r>
      <m:oMathPara>
        <m:oMath>
          <m:r>
            <m:rPr/>
            <w:rPr>
              <w:rFonts w:hint="default" w:ascii="Cambria Math" w:hAnsi="Cambria Math" w:cs="Times New Roman"/>
              <w:color w:val="000000"/>
              <w:kern w:val="2"/>
              <w:sz w:val="21"/>
              <w:szCs w:val="21"/>
              <w:lang w:val="en-US" w:eastAsia="zh-CN" w:bidi="ar-SA"/>
            </w:rPr>
            <m:t>Accuracy=</m:t>
          </m:r>
          <m:f>
            <m:fPr>
              <m:ctrlPr>
                <w:rPr>
                  <w:rFonts w:hint="default" w:ascii="Cambria Math" w:hAnsi="Cambria Math" w:cs="Times New Roman"/>
                  <w:i/>
                  <w:iCs w:val="0"/>
                  <w:color w:val="000000"/>
                  <w:kern w:val="2"/>
                  <w:sz w:val="21"/>
                  <w:szCs w:val="21"/>
                  <w:lang w:val="en-US" w:eastAsia="zh-CN" w:bidi="ar-SA"/>
                </w:rPr>
              </m:ctrlPr>
            </m:fPr>
            <m:num>
              <m:r>
                <m:rPr/>
                <w:rPr>
                  <w:rFonts w:hint="default" w:ascii="Cambria Math" w:hAnsi="Cambria Math" w:cs="Times New Roman"/>
                  <w:color w:val="000000"/>
                  <w:kern w:val="2"/>
                  <w:sz w:val="21"/>
                  <w:szCs w:val="21"/>
                  <w:lang w:val="en-US" w:eastAsia="zh-CN" w:bidi="ar-SA"/>
                </w:rPr>
                <m:t>True Positives+True Negatives</m:t>
              </m:r>
              <m:ctrlPr>
                <w:rPr>
                  <w:rFonts w:hint="default" w:ascii="Cambria Math" w:hAnsi="Cambria Math" w:cs="Times New Roman"/>
                  <w:i/>
                  <w:iCs w:val="0"/>
                  <w:color w:val="000000"/>
                  <w:kern w:val="2"/>
                  <w:sz w:val="21"/>
                  <w:szCs w:val="21"/>
                  <w:lang w:val="en-US" w:eastAsia="zh-CN" w:bidi="ar-SA"/>
                </w:rPr>
              </m:ctrlPr>
            </m:num>
            <m:den>
              <m:r>
                <m:rPr/>
                <w:rPr>
                  <w:rFonts w:hint="default" w:ascii="Cambria Math" w:hAnsi="Cambria Math" w:cs="Times New Roman"/>
                  <w:color w:val="000000"/>
                  <w:kern w:val="2"/>
                  <w:sz w:val="21"/>
                  <w:szCs w:val="21"/>
                  <w:lang w:val="en-US" w:eastAsia="zh-CN" w:bidi="ar-SA"/>
                </w:rPr>
                <m:t>Total Samples</m:t>
              </m:r>
              <m:ctrlPr>
                <w:rPr>
                  <w:rFonts w:hint="default" w:ascii="Cambria Math" w:hAnsi="Cambria Math" w:cs="Times New Roman"/>
                  <w:i/>
                  <w:iCs w:val="0"/>
                  <w:color w:val="000000"/>
                  <w:kern w:val="2"/>
                  <w:sz w:val="21"/>
                  <w:szCs w:val="21"/>
                  <w:lang w:val="en-US" w:eastAsia="zh-CN" w:bidi="ar-SA"/>
                </w:rPr>
              </m:ctrlPr>
            </m:den>
          </m:f>
        </m:oMath>
      </m:oMathPara>
      <w:r>
        <w:rPr>
          <w:rFonts w:ascii="Cambria Math" w:hAnsi="Cambria Math" w:cs="Times New Roman"/>
          <w:i/>
          <w:color w:val="000000"/>
          <w:kern w:val="2"/>
          <w:sz w:val="21"/>
          <w:szCs w:val="21"/>
          <w:lang w:val="en-US" w:bidi="ar-SA"/>
        </w:rPr>
        <w:br w:type="textWrapping"/>
      </w:r>
      <w:r>
        <w:rPr>
          <w:rFonts w:hint="eastAsia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-SA"/>
        </w:rPr>
        <w:t>​</w:t>
      </w:r>
    </w:p>
    <w:p w14:paraId="29A3A02E">
      <w:pPr>
        <w:pStyle w:val="4"/>
        <w:keepNext w:val="0"/>
        <w:keepLines w:val="0"/>
        <w:widowControl/>
        <w:suppressLineNumbers w:val="0"/>
        <w:rPr>
          <w:rFonts w:hint="eastAsia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-SA"/>
        </w:rPr>
        <w:t>·</w:t>
      </w:r>
      <w:r>
        <w:rPr>
          <w:rFonts w:hint="eastAsia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-SA"/>
        </w:rPr>
        <w:t xml:space="preserve"> 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2"/>
          <w:sz w:val="21"/>
          <w:szCs w:val="21"/>
          <w:lang w:val="en-US" w:eastAsia="zh-CN" w:bidi="ar-SA"/>
        </w:rPr>
        <w:t>Sensitivity</w:t>
      </w:r>
      <w:r>
        <w:rPr>
          <w:rFonts w:hint="eastAsia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-SA"/>
        </w:rPr>
        <w:t>: Sensitivity, also known as recall or true positive rate, measures the model’s ability to identify positive instances, calculated as:</w:t>
      </w:r>
    </w:p>
    <w:p w14:paraId="3981D8C7">
      <w:pPr>
        <w:keepNext w:val="0"/>
        <w:keepLines w:val="0"/>
        <w:widowControl/>
        <w:suppressLineNumbers w:val="0"/>
        <w:rPr>
          <w:rFonts w:hint="eastAsia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-SA"/>
        </w:rPr>
        <w:t>·</w:t>
      </w:r>
      <w:r>
        <w:rPr>
          <w:rFonts w:hint="eastAsia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-SA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-SA"/>
        </w:rPr>
        <w:br w:type="textWrapping"/>
      </w:r>
      <m:oMathPara>
        <m:oMath>
          <m:r>
            <m:rPr/>
            <w:rPr>
              <w:rFonts w:hint="default" w:ascii="Cambria Math" w:hAnsi="Cambria Math" w:eastAsia="宋体" w:cs="Times New Roman"/>
              <w:color w:val="000000"/>
              <w:kern w:val="2"/>
              <w:sz w:val="21"/>
              <w:szCs w:val="21"/>
              <w:lang w:val="en-US" w:eastAsia="zh-CN" w:bidi="ar-SA"/>
            </w:rPr>
            <m:t>Sensitivity=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color w:val="000000"/>
                  <w:kern w:val="2"/>
                  <w:sz w:val="21"/>
                  <w:szCs w:val="21"/>
                  <w:lang w:val="en-US" w:bidi="ar-SA"/>
                </w:rPr>
              </m:ctrlPr>
            </m:fPr>
            <m:num>
              <m:r>
                <m:rPr/>
                <w:rPr>
                  <w:rFonts w:hint="default" w:ascii="Cambria Math" w:hAnsi="Cambria Math" w:cs="Times New Roman"/>
                  <w:color w:val="000000"/>
                  <w:kern w:val="2"/>
                  <w:sz w:val="21"/>
                  <w:szCs w:val="21"/>
                  <w:lang w:val="en-US" w:bidi="ar-SA"/>
                </w:rPr>
                <m:t>True Positives</m:t>
              </m:r>
              <m:ctrlPr>
                <w:rPr>
                  <w:rFonts w:ascii="Cambria Math" w:hAnsi="Cambria Math" w:cs="Times New Roman"/>
                  <w:i/>
                  <w:iCs/>
                  <w:color w:val="000000"/>
                  <w:kern w:val="2"/>
                  <w:sz w:val="21"/>
                  <w:szCs w:val="21"/>
                  <w:lang w:val="en-US" w:bidi="ar-SA"/>
                </w:rPr>
              </m:ctrlPr>
            </m:num>
            <m:den>
              <m:r>
                <m:rPr/>
                <w:rPr>
                  <w:rFonts w:hint="default" w:ascii="Cambria Math" w:hAnsi="Cambria Math" w:cs="Times New Roman"/>
                  <w:color w:val="000000"/>
                  <w:kern w:val="2"/>
                  <w:sz w:val="21"/>
                  <w:szCs w:val="21"/>
                  <w:lang w:val="en-US" w:bidi="ar-SA"/>
                </w:rPr>
                <m:t>True Positives+False Negatives</m:t>
              </m:r>
              <m:ctrlPr>
                <w:rPr>
                  <w:rFonts w:ascii="Cambria Math" w:hAnsi="Cambria Math" w:cs="Times New Roman"/>
                  <w:i/>
                  <w:iCs/>
                  <w:color w:val="000000"/>
                  <w:kern w:val="2"/>
                  <w:sz w:val="21"/>
                  <w:szCs w:val="21"/>
                  <w:lang w:val="en-US" w:bidi="ar-SA"/>
                </w:rPr>
              </m:ctrlPr>
            </m:den>
          </m:f>
        </m:oMath>
      </m:oMathPara>
      <w:r>
        <w:rPr>
          <w:rFonts w:ascii="Cambria Math" w:hAnsi="Cambria Math" w:cs="Times New Roman"/>
          <w:i/>
          <w:color w:val="000000"/>
          <w:kern w:val="2"/>
          <w:sz w:val="21"/>
          <w:szCs w:val="21"/>
          <w:lang w:val="en-US" w:bidi="ar-SA"/>
        </w:rPr>
        <w:br w:type="textWrapping"/>
      </w:r>
      <w:r>
        <w:rPr>
          <w:rFonts w:hint="eastAsia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-SA"/>
        </w:rPr>
        <w:t>​</w:t>
      </w:r>
    </w:p>
    <w:p w14:paraId="75EC457E">
      <w:pPr>
        <w:pStyle w:val="4"/>
        <w:keepNext w:val="0"/>
        <w:keepLines w:val="0"/>
        <w:widowControl/>
        <w:suppressLineNumbers w:val="0"/>
        <w:rPr>
          <w:rFonts w:hint="eastAsia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-SA"/>
        </w:rPr>
        <w:t>·</w:t>
      </w:r>
      <w:r>
        <w:rPr>
          <w:rFonts w:hint="eastAsia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-SA"/>
        </w:rPr>
        <w:t xml:space="preserve"> 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2"/>
          <w:sz w:val="21"/>
          <w:szCs w:val="21"/>
          <w:lang w:val="en-US" w:eastAsia="zh-CN" w:bidi="ar-SA"/>
        </w:rPr>
        <w:t>Specificity</w:t>
      </w:r>
      <w:r>
        <w:rPr>
          <w:rFonts w:hint="eastAsia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-SA"/>
        </w:rPr>
        <w:t>: Specificity measures the model's ability to identify negative instances, calculated as:</w:t>
      </w:r>
    </w:p>
    <w:p w14:paraId="3004FADA">
      <w:pPr>
        <w:keepNext w:val="0"/>
        <w:keepLines w:val="0"/>
        <w:widowControl/>
        <w:suppressLineNumbers w:val="0"/>
        <w:rPr>
          <w:rFonts w:hint="eastAsia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-SA"/>
        </w:rPr>
        <w:t>·</w:t>
      </w:r>
      <w:r>
        <w:rPr>
          <w:rFonts w:hint="eastAsia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-SA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-SA"/>
        </w:rPr>
        <w:br w:type="textWrapping"/>
      </w:r>
      <m:oMathPara>
        <m:oMath>
          <m:r>
            <m:rPr/>
            <w:rPr>
              <w:rFonts w:hint="default" w:ascii="Cambria Math" w:hAnsi="Cambria Math" w:cs="Times New Roman"/>
              <w:color w:val="000000"/>
              <w:kern w:val="2"/>
              <w:sz w:val="21"/>
              <w:szCs w:val="21"/>
              <w:lang w:val="en-US" w:eastAsia="zh-CN" w:bidi="ar-SA"/>
            </w:rPr>
            <m:t>Specificity=</m:t>
          </m:r>
          <m:f>
            <m:fPr>
              <m:ctrlPr>
                <w:rPr>
                  <w:rFonts w:hint="default" w:ascii="Cambria Math" w:hAnsi="Cambria Math" w:cs="Times New Roman"/>
                  <w:i/>
                  <w:iCs/>
                  <w:color w:val="000000"/>
                  <w:kern w:val="2"/>
                  <w:sz w:val="21"/>
                  <w:szCs w:val="21"/>
                  <w:lang w:val="en-US" w:eastAsia="zh-CN" w:bidi="ar-SA"/>
                </w:rPr>
              </m:ctrlPr>
            </m:fPr>
            <m:num>
              <m:r>
                <m:rPr/>
                <w:rPr>
                  <w:rFonts w:hint="default" w:ascii="Cambria Math" w:hAnsi="Cambria Math" w:cs="Times New Roman"/>
                  <w:color w:val="000000"/>
                  <w:kern w:val="2"/>
                  <w:sz w:val="21"/>
                  <w:szCs w:val="21"/>
                  <w:lang w:val="en-US" w:eastAsia="zh-CN" w:bidi="ar-SA"/>
                </w:rPr>
                <m:t>True Negatives</m:t>
              </m:r>
              <m:ctrlPr>
                <w:rPr>
                  <w:rFonts w:hint="default" w:ascii="Cambria Math" w:hAnsi="Cambria Math" w:cs="Times New Roman"/>
                  <w:i/>
                  <w:iCs/>
                  <w:color w:val="000000"/>
                  <w:kern w:val="2"/>
                  <w:sz w:val="21"/>
                  <w:szCs w:val="21"/>
                  <w:lang w:val="en-US" w:eastAsia="zh-CN" w:bidi="ar-SA"/>
                </w:rPr>
              </m:ctrlPr>
            </m:num>
            <m:den>
              <m:r>
                <m:rPr/>
                <w:rPr>
                  <w:rFonts w:hint="default" w:ascii="Cambria Math" w:hAnsi="Cambria Math" w:cs="Times New Roman"/>
                  <w:color w:val="000000"/>
                  <w:kern w:val="2"/>
                  <w:sz w:val="21"/>
                  <w:szCs w:val="21"/>
                  <w:lang w:val="en-US" w:eastAsia="zh-CN" w:bidi="ar-SA"/>
                </w:rPr>
                <m:t>True Negatives+False Positives</m:t>
              </m:r>
              <m:ctrlPr>
                <w:rPr>
                  <w:rFonts w:hint="default" w:ascii="Cambria Math" w:hAnsi="Cambria Math" w:cs="Times New Roman"/>
                  <w:i/>
                  <w:iCs/>
                  <w:color w:val="000000"/>
                  <w:kern w:val="2"/>
                  <w:sz w:val="21"/>
                  <w:szCs w:val="21"/>
                  <w:lang w:val="en-US" w:eastAsia="zh-CN" w:bidi="ar-SA"/>
                </w:rPr>
              </m:ctrlPr>
            </m:den>
          </m:f>
        </m:oMath>
      </m:oMathPara>
    </w:p>
    <w:p w14:paraId="4EA767FA">
      <w:pPr>
        <w:pStyle w:val="4"/>
        <w:keepNext w:val="0"/>
        <w:keepLines w:val="0"/>
        <w:widowControl/>
        <w:suppressLineNumbers w:val="0"/>
        <w:rPr>
          <w:rFonts w:hint="eastAsia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-SA"/>
        </w:rPr>
        <w:t>·</w:t>
      </w:r>
      <w:r>
        <w:rPr>
          <w:rFonts w:hint="eastAsia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-SA"/>
        </w:rPr>
        <w:t xml:space="preserve"> 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2"/>
          <w:sz w:val="21"/>
          <w:szCs w:val="21"/>
          <w:lang w:val="en-US" w:eastAsia="zh-CN" w:bidi="ar-SA"/>
        </w:rPr>
        <w:t>Precision</w:t>
      </w:r>
      <w:r>
        <w:rPr>
          <w:rFonts w:hint="eastAsia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-SA"/>
        </w:rPr>
        <w:t>: Precision measures the proportion of positive predictions that are actually correct, calculated as:</w:t>
      </w:r>
    </w:p>
    <w:p w14:paraId="0CB3F395">
      <w:pPr>
        <w:keepNext w:val="0"/>
        <w:keepLines w:val="0"/>
        <w:widowControl/>
        <w:suppressLineNumbers w:val="0"/>
        <w:rPr>
          <w:rFonts w:hint="eastAsia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-SA"/>
        </w:rPr>
        <w:t>·</w:t>
      </w:r>
      <w:r>
        <w:rPr>
          <w:rFonts w:hint="eastAsia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-SA"/>
        </w:rPr>
        <w:t xml:space="preserve">  </w:t>
      </w:r>
    </w:p>
    <w:p w14:paraId="0DD4595D">
      <w:pPr>
        <w:keepNext w:val="0"/>
        <w:keepLines w:val="0"/>
        <w:widowControl/>
        <w:suppressLineNumbers w:val="0"/>
        <w:rPr>
          <w:rFonts w:hint="eastAsia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-SA"/>
        </w:rPr>
      </w:pPr>
      <m:oMathPara>
        <m:oMath>
          <m:r>
            <m:rPr/>
            <w:rPr>
              <w:rFonts w:hint="default" w:ascii="Cambria Math" w:hAnsi="Cambria Math" w:eastAsia="宋体" w:cs="Times New Roman"/>
              <w:color w:val="000000"/>
              <w:kern w:val="2"/>
              <w:sz w:val="21"/>
              <w:szCs w:val="21"/>
              <w:lang w:val="en-US" w:eastAsia="zh-CN" w:bidi="ar-SA"/>
            </w:rPr>
            <m:t>Precision=</m:t>
          </m:r>
          <m:f>
            <m:fPr>
              <m:ctrlPr>
                <w:rPr>
                  <w:rFonts w:hint="eastAsia" w:ascii="Cambria Math" w:hAnsi="Cambria Math" w:eastAsia="宋体" w:cs="Times New Roman"/>
                  <w:i/>
                  <w:iCs/>
                  <w:color w:val="000000"/>
                  <w:kern w:val="2"/>
                  <w:sz w:val="21"/>
                  <w:szCs w:val="21"/>
                  <w:lang w:val="en-US" w:eastAsia="zh-CN" w:bidi="ar-SA"/>
                </w:rPr>
              </m:ctrlPr>
            </m:fPr>
            <m:num>
              <m:r>
                <m:rPr/>
                <w:rPr>
                  <w:rFonts w:hint="default" w:ascii="Cambria Math" w:hAnsi="Cambria Math" w:eastAsia="宋体" w:cs="Times New Roman"/>
                  <w:color w:val="000000"/>
                  <w:kern w:val="2"/>
                  <w:sz w:val="21"/>
                  <w:szCs w:val="21"/>
                  <w:lang w:val="en-US" w:eastAsia="zh-CN" w:bidi="ar-SA"/>
                </w:rPr>
                <m:t>True Positives</m:t>
              </m:r>
              <m:ctrlPr>
                <w:rPr>
                  <w:rFonts w:hint="eastAsia" w:ascii="Cambria Math" w:hAnsi="Cambria Math" w:eastAsia="宋体" w:cs="Times New Roman"/>
                  <w:i/>
                  <w:iCs/>
                  <w:color w:val="000000"/>
                  <w:kern w:val="2"/>
                  <w:sz w:val="21"/>
                  <w:szCs w:val="21"/>
                  <w:lang w:val="en-US" w:eastAsia="zh-CN" w:bidi="ar-SA"/>
                </w:rPr>
              </m:ctrlPr>
            </m:num>
            <m:den>
              <m:r>
                <m:rPr/>
                <w:rPr>
                  <w:rFonts w:hint="default" w:ascii="Cambria Math" w:hAnsi="Cambria Math" w:eastAsia="宋体" w:cs="Times New Roman"/>
                  <w:color w:val="000000"/>
                  <w:kern w:val="2"/>
                  <w:sz w:val="21"/>
                  <w:szCs w:val="21"/>
                  <w:lang w:val="en-US" w:eastAsia="zh-CN" w:bidi="ar-SA"/>
                </w:rPr>
                <m:t>True Positives+False Positives</m:t>
              </m:r>
              <m:ctrlPr>
                <w:rPr>
                  <w:rFonts w:hint="eastAsia" w:ascii="Cambria Math" w:hAnsi="Cambria Math" w:eastAsia="宋体" w:cs="Times New Roman"/>
                  <w:i/>
                  <w:iCs/>
                  <w:color w:val="000000"/>
                  <w:kern w:val="2"/>
                  <w:sz w:val="21"/>
                  <w:szCs w:val="21"/>
                  <w:lang w:val="en-US" w:eastAsia="zh-CN" w:bidi="ar-SA"/>
                </w:rPr>
              </m:ctrlPr>
            </m:den>
          </m:f>
        </m:oMath>
      </m:oMathPara>
    </w:p>
    <w:p w14:paraId="4EA8B1F4">
      <w:pPr>
        <w:pStyle w:val="4"/>
        <w:keepNext w:val="0"/>
        <w:keepLines w:val="0"/>
        <w:widowControl/>
        <w:suppressLineNumbers w:val="0"/>
        <w:rPr>
          <w:rFonts w:hint="eastAsia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-SA"/>
        </w:rPr>
        <w:t>·</w:t>
      </w:r>
      <w:r>
        <w:rPr>
          <w:rFonts w:hint="eastAsia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-SA"/>
        </w:rPr>
        <w:t xml:space="preserve">  F1 Score: The F1 score is the harmonic mean of precision and sensitivity, providing a balanced measure of model performance, calculated as:</w:t>
      </w:r>
    </w:p>
    <w:p w14:paraId="72A85806">
      <w:pPr>
        <w:keepNext w:val="0"/>
        <w:keepLines w:val="0"/>
        <w:widowControl/>
        <w:suppressLineNumbers w:val="0"/>
        <w:rPr>
          <w:rFonts w:hint="eastAsia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-SA"/>
        </w:rPr>
        <w:t>·</w:t>
      </w:r>
      <w:r>
        <w:rPr>
          <w:rFonts w:hint="eastAsia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-SA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-SA"/>
        </w:rPr>
        <w:br w:type="textWrapping"/>
      </w:r>
      <m:oMathPara>
        <m:oMath>
          <m:r>
            <m:rPr/>
            <w:rPr>
              <w:rFonts w:hint="default" w:ascii="Cambria Math" w:hAnsi="Cambria Math" w:eastAsia="宋体" w:cs="Times New Roman"/>
              <w:color w:val="000000"/>
              <w:kern w:val="2"/>
              <w:sz w:val="21"/>
              <w:szCs w:val="21"/>
              <w:lang w:val="en-US" w:eastAsia="zh-CN" w:bidi="ar-SA"/>
            </w:rPr>
            <m:t>F1 Score=2×</m:t>
          </m:r>
          <m:f>
            <m:fPr>
              <m:ctrlPr>
                <w:rPr>
                  <w:rFonts w:hint="eastAsia" w:ascii="Cambria Math" w:hAnsi="Cambria Math" w:eastAsia="宋体" w:cs="Times New Roman"/>
                  <w:i/>
                  <w:iCs/>
                  <w:color w:val="000000"/>
                  <w:kern w:val="2"/>
                  <w:sz w:val="21"/>
                  <w:szCs w:val="21"/>
                  <w:lang w:val="en-US" w:eastAsia="zh-CN" w:bidi="ar-SA"/>
                </w:rPr>
              </m:ctrlPr>
            </m:fPr>
            <m:num>
              <m:r>
                <m:rPr/>
                <w:rPr>
                  <w:rFonts w:hint="default" w:ascii="Cambria Math" w:hAnsi="Cambria Math" w:cs="Times New Roman"/>
                  <w:color w:val="000000"/>
                  <w:kern w:val="2"/>
                  <w:sz w:val="21"/>
                  <w:szCs w:val="21"/>
                  <w:lang w:val="en-US" w:eastAsia="zh-CN" w:bidi="ar-SA"/>
                </w:rPr>
                <m:t>Precision×Sensitivity</m:t>
              </m:r>
              <m:ctrlPr>
                <w:rPr>
                  <w:rFonts w:hint="eastAsia" w:ascii="Cambria Math" w:hAnsi="Cambria Math" w:eastAsia="宋体" w:cs="Times New Roman"/>
                  <w:i/>
                  <w:iCs/>
                  <w:color w:val="000000"/>
                  <w:kern w:val="2"/>
                  <w:sz w:val="21"/>
                  <w:szCs w:val="21"/>
                  <w:lang w:val="en-US" w:eastAsia="zh-CN" w:bidi="ar-SA"/>
                </w:rPr>
              </m:ctrlPr>
            </m:num>
            <m:den>
              <m:r>
                <m:rPr/>
                <w:rPr>
                  <w:rFonts w:hint="default" w:ascii="Cambria Math" w:hAnsi="Cambria Math" w:eastAsia="宋体" w:cs="Times New Roman"/>
                  <w:color w:val="000000"/>
                  <w:kern w:val="2"/>
                  <w:sz w:val="21"/>
                  <w:szCs w:val="21"/>
                  <w:lang w:val="en-US" w:eastAsia="zh-CN" w:bidi="ar-SA"/>
                </w:rPr>
                <m:t>Precision</m:t>
              </m:r>
              <m:r>
                <m:rPr/>
                <w:rPr>
                  <w:rFonts w:hint="default" w:ascii="Cambria Math" w:hAnsi="Cambria Math" w:cs="Times New Roman"/>
                  <w:color w:val="000000"/>
                  <w:kern w:val="2"/>
                  <w:sz w:val="21"/>
                  <w:szCs w:val="21"/>
                  <w:lang w:val="en-US" w:eastAsia="zh-CN" w:bidi="ar-SA"/>
                </w:rPr>
                <m:t>+</m:t>
              </m:r>
              <m:r>
                <m:rPr/>
                <w:rPr>
                  <w:rFonts w:hint="default" w:ascii="Cambria Math" w:hAnsi="Cambria Math" w:eastAsia="宋体" w:cs="Times New Roman"/>
                  <w:color w:val="000000"/>
                  <w:kern w:val="2"/>
                  <w:sz w:val="21"/>
                  <w:szCs w:val="21"/>
                  <w:lang w:val="en-US" w:eastAsia="zh-CN" w:bidi="ar-SA"/>
                </w:rPr>
                <m:t>Sensitivity</m:t>
              </m:r>
              <m:ctrlPr>
                <w:rPr>
                  <w:rFonts w:hint="eastAsia" w:ascii="Cambria Math" w:hAnsi="Cambria Math" w:eastAsia="宋体" w:cs="Times New Roman"/>
                  <w:i/>
                  <w:iCs/>
                  <w:color w:val="000000"/>
                  <w:kern w:val="2"/>
                  <w:sz w:val="21"/>
                  <w:szCs w:val="21"/>
                  <w:lang w:val="en-US" w:eastAsia="zh-CN" w:bidi="ar-SA"/>
                </w:rPr>
              </m:ctrlPr>
            </m:den>
          </m:f>
        </m:oMath>
      </m:oMathPara>
    </w:p>
    <w:p w14:paraId="09FD2101">
      <w:pPr>
        <w:pStyle w:val="4"/>
        <w:keepNext w:val="0"/>
        <w:keepLines w:val="0"/>
        <w:widowControl/>
        <w:suppressLineNumbers w:val="0"/>
        <w:rPr>
          <w:rFonts w:hint="eastAsia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-SA"/>
        </w:rPr>
        <w:t>·</w:t>
      </w:r>
      <w:r>
        <w:rPr>
          <w:rFonts w:hint="eastAsia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-SA"/>
        </w:rPr>
        <w:t xml:space="preserve">  AUC (Area Under the Curve): AUC represents the area under the receiver operating characteristic (ROC) curve, which evaluates the model's ability to distinguish between positive and negative instances. A higher AUC indicates better model performance.</w:t>
      </w:r>
      <w:bookmarkStart w:id="9" w:name="_GoBack"/>
      <w:bookmarkEnd w:id="9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Q2NDc0NGYxMzYzNWRkY2Q0OWYyMDY1Y2QwOGE4MDEifQ=="/>
  </w:docVars>
  <w:rsids>
    <w:rsidRoot w:val="005C75CD"/>
    <w:rsid w:val="000873B7"/>
    <w:rsid w:val="0010080D"/>
    <w:rsid w:val="00132252"/>
    <w:rsid w:val="00163FCD"/>
    <w:rsid w:val="001E49D6"/>
    <w:rsid w:val="001E4D46"/>
    <w:rsid w:val="00213C07"/>
    <w:rsid w:val="002B5D11"/>
    <w:rsid w:val="003242F1"/>
    <w:rsid w:val="00350E67"/>
    <w:rsid w:val="00364E9E"/>
    <w:rsid w:val="003F50A3"/>
    <w:rsid w:val="00460AB1"/>
    <w:rsid w:val="004A2945"/>
    <w:rsid w:val="004C4B2E"/>
    <w:rsid w:val="00504F1D"/>
    <w:rsid w:val="005059B5"/>
    <w:rsid w:val="005B6E3C"/>
    <w:rsid w:val="005C75CD"/>
    <w:rsid w:val="005F6571"/>
    <w:rsid w:val="00651A2A"/>
    <w:rsid w:val="0069559C"/>
    <w:rsid w:val="007E5546"/>
    <w:rsid w:val="007F7C92"/>
    <w:rsid w:val="0086030E"/>
    <w:rsid w:val="008F4EA4"/>
    <w:rsid w:val="00931EAB"/>
    <w:rsid w:val="00950D41"/>
    <w:rsid w:val="009C6906"/>
    <w:rsid w:val="00A65B1C"/>
    <w:rsid w:val="00AB67B5"/>
    <w:rsid w:val="00AB7BDE"/>
    <w:rsid w:val="00AE785B"/>
    <w:rsid w:val="00B04767"/>
    <w:rsid w:val="00B65553"/>
    <w:rsid w:val="00B734DC"/>
    <w:rsid w:val="00B92BA4"/>
    <w:rsid w:val="00BA6F83"/>
    <w:rsid w:val="00C64D2A"/>
    <w:rsid w:val="00C9296A"/>
    <w:rsid w:val="00CD1727"/>
    <w:rsid w:val="00D23044"/>
    <w:rsid w:val="00D56589"/>
    <w:rsid w:val="00E1744C"/>
    <w:rsid w:val="00E85374"/>
    <w:rsid w:val="00EA13DA"/>
    <w:rsid w:val="00EA6176"/>
    <w:rsid w:val="00ED42BB"/>
    <w:rsid w:val="00ED7B98"/>
    <w:rsid w:val="00F640DC"/>
    <w:rsid w:val="00F76D59"/>
    <w:rsid w:val="0704687A"/>
    <w:rsid w:val="0FAE6C29"/>
    <w:rsid w:val="1017192E"/>
    <w:rsid w:val="134277CC"/>
    <w:rsid w:val="366A17D5"/>
    <w:rsid w:val="399A7CBE"/>
    <w:rsid w:val="3A600D8D"/>
    <w:rsid w:val="44C41725"/>
    <w:rsid w:val="47306BBD"/>
    <w:rsid w:val="47F24CEF"/>
    <w:rsid w:val="4B891195"/>
    <w:rsid w:val="4F116A33"/>
    <w:rsid w:val="56F84900"/>
    <w:rsid w:val="57AC26C4"/>
    <w:rsid w:val="5A324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99"/>
    <w:rPr>
      <w:rFonts w:ascii="Times New Roman" w:hAnsi="Times New Roman"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22"/>
    <w:rPr>
      <w:b/>
    </w:rPr>
  </w:style>
  <w:style w:type="character" w:customStyle="1" w:styleId="9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2"/>
    <w:qFormat/>
    <w:uiPriority w:val="99"/>
    <w:rPr>
      <w:sz w:val="18"/>
      <w:szCs w:val="18"/>
    </w:rPr>
  </w:style>
  <w:style w:type="paragraph" w:customStyle="1" w:styleId="11">
    <w:name w:val="ParagraphStyle1"/>
    <w:basedOn w:val="1"/>
    <w:qFormat/>
    <w:uiPriority w:val="0"/>
    <w:pPr>
      <w:jc w:val="center"/>
    </w:pPr>
    <w:rPr>
      <w:rFonts w:eastAsia="Times New Roman" w:cs="Calibri"/>
      <w:sz w:val="22"/>
      <w:szCs w:val="22"/>
    </w:rPr>
  </w:style>
  <w:style w:type="paragraph" w:customStyle="1" w:styleId="12">
    <w:name w:val="ParagraphStyle2"/>
    <w:basedOn w:val="1"/>
    <w:qFormat/>
    <w:uiPriority w:val="0"/>
    <w:pPr>
      <w:jc w:val="center"/>
    </w:pPr>
    <w:rPr>
      <w:rFonts w:eastAsia="Times New Roman" w:cs="Calibri"/>
      <w:sz w:val="22"/>
      <w:szCs w:val="22"/>
    </w:rPr>
  </w:style>
  <w:style w:type="paragraph" w:customStyle="1" w:styleId="13">
    <w:name w:val="ParagraphStyle0"/>
    <w:basedOn w:val="1"/>
    <w:qFormat/>
    <w:uiPriority w:val="0"/>
    <w:pPr>
      <w:jc w:val="center"/>
    </w:pPr>
    <w:rPr>
      <w:rFonts w:eastAsia="Times New Roman" w:cs="Calibri"/>
      <w:sz w:val="22"/>
      <w:szCs w:val="22"/>
    </w:rPr>
  </w:style>
  <w:style w:type="paragraph" w:customStyle="1" w:styleId="14">
    <w:name w:val="ParagraphStyle3"/>
    <w:basedOn w:val="1"/>
    <w:qFormat/>
    <w:uiPriority w:val="0"/>
    <w:pPr>
      <w:jc w:val="left"/>
    </w:pPr>
    <w:rPr>
      <w:rFonts w:eastAsia="Times New Roman" w:cs="Calibri"/>
      <w:sz w:val="22"/>
      <w:szCs w:val="22"/>
    </w:rPr>
  </w:style>
  <w:style w:type="paragraph" w:customStyle="1" w:styleId="15">
    <w:name w:val="书目1"/>
    <w:basedOn w:val="1"/>
    <w:next w:val="1"/>
    <w:unhideWhenUsed/>
    <w:qFormat/>
    <w:uiPriority w:val="37"/>
    <w:pPr>
      <w:tabs>
        <w:tab w:val="left" w:pos="384"/>
      </w:tabs>
      <w:ind w:left="384" w:hanging="384"/>
    </w:pPr>
  </w:style>
  <w:style w:type="character" w:customStyle="1" w:styleId="16">
    <w:name w:val="hljs-section"/>
    <w:basedOn w:val="7"/>
    <w:qFormat/>
    <w:uiPriority w:val="0"/>
  </w:style>
  <w:style w:type="character" w:customStyle="1" w:styleId="17">
    <w:name w:val="hljs-emphasis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845</Words>
  <Characters>4888</Characters>
  <Lines>144</Lines>
  <Paragraphs>81</Paragraphs>
  <TotalTime>15</TotalTime>
  <ScaleCrop>false</ScaleCrop>
  <LinksUpToDate>false</LinksUpToDate>
  <CharactersWithSpaces>5427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2024-09-09T02:40:00Z</dcterms:created>
  <dc:creator>1021540546@qq.com</dc:creator>
  <cp:lastModifiedBy>Letter</cp:lastModifiedBy>
  <dcterms:modified xsi:type="dcterms:W3CDTF">2024-12-17T08:37:08Z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zotero-version="6.0.36"&gt;&lt;session id="wtVNv2zS"/&gt;&lt;style id="http://www.zotero.org/styles/journal-of-clinical-neuroscience" hasBibliography="1" bibliographyStyleHasBeenSet="1"/&gt;&lt;prefs&gt;&lt;pref name="fieldType" value="Field"/&gt;&lt;pref name="</vt:lpwstr>
  </property>
  <property fmtid="{D5CDD505-2E9C-101B-9397-08002B2CF9AE}" pid="3" name="ZOTERO_PREF_2">
    <vt:lpwstr>automaticJournalAbbreviations" value="true"/&gt;&lt;/prefs&gt;&lt;/data&gt;</vt:lpwstr>
  </property>
  <property fmtid="{D5CDD505-2E9C-101B-9397-08002B2CF9AE}" pid="4" name="KSOProductBuildVer">
    <vt:lpwstr>2052-12.1.0.19302</vt:lpwstr>
  </property>
  <property fmtid="{D5CDD505-2E9C-101B-9397-08002B2CF9AE}" pid="5" name="ICV">
    <vt:lpwstr>631387EA7DF04A1EB76EB537536CE956_12</vt:lpwstr>
  </property>
</Properties>
</file>