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36" w:rsidRDefault="00354736" w:rsidP="00354736">
      <w:pPr>
        <w:pStyle w:val="Title"/>
        <w:jc w:val="center"/>
      </w:pPr>
      <w:bookmarkStart w:id="0" w:name="_GoBack"/>
      <w:bookmarkEnd w:id="0"/>
      <w:r>
        <w:t>Supplementary Materials</w:t>
      </w:r>
    </w:p>
    <w:p w:rsidR="00354736" w:rsidRDefault="00354736" w:rsidP="00354736">
      <w:pPr>
        <w:pStyle w:val="Subtitle"/>
      </w:pPr>
      <w:r>
        <w:t>Profiling Questionnaire</w:t>
      </w:r>
    </w:p>
    <w:p w:rsidR="00354736" w:rsidRPr="003E6D2F" w:rsidRDefault="00354736" w:rsidP="00354736">
      <w:r>
        <w:t>T</w:t>
      </w:r>
      <w:r w:rsidRPr="003E6D2F">
        <w:t xml:space="preserve">he </w:t>
      </w:r>
      <w:r>
        <w:rPr>
          <w:i/>
          <w:iCs/>
        </w:rPr>
        <w:t>Profiling Questionnaire</w:t>
      </w:r>
      <w:r w:rsidRPr="003E6D2F">
        <w:t xml:space="preserve"> administered to each survey participant</w:t>
      </w:r>
      <w:r>
        <w:t xml:space="preserve"> is shown below.</w:t>
      </w:r>
      <w:r w:rsidRPr="003E6D2F">
        <w:t xml:space="preserve"> </w:t>
      </w:r>
      <w:r>
        <w:t xml:space="preserve">It </w:t>
      </w:r>
      <w:r w:rsidRPr="003E6D2F">
        <w:t>collect</w:t>
      </w:r>
      <w:r>
        <w:t>s</w:t>
      </w:r>
      <w:r w:rsidRPr="003E6D2F">
        <w:t xml:space="preserve"> some profiling information, specifically years of experience</w:t>
      </w:r>
      <w:r>
        <w:t xml:space="preserve"> as medical specialist, specialty</w:t>
      </w:r>
      <w:r w:rsidRPr="003E6D2F">
        <w:t>, gender, and attitudes toward AI</w:t>
      </w:r>
      <w:r>
        <w:t xml:space="preserve"> (yes/no statements from 1 to 5)</w:t>
      </w:r>
      <w:r w:rsidRPr="003E6D2F">
        <w:t>.</w:t>
      </w:r>
    </w:p>
    <w:p w:rsidR="00354736" w:rsidRDefault="00354736" w:rsidP="00354736">
      <w:pPr>
        <w:jc w:val="center"/>
      </w:pPr>
      <w:r>
        <w:rPr>
          <w:noProof/>
          <w:lang w:eastAsia="en-IN"/>
        </w:rPr>
        <w:drawing>
          <wp:inline distT="0" distB="0" distL="0" distR="0" wp14:anchorId="3BD0EC82" wp14:editId="590E0A52">
            <wp:extent cx="5341935" cy="653441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8" b="11275"/>
                    <a:stretch/>
                  </pic:blipFill>
                  <pic:spPr bwMode="auto">
                    <a:xfrm>
                      <a:off x="0" y="0"/>
                      <a:ext cx="5352809" cy="6547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736" w:rsidRDefault="00354736" w:rsidP="00354736">
      <w:pPr>
        <w:pStyle w:val="Subtitle"/>
      </w:pPr>
      <w:r>
        <w:lastRenderedPageBreak/>
        <w:t>Survey Questionnaire</w:t>
      </w:r>
    </w:p>
    <w:p w:rsidR="00354736" w:rsidRDefault="00354736" w:rsidP="00354736">
      <w:r>
        <w:t>A</w:t>
      </w:r>
      <w:r w:rsidRPr="008F7F15">
        <w:t xml:space="preserve"> </w:t>
      </w:r>
      <w:r>
        <w:t>read</w:t>
      </w:r>
      <w:r w:rsidRPr="008F7F15">
        <w:t xml:space="preserve">-only version of a </w:t>
      </w:r>
      <w:r w:rsidRPr="004C7AE3">
        <w:rPr>
          <w:i/>
          <w:iCs/>
        </w:rPr>
        <w:t>survey instance</w:t>
      </w:r>
      <w:r>
        <w:t xml:space="preserve">, i.e. patient case, </w:t>
      </w:r>
      <w:r w:rsidRPr="00FB2D25">
        <w:t>of</w:t>
      </w:r>
      <w:r>
        <w:t xml:space="preserve"> the </w:t>
      </w:r>
      <w:r w:rsidRPr="008F7F15">
        <w:rPr>
          <w:i/>
          <w:iCs/>
        </w:rPr>
        <w:t>Survey Questionnaire</w:t>
      </w:r>
      <w:r>
        <w:rPr>
          <w:i/>
          <w:iCs/>
        </w:rPr>
        <w:t>,</w:t>
      </w:r>
      <w:r>
        <w:t xml:space="preserve"> </w:t>
      </w:r>
      <w:r w:rsidRPr="008F7F15">
        <w:t>is shown below.</w:t>
      </w:r>
    </w:p>
    <w:p w:rsidR="00354736" w:rsidRDefault="00354736" w:rsidP="00354736">
      <w:pPr>
        <w:jc w:val="center"/>
      </w:pPr>
      <w:r>
        <w:rPr>
          <w:noProof/>
          <w:lang w:eastAsia="en-IN"/>
        </w:rPr>
        <w:drawing>
          <wp:inline distT="0" distB="0" distL="0" distR="0" wp14:anchorId="0AAED67E" wp14:editId="7067460F">
            <wp:extent cx="5364000" cy="4502441"/>
            <wp:effectExtent l="0" t="0" r="0" b="635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687"/>
                    <a:stretch/>
                  </pic:blipFill>
                  <pic:spPr bwMode="auto">
                    <a:xfrm>
                      <a:off x="0" y="0"/>
                      <a:ext cx="5364000" cy="4502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4736" w:rsidRDefault="00354736" w:rsidP="00354736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 wp14:anchorId="44F7A6AF" wp14:editId="6BC25D5D">
            <wp:extent cx="5812790" cy="8229600"/>
            <wp:effectExtent l="0" t="0" r="381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36" w:rsidRDefault="00354736" w:rsidP="00354736">
      <w:pPr>
        <w:jc w:val="center"/>
      </w:pPr>
      <w:r>
        <w:rPr>
          <w:noProof/>
          <w:lang w:eastAsia="en-IN"/>
        </w:rPr>
        <w:lastRenderedPageBreak/>
        <w:drawing>
          <wp:inline distT="0" distB="0" distL="0" distR="0" wp14:anchorId="1A84B82A" wp14:editId="7099F500">
            <wp:extent cx="5812790" cy="8229600"/>
            <wp:effectExtent l="0" t="0" r="381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 wp14:anchorId="5D5907B8" wp14:editId="3B8A0E50">
            <wp:extent cx="5812790" cy="8229600"/>
            <wp:effectExtent l="0" t="0" r="381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 wp14:anchorId="3A53DF31" wp14:editId="3EA62342">
            <wp:extent cx="5812790" cy="8229600"/>
            <wp:effectExtent l="0" t="0" r="381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N"/>
        </w:rPr>
        <w:lastRenderedPageBreak/>
        <w:drawing>
          <wp:inline distT="0" distB="0" distL="0" distR="0" wp14:anchorId="06A36742" wp14:editId="45BCFF01">
            <wp:extent cx="5812790" cy="8229600"/>
            <wp:effectExtent l="0" t="0" r="381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36" w:rsidRDefault="00354736" w:rsidP="00354736">
      <w:pPr>
        <w:pStyle w:val="Subtitle"/>
      </w:pPr>
      <w:r>
        <w:lastRenderedPageBreak/>
        <w:br w:type="page"/>
      </w:r>
      <w:r>
        <w:lastRenderedPageBreak/>
        <w:t>Additional survey analyses</w:t>
      </w:r>
    </w:p>
    <w:p w:rsidR="00354736" w:rsidRPr="00D66038" w:rsidRDefault="00354736" w:rsidP="00354736">
      <w:pPr>
        <w:widowControl w:val="0"/>
        <w:autoSpaceDE w:val="0"/>
        <w:autoSpaceDN w:val="0"/>
        <w:adjustRightInd w:val="0"/>
      </w:pPr>
      <w:r>
        <w:t xml:space="preserve">In the study, the average compliance obtained is relatively high (equal to 86% on average), especially taking into consideration that half of the presented cases are incorrectly predicted (FP and FN). </w:t>
      </w:r>
      <w:r w:rsidRPr="00F73276">
        <w:rPr>
          <w:szCs w:val="20"/>
        </w:rPr>
        <w:t xml:space="preserve">When comparing compliance rates </w:t>
      </w:r>
      <w:r>
        <w:rPr>
          <w:szCs w:val="20"/>
        </w:rPr>
        <w:t>and</w:t>
      </w:r>
      <w:r w:rsidRPr="00F73276">
        <w:rPr>
          <w:szCs w:val="20"/>
        </w:rPr>
        <w:t xml:space="preserve"> </w:t>
      </w:r>
      <w:r>
        <w:rPr>
          <w:szCs w:val="20"/>
        </w:rPr>
        <w:t xml:space="preserve">the </w:t>
      </w:r>
      <w:r w:rsidRPr="00F73276">
        <w:rPr>
          <w:szCs w:val="20"/>
        </w:rPr>
        <w:t xml:space="preserve">years of experience, </w:t>
      </w:r>
      <w:r>
        <w:rPr>
          <w:szCs w:val="20"/>
        </w:rPr>
        <w:t>we can observe a</w:t>
      </w:r>
      <w:r w:rsidRPr="00F73276">
        <w:rPr>
          <w:szCs w:val="20"/>
        </w:rPr>
        <w:t xml:space="preserve"> </w:t>
      </w:r>
      <w:r>
        <w:rPr>
          <w:szCs w:val="20"/>
        </w:rPr>
        <w:t xml:space="preserve">positive </w:t>
      </w:r>
      <w:r w:rsidRPr="00F73276">
        <w:rPr>
          <w:szCs w:val="20"/>
        </w:rPr>
        <w:t xml:space="preserve">trend showing that compliance increases with </w:t>
      </w:r>
      <w:r>
        <w:rPr>
          <w:szCs w:val="20"/>
        </w:rPr>
        <w:t>expertise (</w:t>
      </w:r>
      <w:r>
        <w:rPr>
          <w:szCs w:val="20"/>
        </w:rPr>
        <w:fldChar w:fldCharType="begin"/>
      </w:r>
      <w:r>
        <w:rPr>
          <w:szCs w:val="20"/>
        </w:rPr>
        <w:instrText xml:space="preserve"> REF _Ref181950125 \h </w:instrText>
      </w:r>
      <w:r>
        <w:rPr>
          <w:szCs w:val="20"/>
        </w:rPr>
      </w:r>
      <w:r>
        <w:rPr>
          <w:szCs w:val="20"/>
        </w:rPr>
        <w:fldChar w:fldCharType="separate"/>
      </w:r>
      <w:r>
        <w:t xml:space="preserve">Figure S. </w:t>
      </w:r>
      <w:r>
        <w:rPr>
          <w:noProof/>
        </w:rPr>
        <w:t>1</w:t>
      </w:r>
      <w:r>
        <w:rPr>
          <w:szCs w:val="20"/>
        </w:rPr>
        <w:fldChar w:fldCharType="end"/>
      </w:r>
      <w:r>
        <w:rPr>
          <w:szCs w:val="20"/>
        </w:rPr>
        <w:t>, left).</w:t>
      </w:r>
      <w:r>
        <w:t xml:space="preserve"> </w:t>
      </w:r>
      <w:r w:rsidRPr="009C0BFD">
        <w:t>The same pattern</w:t>
      </w:r>
      <w:r>
        <w:t xml:space="preserve"> can be seen also stratifying by gender </w:t>
      </w:r>
      <w:r>
        <w:rPr>
          <w:szCs w:val="20"/>
        </w:rPr>
        <w:t>(</w:t>
      </w:r>
      <w:r>
        <w:rPr>
          <w:szCs w:val="20"/>
        </w:rPr>
        <w:fldChar w:fldCharType="begin"/>
      </w:r>
      <w:r>
        <w:rPr>
          <w:szCs w:val="20"/>
        </w:rPr>
        <w:instrText xml:space="preserve"> REF _Ref181950125 \h </w:instrText>
      </w:r>
      <w:r>
        <w:rPr>
          <w:szCs w:val="20"/>
        </w:rPr>
      </w:r>
      <w:r>
        <w:rPr>
          <w:szCs w:val="20"/>
        </w:rPr>
        <w:fldChar w:fldCharType="separate"/>
      </w:r>
      <w:r>
        <w:t xml:space="preserve">Figure S. </w:t>
      </w:r>
      <w:r>
        <w:rPr>
          <w:noProof/>
        </w:rPr>
        <w:t>1</w:t>
      </w:r>
      <w:r>
        <w:rPr>
          <w:szCs w:val="20"/>
        </w:rPr>
        <w:fldChar w:fldCharType="end"/>
      </w:r>
      <w:r>
        <w:rPr>
          <w:szCs w:val="20"/>
        </w:rPr>
        <w:t xml:space="preserve">, </w:t>
      </w:r>
      <w:proofErr w:type="spellStart"/>
      <w:r>
        <w:rPr>
          <w:szCs w:val="20"/>
        </w:rPr>
        <w:t>center</w:t>
      </w:r>
      <w:proofErr w:type="spellEnd"/>
      <w:r>
        <w:rPr>
          <w:szCs w:val="20"/>
        </w:rPr>
        <w:t>)</w:t>
      </w:r>
      <w:r>
        <w:t xml:space="preserve"> and specialty (</w:t>
      </w:r>
      <w:r>
        <w:fldChar w:fldCharType="begin"/>
      </w:r>
      <w:r>
        <w:instrText xml:space="preserve"> REF _Ref181950125 \h </w:instrText>
      </w:r>
      <w:r>
        <w:fldChar w:fldCharType="separate"/>
      </w:r>
      <w:r>
        <w:t xml:space="preserve">Figure S. </w:t>
      </w:r>
      <w:r>
        <w:rPr>
          <w:noProof/>
        </w:rPr>
        <w:t>1</w:t>
      </w:r>
      <w:r>
        <w:fldChar w:fldCharType="end"/>
      </w:r>
      <w:r>
        <w:t xml:space="preserve">, right). </w:t>
      </w:r>
      <w:r>
        <w:rPr>
          <w:szCs w:val="20"/>
        </w:rPr>
        <w:t>Stratifying by specialty, a</w:t>
      </w:r>
      <w:r w:rsidRPr="00F73276">
        <w:rPr>
          <w:szCs w:val="20"/>
        </w:rPr>
        <w:t xml:space="preserve"> strong </w:t>
      </w:r>
      <w:r>
        <w:rPr>
          <w:szCs w:val="20"/>
        </w:rPr>
        <w:t>relationship</w:t>
      </w:r>
      <w:r w:rsidRPr="00F73276">
        <w:rPr>
          <w:szCs w:val="20"/>
        </w:rPr>
        <w:t xml:space="preserve"> between greater experience and higher compliance </w:t>
      </w:r>
      <w:r>
        <w:rPr>
          <w:szCs w:val="20"/>
        </w:rPr>
        <w:t>is</w:t>
      </w:r>
      <w:r w:rsidRPr="00F73276">
        <w:rPr>
          <w:szCs w:val="20"/>
        </w:rPr>
        <w:t xml:space="preserve"> observed </w:t>
      </w:r>
      <w:r>
        <w:rPr>
          <w:szCs w:val="20"/>
        </w:rPr>
        <w:t>for ID</w:t>
      </w:r>
      <w:r w:rsidRPr="00F73276">
        <w:rPr>
          <w:szCs w:val="20"/>
        </w:rPr>
        <w:t xml:space="preserve">, while the trend </w:t>
      </w:r>
      <w:r>
        <w:rPr>
          <w:szCs w:val="20"/>
        </w:rPr>
        <w:t>i</w:t>
      </w:r>
      <w:r w:rsidRPr="00F73276">
        <w:rPr>
          <w:szCs w:val="20"/>
        </w:rPr>
        <w:t>s much weaker</w:t>
      </w:r>
      <w:r>
        <w:rPr>
          <w:szCs w:val="20"/>
        </w:rPr>
        <w:t xml:space="preserve"> for EM. </w:t>
      </w:r>
    </w:p>
    <w:p w:rsidR="00354736" w:rsidRDefault="00354736" w:rsidP="00354736">
      <w:pPr>
        <w:keepNext/>
      </w:pPr>
      <w:r>
        <w:rPr>
          <w:noProof/>
          <w:lang w:eastAsia="en-IN"/>
        </w:rPr>
        <w:drawing>
          <wp:inline distT="0" distB="0" distL="0" distR="0" wp14:anchorId="7E8FB3C2" wp14:editId="69F016FB">
            <wp:extent cx="5943600" cy="1507490"/>
            <wp:effectExtent l="0" t="0" r="0" b="381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36" w:rsidRDefault="00354736" w:rsidP="00354736">
      <w:pPr>
        <w:pStyle w:val="Caption"/>
      </w:pPr>
      <w:bookmarkStart w:id="1" w:name="_Ref181950125"/>
      <w:r>
        <w:t xml:space="preserve">Figure S. </w:t>
      </w:r>
      <w:r>
        <w:fldChar w:fldCharType="begin"/>
      </w:r>
      <w:r>
        <w:instrText xml:space="preserve"> SEQ Figure_S.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"/>
      <w:r w:rsidRPr="007C18A9">
        <w:t xml:space="preserve"> </w:t>
      </w:r>
      <w:r>
        <w:t>Stratified-c</w:t>
      </w:r>
      <w:r w:rsidRPr="00A04FD1">
        <w:t>omparison</w:t>
      </w:r>
      <w:r>
        <w:t>s</w:t>
      </w:r>
      <w:r w:rsidRPr="00A04FD1">
        <w:t xml:space="preserve"> of compliance rates with </w:t>
      </w:r>
      <w:r>
        <w:t xml:space="preserve">clinicians’ </w:t>
      </w:r>
      <w:r w:rsidRPr="00A04FD1">
        <w:t>years of experienc</w:t>
      </w:r>
      <w:r>
        <w:t>e. The comparisons are shown with no (left), gender (center) and specialty (right) stratifications respectively.</w:t>
      </w:r>
    </w:p>
    <w:p w:rsidR="00354736" w:rsidRPr="00C21490" w:rsidRDefault="00354736" w:rsidP="00354736">
      <w:pPr>
        <w:rPr>
          <w:szCs w:val="20"/>
        </w:rPr>
      </w:pPr>
      <w:r w:rsidRPr="00F714F7">
        <w:rPr>
          <w:szCs w:val="20"/>
        </w:rPr>
        <w:t>During the survey, we also record the time each clinician spen</w:t>
      </w:r>
      <w:r>
        <w:rPr>
          <w:szCs w:val="20"/>
        </w:rPr>
        <w:t>ds</w:t>
      </w:r>
      <w:r w:rsidRPr="00F714F7">
        <w:rPr>
          <w:szCs w:val="20"/>
        </w:rPr>
        <w:t xml:space="preserve"> completing the </w:t>
      </w:r>
      <w:r w:rsidRPr="00F714F7">
        <w:rPr>
          <w:i/>
          <w:iCs/>
          <w:szCs w:val="20"/>
        </w:rPr>
        <w:t>Survey Questionnaire</w:t>
      </w:r>
      <w:r w:rsidRPr="00F714F7">
        <w:rPr>
          <w:szCs w:val="20"/>
        </w:rPr>
        <w:t xml:space="preserve">. The time </w:t>
      </w:r>
      <w:r>
        <w:rPr>
          <w:szCs w:val="20"/>
        </w:rPr>
        <w:t>i</w:t>
      </w:r>
      <w:r w:rsidRPr="00F714F7">
        <w:rPr>
          <w:szCs w:val="20"/>
        </w:rPr>
        <w:t>s measured from when the clinician first open</w:t>
      </w:r>
      <w:r>
        <w:rPr>
          <w:szCs w:val="20"/>
        </w:rPr>
        <w:t>s</w:t>
      </w:r>
      <w:r w:rsidRPr="00F714F7">
        <w:rPr>
          <w:szCs w:val="20"/>
        </w:rPr>
        <w:t xml:space="preserve"> the questionnaire link until </w:t>
      </w:r>
      <w:r>
        <w:rPr>
          <w:szCs w:val="20"/>
        </w:rPr>
        <w:t>he/she</w:t>
      </w:r>
      <w:r w:rsidRPr="00F714F7">
        <w:rPr>
          <w:szCs w:val="20"/>
        </w:rPr>
        <w:t xml:space="preserve"> submit</w:t>
      </w:r>
      <w:r>
        <w:rPr>
          <w:szCs w:val="20"/>
        </w:rPr>
        <w:t>s</w:t>
      </w:r>
      <w:r w:rsidRPr="00F714F7">
        <w:rPr>
          <w:szCs w:val="20"/>
        </w:rPr>
        <w:t xml:space="preserve"> </w:t>
      </w:r>
      <w:r>
        <w:rPr>
          <w:szCs w:val="20"/>
        </w:rPr>
        <w:t>his/her</w:t>
      </w:r>
      <w:r w:rsidRPr="00F714F7">
        <w:rPr>
          <w:szCs w:val="20"/>
        </w:rPr>
        <w:t xml:space="preserve"> responses</w:t>
      </w:r>
      <w:r>
        <w:rPr>
          <w:szCs w:val="20"/>
        </w:rPr>
        <w:t xml:space="preserve"> (after having seen all 10 patients’ cases)</w:t>
      </w:r>
      <w:r w:rsidRPr="00F714F7">
        <w:rPr>
          <w:szCs w:val="20"/>
        </w:rPr>
        <w:t>.</w:t>
      </w:r>
      <w:r>
        <w:rPr>
          <w:szCs w:val="20"/>
        </w:rPr>
        <w:t xml:space="preserve"> Overall, survey</w:t>
      </w:r>
      <w:r w:rsidRPr="00866E2F">
        <w:rPr>
          <w:szCs w:val="20"/>
        </w:rPr>
        <w:t xml:space="preserve"> completion time range</w:t>
      </w:r>
      <w:r>
        <w:rPr>
          <w:szCs w:val="20"/>
        </w:rPr>
        <w:t>s</w:t>
      </w:r>
      <w:r w:rsidRPr="00866E2F">
        <w:rPr>
          <w:szCs w:val="20"/>
        </w:rPr>
        <w:t xml:space="preserve"> from 6 to 85 minutes, with an average of </w:t>
      </w:r>
      <w:r>
        <w:rPr>
          <w:szCs w:val="20"/>
        </w:rPr>
        <w:t>29</w:t>
      </w:r>
      <w:r w:rsidRPr="00866E2F">
        <w:rPr>
          <w:szCs w:val="20"/>
        </w:rPr>
        <w:t xml:space="preserve"> minutes.</w:t>
      </w:r>
      <w:r>
        <w:rPr>
          <w:szCs w:val="20"/>
        </w:rPr>
        <w:t xml:space="preserve"> </w:t>
      </w:r>
      <w:r w:rsidRPr="00F714F7">
        <w:rPr>
          <w:szCs w:val="20"/>
        </w:rPr>
        <w:t xml:space="preserve">The time just described can be compared either with the years of experience of each </w:t>
      </w:r>
      <w:r>
        <w:rPr>
          <w:szCs w:val="20"/>
        </w:rPr>
        <w:t>clinician</w:t>
      </w:r>
      <w:r w:rsidRPr="00F714F7">
        <w:rPr>
          <w:szCs w:val="20"/>
        </w:rPr>
        <w:t xml:space="preserve"> or with the comp</w:t>
      </w:r>
      <w:r>
        <w:rPr>
          <w:szCs w:val="20"/>
        </w:rPr>
        <w:t>liance</w:t>
      </w:r>
      <w:r w:rsidRPr="00F714F7">
        <w:rPr>
          <w:szCs w:val="20"/>
        </w:rPr>
        <w:t xml:space="preserve"> rates.</w:t>
      </w:r>
      <w:r>
        <w:rPr>
          <w:szCs w:val="20"/>
        </w:rPr>
        <w:t xml:space="preserve"> </w:t>
      </w:r>
      <w:r w:rsidRPr="00F714F7">
        <w:rPr>
          <w:szCs w:val="20"/>
        </w:rPr>
        <w:t>In the first case</w:t>
      </w:r>
      <w:r>
        <w:rPr>
          <w:szCs w:val="20"/>
        </w:rPr>
        <w:t xml:space="preserve"> (</w:t>
      </w:r>
      <w:r>
        <w:rPr>
          <w:szCs w:val="20"/>
        </w:rPr>
        <w:fldChar w:fldCharType="begin"/>
      </w:r>
      <w:r>
        <w:rPr>
          <w:szCs w:val="20"/>
        </w:rPr>
        <w:instrText xml:space="preserve"> REF _Ref181950353 \h </w:instrText>
      </w:r>
      <w:r>
        <w:rPr>
          <w:szCs w:val="20"/>
        </w:rPr>
      </w:r>
      <w:r>
        <w:rPr>
          <w:szCs w:val="20"/>
        </w:rPr>
        <w:fldChar w:fldCharType="separate"/>
      </w:r>
      <w:r>
        <w:t xml:space="preserve">Figure S. </w:t>
      </w:r>
      <w:r>
        <w:rPr>
          <w:noProof/>
        </w:rPr>
        <w:t>2</w:t>
      </w:r>
      <w:r>
        <w:rPr>
          <w:szCs w:val="20"/>
        </w:rPr>
        <w:fldChar w:fldCharType="end"/>
      </w:r>
      <w:r>
        <w:rPr>
          <w:szCs w:val="20"/>
        </w:rPr>
        <w:t>, left)</w:t>
      </w:r>
      <w:r w:rsidRPr="00F714F7">
        <w:rPr>
          <w:szCs w:val="20"/>
        </w:rPr>
        <w:t>, we can see that there is a negative relationship between time and years of experience, whereas in the second case</w:t>
      </w:r>
      <w:r>
        <w:rPr>
          <w:szCs w:val="20"/>
        </w:rPr>
        <w:t xml:space="preserve"> (</w:t>
      </w:r>
      <w:r>
        <w:rPr>
          <w:szCs w:val="20"/>
        </w:rPr>
        <w:fldChar w:fldCharType="begin"/>
      </w:r>
      <w:r>
        <w:rPr>
          <w:szCs w:val="20"/>
        </w:rPr>
        <w:instrText xml:space="preserve"> REF _Ref181950353 \h </w:instrText>
      </w:r>
      <w:r>
        <w:rPr>
          <w:szCs w:val="20"/>
        </w:rPr>
      </w:r>
      <w:r>
        <w:rPr>
          <w:szCs w:val="20"/>
        </w:rPr>
        <w:fldChar w:fldCharType="separate"/>
      </w:r>
      <w:r>
        <w:t xml:space="preserve">Figure S. </w:t>
      </w:r>
      <w:r>
        <w:rPr>
          <w:noProof/>
        </w:rPr>
        <w:t>2</w:t>
      </w:r>
      <w:r>
        <w:rPr>
          <w:szCs w:val="20"/>
        </w:rPr>
        <w:fldChar w:fldCharType="end"/>
      </w:r>
      <w:r>
        <w:rPr>
          <w:szCs w:val="20"/>
        </w:rPr>
        <w:t>, right)</w:t>
      </w:r>
      <w:r w:rsidRPr="00F714F7">
        <w:rPr>
          <w:szCs w:val="20"/>
        </w:rPr>
        <w:t xml:space="preserve"> a slightly positive </w:t>
      </w:r>
      <w:r>
        <w:rPr>
          <w:szCs w:val="20"/>
        </w:rPr>
        <w:t>relationship</w:t>
      </w:r>
      <w:r w:rsidRPr="00866E2F">
        <w:rPr>
          <w:szCs w:val="20"/>
        </w:rPr>
        <w:t xml:space="preserve"> exists</w:t>
      </w:r>
      <w:r w:rsidRPr="00F714F7">
        <w:rPr>
          <w:szCs w:val="20"/>
        </w:rPr>
        <w:t xml:space="preserve"> between compliance and time.</w:t>
      </w:r>
    </w:p>
    <w:p w:rsidR="00354736" w:rsidRDefault="00354736" w:rsidP="00354736">
      <w:pPr>
        <w:keepNext/>
        <w:jc w:val="center"/>
      </w:pPr>
      <w:r>
        <w:rPr>
          <w:noProof/>
          <w:lang w:eastAsia="en-IN"/>
        </w:rPr>
        <w:drawing>
          <wp:inline distT="0" distB="0" distL="0" distR="0" wp14:anchorId="3AAE7E9D" wp14:editId="533C284C">
            <wp:extent cx="4054764" cy="1494978"/>
            <wp:effectExtent l="0" t="0" r="0" b="381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617" cy="150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36" w:rsidRDefault="00354736" w:rsidP="00354736">
      <w:pPr>
        <w:pStyle w:val="Caption"/>
        <w:jc w:val="left"/>
      </w:pPr>
      <w:bookmarkStart w:id="2" w:name="_Ref181950353"/>
      <w:r>
        <w:t xml:space="preserve">Figure S. </w:t>
      </w:r>
      <w:r>
        <w:fldChar w:fldCharType="begin"/>
      </w:r>
      <w:r>
        <w:instrText xml:space="preserve"> SEQ Figure_S.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2"/>
      <w:r w:rsidRPr="00DE0699">
        <w:t xml:space="preserve"> </w:t>
      </w:r>
      <w:r>
        <w:t>Comparison of survey completion time with years of experience (left) and compliance (right).</w:t>
      </w:r>
    </w:p>
    <w:p w:rsidR="00354736" w:rsidRDefault="00354736" w:rsidP="00354736">
      <w:r>
        <w:t xml:space="preserve">Finally, we can consider compliance and years of experience to clinicians’ attitudes towards AI. Indeed, as shown in </w:t>
      </w:r>
      <w:r>
        <w:fldChar w:fldCharType="begin"/>
      </w:r>
      <w:r>
        <w:instrText xml:space="preserve"> REF _Ref181950380 \h </w:instrText>
      </w:r>
      <w:r>
        <w:fldChar w:fldCharType="separate"/>
      </w:r>
      <w:r>
        <w:t xml:space="preserve">Figure S. </w:t>
      </w:r>
      <w:r>
        <w:rPr>
          <w:noProof/>
        </w:rPr>
        <w:t>3</w:t>
      </w:r>
      <w:r>
        <w:fldChar w:fldCharType="end"/>
      </w:r>
      <w:r>
        <w:t xml:space="preserve"> (left), </w:t>
      </w:r>
      <w:r w:rsidRPr="006E69CB">
        <w:t>clinicians familiar with AI show l</w:t>
      </w:r>
      <w:r>
        <w:t>ower</w:t>
      </w:r>
      <w:r w:rsidRPr="006E69CB">
        <w:t xml:space="preserve"> compliance</w:t>
      </w:r>
      <w:r>
        <w:t xml:space="preserve"> rates (from 70% to 80%), while unfamiliar ones are more compliant (from 80% to 100%). On the other hand (right), b</w:t>
      </w:r>
      <w:r w:rsidRPr="006D42C9">
        <w:t xml:space="preserve">eing </w:t>
      </w:r>
      <w:proofErr w:type="spellStart"/>
      <w:r w:rsidRPr="006D42C9">
        <w:t>skeptic</w:t>
      </w:r>
      <w:r>
        <w:t>al</w:t>
      </w:r>
      <w:proofErr w:type="spellEnd"/>
      <w:r w:rsidRPr="006D42C9">
        <w:t xml:space="preserve"> was not associated with different compliance rates</w:t>
      </w:r>
      <w:r>
        <w:t xml:space="preserve"> (both </w:t>
      </w:r>
      <w:proofErr w:type="spellStart"/>
      <w:r>
        <w:t>skeptic</w:t>
      </w:r>
      <w:proofErr w:type="spellEnd"/>
      <w:r>
        <w:t xml:space="preserve"> clinicians have 90% of </w:t>
      </w:r>
      <w:r>
        <w:lastRenderedPageBreak/>
        <w:t xml:space="preserve">compliance). </w:t>
      </w:r>
      <w:r w:rsidRPr="00663F30">
        <w:t xml:space="preserve">The two dimensions just examined, i.e. familiarity and </w:t>
      </w:r>
      <w:proofErr w:type="spellStart"/>
      <w:r w:rsidRPr="00663F30">
        <w:t>s</w:t>
      </w:r>
      <w:r>
        <w:t>k</w:t>
      </w:r>
      <w:r w:rsidRPr="00663F30">
        <w:t>epticism</w:t>
      </w:r>
      <w:proofErr w:type="spellEnd"/>
      <w:r w:rsidRPr="00663F30">
        <w:t>, do not reveal any specific trends related to years of experience.</w:t>
      </w:r>
    </w:p>
    <w:p w:rsidR="00354736" w:rsidRDefault="00354736" w:rsidP="00354736">
      <w:pPr>
        <w:keepNext/>
        <w:jc w:val="center"/>
      </w:pPr>
      <w:r>
        <w:rPr>
          <w:noProof/>
          <w:lang w:eastAsia="en-IN"/>
        </w:rPr>
        <w:drawing>
          <wp:inline distT="0" distB="0" distL="0" distR="0" wp14:anchorId="45E2CE97" wp14:editId="291C4EAC">
            <wp:extent cx="4046252" cy="1494000"/>
            <wp:effectExtent l="0" t="0" r="5080" b="508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252" cy="14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736" w:rsidRDefault="00354736" w:rsidP="00354736">
      <w:pPr>
        <w:pStyle w:val="Caption"/>
        <w:jc w:val="left"/>
      </w:pPr>
      <w:bookmarkStart w:id="3" w:name="_Ref181950380"/>
      <w:r>
        <w:t xml:space="preserve">Figure S. </w:t>
      </w:r>
      <w:r>
        <w:fldChar w:fldCharType="begin"/>
      </w:r>
      <w:r>
        <w:instrText xml:space="preserve"> SEQ Figure_S.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3"/>
      <w:r w:rsidRPr="00DE0699">
        <w:t xml:space="preserve"> </w:t>
      </w:r>
      <w:r>
        <w:t xml:space="preserve">Compliance and years of experience </w:t>
      </w:r>
      <w:r w:rsidRPr="00663F30">
        <w:t>in the light of clinicians</w:t>
      </w:r>
      <w:r>
        <w:t>’</w:t>
      </w:r>
      <w:r w:rsidRPr="00663F30">
        <w:t xml:space="preserve"> attitudes towards </w:t>
      </w:r>
      <w:r>
        <w:t>AI. Attitudes towards AI have been distinguished as familiarity (left) and skepticism (right).</w:t>
      </w:r>
    </w:p>
    <w:p w:rsidR="00354736" w:rsidRPr="00574C76" w:rsidRDefault="00354736" w:rsidP="00354736">
      <w:pPr>
        <w:pStyle w:val="Subtitle"/>
        <w:rPr>
          <w:i/>
          <w:iCs/>
          <w:szCs w:val="26"/>
        </w:rPr>
      </w:pPr>
      <w:r>
        <w:rPr>
          <w:i/>
          <w:iCs/>
          <w:szCs w:val="26"/>
        </w:rPr>
        <w:t>Intra</w:t>
      </w:r>
      <w:r w:rsidRPr="002C1757">
        <w:rPr>
          <w:i/>
          <w:iCs/>
          <w:szCs w:val="26"/>
        </w:rPr>
        <w:t>-pair comparison</w:t>
      </w:r>
    </w:p>
    <w:p w:rsidR="00354736" w:rsidRDefault="00354736" w:rsidP="00354736">
      <w:r w:rsidRPr="00574C76">
        <w:t xml:space="preserve">In order to systematically test the similarity of </w:t>
      </w:r>
      <w:proofErr w:type="spellStart"/>
      <w:r w:rsidRPr="00574C76">
        <w:rPr>
          <w:i/>
          <w:iCs/>
        </w:rPr>
        <w:t>understandability</w:t>
      </w:r>
      <w:proofErr w:type="spellEnd"/>
      <w:r w:rsidRPr="00574C76">
        <w:t xml:space="preserve"> and </w:t>
      </w:r>
      <w:proofErr w:type="spellStart"/>
      <w:r w:rsidRPr="002C1757">
        <w:rPr>
          <w:i/>
          <w:iCs/>
        </w:rPr>
        <w:t>actionability</w:t>
      </w:r>
      <w:proofErr w:type="spellEnd"/>
      <w:r w:rsidRPr="00574C76">
        <w:t xml:space="preserve"> </w:t>
      </w:r>
      <w:r w:rsidRPr="002C1757">
        <w:t>rates</w:t>
      </w:r>
      <w:r w:rsidRPr="00574C76">
        <w:t xml:space="preserve">, weighted Cohen’s kappa </w:t>
      </w:r>
      <w:r w:rsidRPr="002C1757">
        <w:t>is</w:t>
      </w:r>
      <w:r w:rsidRPr="00574C76">
        <w:t xml:space="preserve"> calculated. The </w:t>
      </w:r>
      <w:r w:rsidRPr="0019533B">
        <w:t>scores obtained are compared with the reference from the literature (Perfect agreement: k=1; Excellent agreement: k&gt;0.75; Moderate to good agreement: 0.4&lt;k&lt;=0.75; Poor agreement: k&lt;=0.4; Agreement worse than chance: k&lt;0). None of the scores reached the 0.4 threshold</w:t>
      </w:r>
      <w:r w:rsidRPr="00574C76">
        <w:t xml:space="preserve"> which is considered a moderately good agreement. The highest obtained score </w:t>
      </w:r>
      <w:r>
        <w:t>is</w:t>
      </w:r>
      <w:r w:rsidRPr="00574C76">
        <w:t xml:space="preserve"> 0.35 for </w:t>
      </w:r>
      <w:r>
        <w:t xml:space="preserve">the </w:t>
      </w:r>
      <w:proofErr w:type="spellStart"/>
      <w:r w:rsidRPr="002C1757">
        <w:rPr>
          <w:i/>
          <w:iCs/>
        </w:rPr>
        <w:t>actionability</w:t>
      </w:r>
      <w:proofErr w:type="spellEnd"/>
      <w:r>
        <w:t xml:space="preserve"> </w:t>
      </w:r>
      <w:r w:rsidRPr="00574C76">
        <w:t xml:space="preserve">of </w:t>
      </w:r>
      <w:r>
        <w:t>SHAP</w:t>
      </w:r>
      <w:r w:rsidRPr="00574C76">
        <w:t xml:space="preserve"> for pair 3</w:t>
      </w:r>
      <w:r>
        <w:t xml:space="preserve">, as shown in </w:t>
      </w:r>
      <w:r>
        <w:fldChar w:fldCharType="begin"/>
      </w:r>
      <w:r>
        <w:instrText xml:space="preserve"> REF _Ref181950053 \h </w:instrText>
      </w:r>
      <w:r>
        <w:fldChar w:fldCharType="separate"/>
      </w:r>
      <w:r>
        <w:t xml:space="preserve">Table S. </w:t>
      </w:r>
      <w:r>
        <w:rPr>
          <w:noProof/>
        </w:rPr>
        <w:t>1</w:t>
      </w:r>
      <w:r>
        <w:fldChar w:fldCharType="end"/>
      </w:r>
      <w:r>
        <w:t>.</w:t>
      </w:r>
    </w:p>
    <w:p w:rsidR="00354736" w:rsidRDefault="00354736" w:rsidP="00354736"/>
    <w:p w:rsidR="00354736" w:rsidRDefault="00354736" w:rsidP="00354736">
      <w:pPr>
        <w:pStyle w:val="Caption"/>
        <w:keepNext/>
      </w:pPr>
      <w:bookmarkStart w:id="4" w:name="_Ref181950053"/>
      <w:r>
        <w:t xml:space="preserve">Table S. </w:t>
      </w:r>
      <w:r>
        <w:fldChar w:fldCharType="begin"/>
      </w:r>
      <w:r>
        <w:instrText xml:space="preserve"> SEQ Table_S.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4"/>
      <w:r w:rsidRPr="00DE0699">
        <w:t xml:space="preserve"> </w:t>
      </w:r>
      <w:r w:rsidRPr="0011177B">
        <w:t>Cohen’s kappa inter-pair agreement</w:t>
      </w:r>
      <w:r>
        <w:t xml:space="preserve"> for </w:t>
      </w:r>
      <w:proofErr w:type="spellStart"/>
      <w:r>
        <w:t>actionability</w:t>
      </w:r>
      <w:proofErr w:type="spellEnd"/>
      <w:r>
        <w:t xml:space="preserve"> and understandability dimensions.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526"/>
        <w:gridCol w:w="1169"/>
        <w:gridCol w:w="707"/>
        <w:gridCol w:w="1276"/>
        <w:gridCol w:w="1523"/>
        <w:gridCol w:w="1169"/>
      </w:tblGrid>
      <w:tr w:rsidR="00354736" w:rsidRPr="0019533B" w:rsidTr="009B2745">
        <w:tc>
          <w:tcPr>
            <w:tcW w:w="4675" w:type="dxa"/>
            <w:gridSpan w:val="4"/>
            <w:vAlign w:val="center"/>
          </w:tcPr>
          <w:p w:rsidR="00354736" w:rsidRPr="0019533B" w:rsidRDefault="00354736" w:rsidP="009B2745">
            <w:pPr>
              <w:snapToGrid w:val="0"/>
              <w:contextualSpacing/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19533B">
              <w:rPr>
                <w:rFonts w:cs="Times New Roman"/>
                <w:b/>
                <w:bCs/>
                <w:sz w:val="18"/>
                <w:szCs w:val="22"/>
              </w:rPr>
              <w:t>Cohen’s kappa inter-pair agreement</w:t>
            </w:r>
          </w:p>
          <w:p w:rsidR="00354736" w:rsidRPr="0019533B" w:rsidRDefault="00354736" w:rsidP="009B2745">
            <w:pPr>
              <w:snapToGrid w:val="0"/>
              <w:contextualSpacing/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proofErr w:type="spellStart"/>
            <w:r>
              <w:rPr>
                <w:rFonts w:cs="Times New Roman"/>
                <w:b/>
                <w:bCs/>
                <w:sz w:val="18"/>
                <w:szCs w:val="22"/>
              </w:rPr>
              <w:t>actionability</w:t>
            </w:r>
            <w:proofErr w:type="spellEnd"/>
          </w:p>
        </w:tc>
        <w:tc>
          <w:tcPr>
            <w:tcW w:w="4675" w:type="dxa"/>
            <w:gridSpan w:val="4"/>
            <w:vAlign w:val="center"/>
          </w:tcPr>
          <w:p w:rsidR="00354736" w:rsidRPr="0019533B" w:rsidRDefault="00354736" w:rsidP="009B2745">
            <w:pPr>
              <w:snapToGrid w:val="0"/>
              <w:contextualSpacing/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19533B">
              <w:rPr>
                <w:rFonts w:cs="Times New Roman"/>
                <w:b/>
                <w:bCs/>
                <w:sz w:val="18"/>
                <w:szCs w:val="22"/>
              </w:rPr>
              <w:t>Cohen’s kappa inter-pair agreement</w:t>
            </w:r>
          </w:p>
          <w:p w:rsidR="00354736" w:rsidRPr="0019533B" w:rsidRDefault="00354736" w:rsidP="009B2745">
            <w:pPr>
              <w:snapToGrid w:val="0"/>
              <w:contextualSpacing/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understandability</w:t>
            </w:r>
          </w:p>
        </w:tc>
      </w:tr>
      <w:tr w:rsidR="00354736" w:rsidRPr="0019533B" w:rsidTr="009B2745">
        <w:tc>
          <w:tcPr>
            <w:tcW w:w="704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Pair</w:t>
            </w:r>
          </w:p>
        </w:tc>
        <w:tc>
          <w:tcPr>
            <w:tcW w:w="1276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SHAP</w:t>
            </w:r>
          </w:p>
        </w:tc>
        <w:tc>
          <w:tcPr>
            <w:tcW w:w="1526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proofErr w:type="spellStart"/>
            <w:r>
              <w:rPr>
                <w:rFonts w:cs="Times New Roman"/>
                <w:b/>
                <w:bCs/>
                <w:sz w:val="18"/>
                <w:szCs w:val="22"/>
              </w:rPr>
              <w:t>AraucanaXAI</w:t>
            </w:r>
            <w:proofErr w:type="spellEnd"/>
          </w:p>
        </w:tc>
        <w:tc>
          <w:tcPr>
            <w:tcW w:w="1169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BN</w:t>
            </w:r>
          </w:p>
        </w:tc>
        <w:tc>
          <w:tcPr>
            <w:tcW w:w="707" w:type="dxa"/>
            <w:vAlign w:val="center"/>
          </w:tcPr>
          <w:p w:rsidR="00354736" w:rsidRPr="009D4CE0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9D4CE0">
              <w:rPr>
                <w:rFonts w:cs="Times New Roman"/>
                <w:b/>
                <w:bCs/>
                <w:sz w:val="18"/>
                <w:szCs w:val="22"/>
              </w:rPr>
              <w:t>Pair</w:t>
            </w:r>
          </w:p>
        </w:tc>
        <w:tc>
          <w:tcPr>
            <w:tcW w:w="1276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SHAP</w:t>
            </w:r>
          </w:p>
        </w:tc>
        <w:tc>
          <w:tcPr>
            <w:tcW w:w="1523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proofErr w:type="spellStart"/>
            <w:r>
              <w:rPr>
                <w:rFonts w:cs="Times New Roman"/>
                <w:b/>
                <w:bCs/>
                <w:sz w:val="18"/>
                <w:szCs w:val="22"/>
              </w:rPr>
              <w:t>AraucanaXAI</w:t>
            </w:r>
            <w:proofErr w:type="spellEnd"/>
          </w:p>
        </w:tc>
        <w:tc>
          <w:tcPr>
            <w:tcW w:w="1169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BN</w:t>
            </w:r>
          </w:p>
        </w:tc>
      </w:tr>
      <w:tr w:rsidR="00354736" w:rsidRPr="0019533B" w:rsidTr="009B2745">
        <w:tc>
          <w:tcPr>
            <w:tcW w:w="704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-0.01</w:t>
            </w:r>
          </w:p>
        </w:tc>
        <w:tc>
          <w:tcPr>
            <w:tcW w:w="152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0.04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-0.06</w:t>
            </w:r>
          </w:p>
        </w:tc>
        <w:tc>
          <w:tcPr>
            <w:tcW w:w="707" w:type="dxa"/>
            <w:vAlign w:val="center"/>
          </w:tcPr>
          <w:p w:rsidR="00354736" w:rsidRPr="009D4CE0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9D4CE0">
              <w:rPr>
                <w:rFonts w:cs="Times New Roman"/>
                <w:b/>
                <w:bCs/>
                <w:sz w:val="18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-0.07</w:t>
            </w:r>
          </w:p>
        </w:tc>
        <w:tc>
          <w:tcPr>
            <w:tcW w:w="1523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0.07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0.07</w:t>
            </w:r>
          </w:p>
        </w:tc>
      </w:tr>
      <w:tr w:rsidR="00354736" w:rsidRPr="0019533B" w:rsidTr="009B2745">
        <w:tc>
          <w:tcPr>
            <w:tcW w:w="704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-0.2</w:t>
            </w:r>
          </w:p>
        </w:tc>
        <w:tc>
          <w:tcPr>
            <w:tcW w:w="152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-0.11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-0.13</w:t>
            </w:r>
          </w:p>
        </w:tc>
        <w:tc>
          <w:tcPr>
            <w:tcW w:w="707" w:type="dxa"/>
            <w:vAlign w:val="center"/>
          </w:tcPr>
          <w:p w:rsidR="00354736" w:rsidRPr="009D4CE0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9D4CE0">
              <w:rPr>
                <w:rFonts w:cs="Times New Roman"/>
                <w:b/>
                <w:bCs/>
                <w:sz w:val="18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-0.39</w:t>
            </w:r>
          </w:p>
        </w:tc>
        <w:tc>
          <w:tcPr>
            <w:tcW w:w="1523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-0.28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</w:t>
            </w:r>
          </w:p>
        </w:tc>
      </w:tr>
      <w:tr w:rsidR="00354736" w:rsidRPr="0019533B" w:rsidTr="009B2745">
        <w:tc>
          <w:tcPr>
            <w:tcW w:w="704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0.35</w:t>
            </w:r>
          </w:p>
        </w:tc>
        <w:tc>
          <w:tcPr>
            <w:tcW w:w="152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-0.3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-0.04</w:t>
            </w:r>
          </w:p>
        </w:tc>
        <w:tc>
          <w:tcPr>
            <w:tcW w:w="707" w:type="dxa"/>
            <w:vAlign w:val="center"/>
          </w:tcPr>
          <w:p w:rsidR="00354736" w:rsidRPr="009D4CE0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9D4CE0">
              <w:rPr>
                <w:rFonts w:cs="Times New Roman"/>
                <w:b/>
                <w:bCs/>
                <w:sz w:val="18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-0.06</w:t>
            </w:r>
          </w:p>
        </w:tc>
        <w:tc>
          <w:tcPr>
            <w:tcW w:w="1523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0.02</w:t>
            </w:r>
          </w:p>
        </w:tc>
      </w:tr>
      <w:tr w:rsidR="00354736" w:rsidRPr="0019533B" w:rsidTr="009B2745">
        <w:tc>
          <w:tcPr>
            <w:tcW w:w="704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0.01</w:t>
            </w:r>
          </w:p>
        </w:tc>
        <w:tc>
          <w:tcPr>
            <w:tcW w:w="152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-0.04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0.33</w:t>
            </w:r>
          </w:p>
        </w:tc>
        <w:tc>
          <w:tcPr>
            <w:tcW w:w="707" w:type="dxa"/>
            <w:vAlign w:val="center"/>
          </w:tcPr>
          <w:p w:rsidR="00354736" w:rsidRPr="009D4CE0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9D4CE0">
              <w:rPr>
                <w:rFonts w:cs="Times New Roman"/>
                <w:b/>
                <w:bCs/>
                <w:sz w:val="18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</w:t>
            </w:r>
          </w:p>
        </w:tc>
      </w:tr>
      <w:tr w:rsidR="00354736" w:rsidRPr="0019533B" w:rsidTr="009B2745">
        <w:tc>
          <w:tcPr>
            <w:tcW w:w="704" w:type="dxa"/>
            <w:vAlign w:val="center"/>
          </w:tcPr>
          <w:p w:rsidR="00354736" w:rsidRPr="0019533B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>
              <w:rPr>
                <w:rFonts w:cs="Times New Roman"/>
                <w:b/>
                <w:bCs/>
                <w:sz w:val="18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-0.1</w:t>
            </w:r>
          </w:p>
        </w:tc>
        <w:tc>
          <w:tcPr>
            <w:tcW w:w="152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0.01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</w:t>
            </w:r>
          </w:p>
        </w:tc>
        <w:tc>
          <w:tcPr>
            <w:tcW w:w="707" w:type="dxa"/>
            <w:vAlign w:val="center"/>
          </w:tcPr>
          <w:p w:rsidR="00354736" w:rsidRPr="009D4CE0" w:rsidRDefault="00354736" w:rsidP="009B2745">
            <w:pPr>
              <w:jc w:val="center"/>
              <w:rPr>
                <w:rFonts w:cs="Times New Roman"/>
                <w:b/>
                <w:bCs/>
                <w:sz w:val="18"/>
                <w:szCs w:val="22"/>
              </w:rPr>
            </w:pPr>
            <w:r w:rsidRPr="009D4CE0">
              <w:rPr>
                <w:rFonts w:cs="Times New Roman"/>
                <w:b/>
                <w:bCs/>
                <w:sz w:val="18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-0.06</w:t>
            </w:r>
          </w:p>
        </w:tc>
        <w:tc>
          <w:tcPr>
            <w:tcW w:w="1523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-0.02</w:t>
            </w:r>
          </w:p>
        </w:tc>
        <w:tc>
          <w:tcPr>
            <w:tcW w:w="1169" w:type="dxa"/>
            <w:vAlign w:val="center"/>
          </w:tcPr>
          <w:p w:rsidR="00354736" w:rsidRPr="00634295" w:rsidRDefault="00354736" w:rsidP="009B2745">
            <w:pPr>
              <w:jc w:val="center"/>
              <w:rPr>
                <w:rFonts w:cs="Times New Roman"/>
                <w:sz w:val="18"/>
                <w:szCs w:val="22"/>
              </w:rPr>
            </w:pPr>
            <w:r w:rsidRPr="00634295">
              <w:rPr>
                <w:rFonts w:cs="Times New Roman"/>
                <w:sz w:val="18"/>
                <w:szCs w:val="22"/>
              </w:rPr>
              <w:t>0</w:t>
            </w:r>
          </w:p>
        </w:tc>
      </w:tr>
    </w:tbl>
    <w:p w:rsidR="00354736" w:rsidRPr="0019533B" w:rsidRDefault="00354736" w:rsidP="00354736">
      <w:pPr>
        <w:spacing w:line="240" w:lineRule="auto"/>
        <w:rPr>
          <w:rFonts w:cs="Times New Roman"/>
          <w:color w:val="000000" w:themeColor="text1"/>
          <w:sz w:val="18"/>
        </w:rPr>
      </w:pPr>
    </w:p>
    <w:p w:rsidR="007D7155" w:rsidRDefault="00354736"/>
    <w:sectPr w:rsidR="007D7155" w:rsidSect="008F6C54"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Titoli CS)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90977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44E6F" w:rsidRDefault="003547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44E6F" w:rsidRDefault="0035473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188639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44E6F" w:rsidRDefault="0035473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244E6F" w:rsidRDefault="0035473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6"/>
    <w:rsid w:val="00354736"/>
    <w:rsid w:val="00537037"/>
    <w:rsid w:val="0063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sid w:val="00354736"/>
    <w:rPr>
      <w:rFonts w:ascii="Times New Roman" w:eastAsiaTheme="majorEastAsia" w:hAnsi="Times New Roman" w:cstheme="majorBidi"/>
      <w:b/>
      <w:color w:val="4F81BD" w:themeColor="accent1"/>
      <w:spacing w:val="-10"/>
      <w:kern w:val="28"/>
      <w:sz w:val="40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354736"/>
    <w:pPr>
      <w:spacing w:after="120" w:line="240" w:lineRule="auto"/>
      <w:contextualSpacing/>
      <w:jc w:val="both"/>
    </w:pPr>
    <w:rPr>
      <w:rFonts w:ascii="Times New Roman" w:eastAsiaTheme="majorEastAsia" w:hAnsi="Times New Roman" w:cstheme="majorBidi"/>
      <w:b/>
      <w:color w:val="4F81BD" w:themeColor="accent1"/>
      <w:spacing w:val="-10"/>
      <w:kern w:val="28"/>
      <w:sz w:val="40"/>
      <w:szCs w:val="56"/>
    </w:rPr>
  </w:style>
  <w:style w:type="character" w:customStyle="1" w:styleId="TitleChar1">
    <w:name w:val="Title Char1"/>
    <w:basedOn w:val="DefaultParagraphFont"/>
    <w:uiPriority w:val="10"/>
    <w:rsid w:val="003547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54736"/>
    <w:rPr>
      <w:rFonts w:ascii="Times New Roman" w:eastAsiaTheme="majorEastAsia" w:hAnsi="Times New Roman" w:cs="Times New Roman (Titoli CS)"/>
      <w:b/>
      <w:color w:val="4F81BD" w:themeColor="accent1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736"/>
    <w:pPr>
      <w:numPr>
        <w:ilvl w:val="1"/>
      </w:numPr>
      <w:spacing w:before="120" w:after="0" w:line="480" w:lineRule="auto"/>
      <w:jc w:val="both"/>
    </w:pPr>
    <w:rPr>
      <w:rFonts w:ascii="Times New Roman" w:eastAsiaTheme="majorEastAsia" w:hAnsi="Times New Roman" w:cs="Times New Roman (Titoli CS)"/>
      <w:b/>
      <w:color w:val="4F81BD" w:themeColor="accent1"/>
      <w:szCs w:val="28"/>
    </w:rPr>
  </w:style>
  <w:style w:type="character" w:customStyle="1" w:styleId="SubtitleChar1">
    <w:name w:val="Subtitle Char1"/>
    <w:basedOn w:val="DefaultParagraphFont"/>
    <w:uiPriority w:val="11"/>
    <w:rsid w:val="003547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4736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54736"/>
    <w:rPr>
      <w:rFonts w:ascii="Times New Roman" w:eastAsiaTheme="minorEastAsia" w:hAnsi="Times New Roman"/>
      <w:sz w:val="20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354736"/>
  </w:style>
  <w:style w:type="table" w:styleId="TableGrid">
    <w:name w:val="Table Grid"/>
    <w:basedOn w:val="TableNormal"/>
    <w:uiPriority w:val="39"/>
    <w:rsid w:val="00354736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54736"/>
    <w:pPr>
      <w:spacing w:line="240" w:lineRule="auto"/>
      <w:jc w:val="both"/>
    </w:pPr>
    <w:rPr>
      <w:rFonts w:ascii="Times New Roman" w:eastAsiaTheme="minorEastAsia" w:hAnsi="Times New Roman"/>
      <w:i/>
      <w:iCs/>
      <w:color w:val="1F497D" w:themeColor="text2"/>
      <w:sz w:val="18"/>
      <w:szCs w:val="1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73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547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sid w:val="00354736"/>
    <w:rPr>
      <w:rFonts w:ascii="Times New Roman" w:eastAsiaTheme="majorEastAsia" w:hAnsi="Times New Roman" w:cstheme="majorBidi"/>
      <w:b/>
      <w:color w:val="4F81BD" w:themeColor="accent1"/>
      <w:spacing w:val="-10"/>
      <w:kern w:val="28"/>
      <w:sz w:val="40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354736"/>
    <w:pPr>
      <w:spacing w:after="120" w:line="240" w:lineRule="auto"/>
      <w:contextualSpacing/>
      <w:jc w:val="both"/>
    </w:pPr>
    <w:rPr>
      <w:rFonts w:ascii="Times New Roman" w:eastAsiaTheme="majorEastAsia" w:hAnsi="Times New Roman" w:cstheme="majorBidi"/>
      <w:b/>
      <w:color w:val="4F81BD" w:themeColor="accent1"/>
      <w:spacing w:val="-10"/>
      <w:kern w:val="28"/>
      <w:sz w:val="40"/>
      <w:szCs w:val="56"/>
    </w:rPr>
  </w:style>
  <w:style w:type="character" w:customStyle="1" w:styleId="TitleChar1">
    <w:name w:val="Title Char1"/>
    <w:basedOn w:val="DefaultParagraphFont"/>
    <w:uiPriority w:val="10"/>
    <w:rsid w:val="003547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54736"/>
    <w:rPr>
      <w:rFonts w:ascii="Times New Roman" w:eastAsiaTheme="majorEastAsia" w:hAnsi="Times New Roman" w:cs="Times New Roman (Titoli CS)"/>
      <w:b/>
      <w:color w:val="4F81BD" w:themeColor="accent1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736"/>
    <w:pPr>
      <w:numPr>
        <w:ilvl w:val="1"/>
      </w:numPr>
      <w:spacing w:before="120" w:after="0" w:line="480" w:lineRule="auto"/>
      <w:jc w:val="both"/>
    </w:pPr>
    <w:rPr>
      <w:rFonts w:ascii="Times New Roman" w:eastAsiaTheme="majorEastAsia" w:hAnsi="Times New Roman" w:cs="Times New Roman (Titoli CS)"/>
      <w:b/>
      <w:color w:val="4F81BD" w:themeColor="accent1"/>
      <w:szCs w:val="28"/>
    </w:rPr>
  </w:style>
  <w:style w:type="character" w:customStyle="1" w:styleId="SubtitleChar1">
    <w:name w:val="Subtitle Char1"/>
    <w:basedOn w:val="DefaultParagraphFont"/>
    <w:uiPriority w:val="11"/>
    <w:rsid w:val="003547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4736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54736"/>
    <w:rPr>
      <w:rFonts w:ascii="Times New Roman" w:eastAsiaTheme="minorEastAsia" w:hAnsi="Times New Roman"/>
      <w:sz w:val="20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354736"/>
  </w:style>
  <w:style w:type="table" w:styleId="TableGrid">
    <w:name w:val="Table Grid"/>
    <w:basedOn w:val="TableNormal"/>
    <w:uiPriority w:val="39"/>
    <w:rsid w:val="00354736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54736"/>
    <w:pPr>
      <w:spacing w:line="240" w:lineRule="auto"/>
      <w:jc w:val="both"/>
    </w:pPr>
    <w:rPr>
      <w:rFonts w:ascii="Times New Roman" w:eastAsiaTheme="minorEastAsia" w:hAnsi="Times New Roman"/>
      <w:i/>
      <w:iCs/>
      <w:color w:val="1F497D" w:themeColor="text2"/>
      <w:sz w:val="18"/>
      <w:szCs w:val="1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73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54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oter" Target="foot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Hemalatha Gurumoorthy (integra)</dc:creator>
  <cp:lastModifiedBy>Hemalatha Gurumoorthy (integra)</cp:lastModifiedBy>
  <cp:revision>1</cp:revision>
  <dcterms:created xsi:type="dcterms:W3CDTF">2025-05-28T06:38:00Z</dcterms:created>
  <dcterms:modified xsi:type="dcterms:W3CDTF">2025-05-28T06:39:00Z</dcterms:modified>
</cp:coreProperties>
</file>