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53A7EC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left="100" w:right="100" w:firstLine="0" w:firstLineChars="0"/>
        <w:jc w:val="both"/>
        <w:rPr>
          <w:rFonts w:hint="eastAsia" w:ascii="Arial" w:hAnsi="Arial" w:eastAsia="Arial" w:cs="Arial"/>
          <w:b/>
          <w:i w:val="0"/>
          <w:color w:val="000000"/>
          <w:sz w:val="16"/>
          <w:szCs w:val="16"/>
          <w:u w:val="none"/>
          <w:lang w:val="en-US" w:eastAsia="zh-CN"/>
        </w:rPr>
      </w:pPr>
      <w:r>
        <w:rPr>
          <w:rFonts w:hint="eastAsia" w:ascii="Arial" w:hAnsi="Arial" w:eastAsia="Arial" w:cs="Arial"/>
          <w:b/>
          <w:i w:val="0"/>
          <w:color w:val="000000"/>
          <w:sz w:val="16"/>
          <w:szCs w:val="16"/>
          <w:u w:val="none"/>
          <w:lang w:val="en-US" w:eastAsia="zh-CN"/>
        </w:rPr>
        <w:t>Table 1 Demographic and clinical characteristics of patients with infrequent and frequent acute exacerbations in the three datasets</w:t>
      </w:r>
      <w:bookmarkStart w:id="0" w:name="_GoBack"/>
      <w:bookmarkEnd w:id="0"/>
      <w:r>
        <w:rPr>
          <w:rFonts w:hint="eastAsia" w:ascii="Arial" w:hAnsi="Arial" w:eastAsia="Arial" w:cs="Arial"/>
          <w:b/>
          <w:i w:val="0"/>
          <w:color w:val="000000"/>
          <w:sz w:val="16"/>
          <w:szCs w:val="16"/>
          <w:u w:val="none"/>
          <w:lang w:val="en-US" w:eastAsia="zh-CN"/>
        </w:rPr>
        <w:t>.</w:t>
      </w:r>
    </w:p>
    <w:tbl>
      <w:tblPr>
        <w:tblStyle w:val="19"/>
        <w:tblpPr w:leftFromText="180" w:rightFromText="180" w:vertAnchor="text" w:horzAnchor="page" w:tblpX="378" w:tblpY="746"/>
        <w:tblOverlap w:val="never"/>
        <w:tblW w:w="14898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68"/>
        <w:gridCol w:w="1240"/>
        <w:gridCol w:w="1230"/>
        <w:gridCol w:w="1170"/>
        <w:gridCol w:w="670"/>
        <w:gridCol w:w="1240"/>
        <w:gridCol w:w="1220"/>
        <w:gridCol w:w="1230"/>
        <w:gridCol w:w="680"/>
        <w:gridCol w:w="1250"/>
        <w:gridCol w:w="1250"/>
        <w:gridCol w:w="1240"/>
        <w:gridCol w:w="710"/>
      </w:tblGrid>
      <w:tr w14:paraId="4CCACD9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</w:trPr>
        <w:tc>
          <w:tcPr>
            <w:tcW w:w="1768" w:type="dxa"/>
            <w:tcBorders>
              <w:top w:val="single" w:color="000000" w:sz="1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87E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Arial" w:hAnsi="Arial" w:eastAsia="Arial" w:cs="Arial"/>
                <w:b/>
                <w:i w:val="0"/>
                <w:color w:val="000000"/>
                <w:sz w:val="13"/>
                <w:szCs w:val="13"/>
                <w:u w:val="none"/>
              </w:rPr>
              <w:t>Frequent exacerbation</w:t>
            </w:r>
          </w:p>
        </w:tc>
        <w:tc>
          <w:tcPr>
            <w:tcW w:w="1240" w:type="dxa"/>
            <w:tcBorders>
              <w:top w:val="single" w:color="000000" w:sz="1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9E0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</w:t>
            </w:r>
            <w:r>
              <w:rPr>
                <w:rFonts w:hint="eastAsia"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>development cohort</w:t>
            </w: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</w:t>
            </w:r>
          </w:p>
        </w:tc>
        <w:tc>
          <w:tcPr>
            <w:tcW w:w="1230" w:type="dxa"/>
            <w:tcBorders>
              <w:top w:val="single" w:color="000000" w:sz="1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D9F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    No       </w:t>
            </w:r>
          </w:p>
        </w:tc>
        <w:tc>
          <w:tcPr>
            <w:tcW w:w="1170" w:type="dxa"/>
            <w:tcBorders>
              <w:top w:val="single" w:color="000000" w:sz="1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B93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   Yes       </w:t>
            </w:r>
          </w:p>
        </w:tc>
        <w:tc>
          <w:tcPr>
            <w:tcW w:w="670" w:type="dxa"/>
            <w:tcBorders>
              <w:top w:val="single" w:color="000000" w:sz="1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BCE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hint="default" w:ascii="Arial" w:hAnsi="Arial" w:eastAsia="Arial" w:cs="Arial"/>
                <w:b/>
                <w:i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>p</w:t>
            </w:r>
            <w:r>
              <w:rPr>
                <w:rFonts w:hint="eastAsia" w:ascii="Arial" w:hAnsi="Arial" w:eastAsia="Arial" w:cs="Arial"/>
                <w:b/>
                <w:i/>
                <w:color w:val="000000"/>
                <w:sz w:val="13"/>
                <w:szCs w:val="13"/>
                <w:u w:val="none"/>
                <w:lang w:val="en-US" w:eastAsia="zh-CN"/>
              </w:rPr>
              <w:t xml:space="preserve"> value</w:t>
            </w:r>
          </w:p>
        </w:tc>
        <w:tc>
          <w:tcPr>
            <w:tcW w:w="1240" w:type="dxa"/>
            <w:tcBorders>
              <w:top w:val="single" w:color="000000" w:sz="1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10A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</w:t>
            </w:r>
            <w:r>
              <w:rPr>
                <w:rFonts w:hint="eastAsia"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>external validation cohort</w:t>
            </w:r>
            <w:r>
              <w:rPr>
                <w:rFonts w:hint="eastAsia" w:ascii="Arial" w:hAnsi="Arial" w:eastAsia="Arial" w:cs="Arial"/>
                <w:b/>
                <w:i/>
                <w:color w:val="000000"/>
                <w:sz w:val="13"/>
                <w:szCs w:val="13"/>
                <w:u w:val="none"/>
                <w:lang w:val="en-US" w:eastAsia="zh-CN"/>
              </w:rPr>
              <w:t xml:space="preserve"> 1</w:t>
            </w: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  </w:t>
            </w:r>
          </w:p>
        </w:tc>
        <w:tc>
          <w:tcPr>
            <w:tcW w:w="1220" w:type="dxa"/>
            <w:tcBorders>
              <w:top w:val="single" w:color="000000" w:sz="1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8B1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    No       </w:t>
            </w:r>
          </w:p>
        </w:tc>
        <w:tc>
          <w:tcPr>
            <w:tcW w:w="1230" w:type="dxa"/>
            <w:tcBorders>
              <w:top w:val="single" w:color="000000" w:sz="1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9BBF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   Yes       </w:t>
            </w:r>
          </w:p>
        </w:tc>
        <w:tc>
          <w:tcPr>
            <w:tcW w:w="680" w:type="dxa"/>
            <w:tcBorders>
              <w:top w:val="single" w:color="000000" w:sz="1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038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>p</w:t>
            </w:r>
            <w:r>
              <w:rPr>
                <w:rFonts w:hint="eastAsia" w:ascii="Arial" w:hAnsi="Arial" w:eastAsia="Arial" w:cs="Arial"/>
                <w:b/>
                <w:i/>
                <w:color w:val="000000"/>
                <w:sz w:val="13"/>
                <w:szCs w:val="13"/>
                <w:u w:val="none"/>
                <w:lang w:val="en-US" w:eastAsia="zh-CN"/>
              </w:rPr>
              <w:t xml:space="preserve"> value</w:t>
            </w:r>
          </w:p>
        </w:tc>
        <w:tc>
          <w:tcPr>
            <w:tcW w:w="1250" w:type="dxa"/>
            <w:tcBorders>
              <w:top w:val="single" w:color="000000" w:sz="1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BB4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</w:t>
            </w:r>
            <w:r>
              <w:rPr>
                <w:rFonts w:hint="eastAsia"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>external validation cohort</w:t>
            </w:r>
            <w:r>
              <w:rPr>
                <w:rFonts w:hint="eastAsia" w:ascii="Arial" w:hAnsi="Arial" w:eastAsia="Arial" w:cs="Arial"/>
                <w:b/>
                <w:i/>
                <w:color w:val="000000"/>
                <w:sz w:val="13"/>
                <w:szCs w:val="13"/>
                <w:u w:val="none"/>
                <w:lang w:val="en-US" w:eastAsia="zh-CN"/>
              </w:rPr>
              <w:t xml:space="preserve"> 2</w:t>
            </w: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  </w:t>
            </w:r>
          </w:p>
        </w:tc>
        <w:tc>
          <w:tcPr>
            <w:tcW w:w="1250" w:type="dxa"/>
            <w:tcBorders>
              <w:top w:val="single" w:color="000000" w:sz="1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E7B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    No       </w:t>
            </w:r>
          </w:p>
        </w:tc>
        <w:tc>
          <w:tcPr>
            <w:tcW w:w="1240" w:type="dxa"/>
            <w:tcBorders>
              <w:top w:val="single" w:color="000000" w:sz="1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61D0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   Yes       </w:t>
            </w:r>
          </w:p>
        </w:tc>
        <w:tc>
          <w:tcPr>
            <w:tcW w:w="710" w:type="dxa"/>
            <w:tcBorders>
              <w:top w:val="single" w:color="000000" w:sz="16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C47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>p</w:t>
            </w:r>
            <w:r>
              <w:rPr>
                <w:rFonts w:hint="eastAsia" w:ascii="Arial" w:hAnsi="Arial" w:eastAsia="Arial" w:cs="Arial"/>
                <w:b/>
                <w:i/>
                <w:color w:val="000000"/>
                <w:sz w:val="13"/>
                <w:szCs w:val="13"/>
                <w:u w:val="none"/>
                <w:lang w:val="en-US" w:eastAsia="zh-CN"/>
              </w:rPr>
              <w:t xml:space="preserve"> value</w:t>
            </w:r>
          </w:p>
        </w:tc>
      </w:tr>
      <w:tr w14:paraId="2F27348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</w:trPr>
        <w:tc>
          <w:tcPr>
            <w:tcW w:w="1768" w:type="dxa"/>
            <w:tcBorders>
              <w:top w:val="nil"/>
              <w:left w:val="nil"/>
              <w:bottom w:val="single" w:color="000000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D4A7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Characteristics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000000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DFE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  N=1310     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43F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  N=714      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000000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4F2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  N=596      </w:t>
            </w:r>
          </w:p>
        </w:tc>
        <w:tc>
          <w:tcPr>
            <w:tcW w:w="670" w:type="dxa"/>
            <w:tcBorders>
              <w:top w:val="nil"/>
              <w:left w:val="nil"/>
              <w:bottom w:val="single" w:color="000000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D86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000000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55D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  N=418      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000000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912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  N=200      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000000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B86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  N=218      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000000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0F41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000000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357B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  N=200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000000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ED7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  N=107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000000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3FE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  <w:t xml:space="preserve">      N=93      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000000" w:sz="16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FC6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/>
                <w:i/>
                <w:color w:val="000000"/>
                <w:sz w:val="13"/>
                <w:szCs w:val="13"/>
                <w:u w:val="none"/>
              </w:rPr>
            </w:pPr>
          </w:p>
        </w:tc>
      </w:tr>
      <w:tr w14:paraId="13D5B94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3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536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  <w:t>Hospitalization outcome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6FC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5E5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435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EB2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0.014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6F2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CE0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B1B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3BB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0.482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D43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D3B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4D1B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97E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1.000  </w:t>
            </w:r>
          </w:p>
        </w:tc>
      </w:tr>
      <w:tr w14:paraId="181821A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33F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survival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0C1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1233 (94.1%)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985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683 (95.7%)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4C1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550 (92.3%)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F82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324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353 (84.4%)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2C2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172 (86.0%)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88A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181 (83.0%)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FBC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5C03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181 (90.5%)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BC3F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97 (90.7%)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7E3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84 (90.3%)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1C4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16D64A0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4D4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mortality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F17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77 (5.88%)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732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31 (4.34%)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5C2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46 (7.72%)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BC3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064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65 (15.6%)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F0E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28 (14.0%)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CD2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37 (17.0%)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CB4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4F5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19 (9.50%)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3B0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10 (9.35%)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924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 (9.68%)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02B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030A577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228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Gender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3E1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5C3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AEA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20B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0.840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5AB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DC0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CAA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D15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1.000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85A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1E8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3B36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04B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0.705  </w:t>
            </w:r>
          </w:p>
        </w:tc>
      </w:tr>
      <w:tr w14:paraId="573B5A9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8D4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Female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F47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246 (18.8%)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DCA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136 (19.0%)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443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110 (18.5%)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152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464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87 (20.8%)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DF9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42 (21.0%)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691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45 (20.6%)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F49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5DB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20 (10.0%)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34F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12 (11.2%)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BA8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 (8.60%)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982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0EBC18A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003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Male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5D5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1064 (81.2%)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1A0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578 (81.0%)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DF1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486 (81.5%)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19C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911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331 (79.2%)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5FEE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158 (79.0%)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A40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173 (79.4%)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4D3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0C8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180 (90.0%)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244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95 (88.8%)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984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85 (91.4%)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DA4A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4B80C7F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5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3CC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Age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(years)[Mean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±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SD]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(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n(%)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80CF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72.4 (8.91)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5E9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72.2 (9.05)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62D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72.7 (8.74)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B8F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0.307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F1F8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74.0 (8.12)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3343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74.0 (8.03)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46F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74.0 (8.23)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15CA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0.957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D7B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73.9 (8.78)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045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72.8 (8.88)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C395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75.2 (8.53)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7C1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0.052  </w:t>
            </w:r>
          </w:p>
        </w:tc>
      </w:tr>
      <w:tr w14:paraId="187CA3C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A89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≥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40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61C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11 (0.84%)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4C1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 (1.12%)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EE1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 (0.50%)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F73B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0.400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900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0FE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A124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767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0.988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BBB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039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546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328B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0.211  </w:t>
            </w:r>
          </w:p>
        </w:tc>
      </w:tr>
      <w:tr w14:paraId="41B5BA5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7B3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50-60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EACB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116 (8.85%)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B24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64 (8.96%)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FA7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52 (8.72%)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0693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9A39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18 (4.31%)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141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 (4.50%)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2D3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 (4.13%)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F943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B625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 (1.00%)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58D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 (0.93%)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791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 (1.08%)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775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1D0AD27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60D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60-70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C5F7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332 (25.3%)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AAD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192 (26.9%)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5F3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140 (23.5%)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2FF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C37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102 (24.4%)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08E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50 (25.0%)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D22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52 (23.9%)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DBC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0F3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 (4.50%)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F28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 (7.48%)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BB1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 (1.08%)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563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7411CE9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0CC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70-80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A56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565 (43.1%)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311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296 (41.5%)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7135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269 (45.1%)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F93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82C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191 (45.7%)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7FC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90 (45.0%)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6F6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101 (46.3%)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75B6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30E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46 (23.0%)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ED3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26 (24.3%)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D70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20 (21.5%)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CD2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7848790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5C0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80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≤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B554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286 (21.8%)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70B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154 (21.6%)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366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132 (22.1%)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7E0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9E6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107 (25.6%)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C88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51 (25.5%)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633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56 (25.7%)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51C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9F06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89 (44.5%)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2CC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45 (42.1%)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214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44 (47.3%)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CC8C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42EA4E5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B62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BMI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[Mean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±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SD]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F1B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20.3 [18.4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22.8]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E65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20.5 [18.7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23.1]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313F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both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19.9[18.4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22.3]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41A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0.002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91D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20.4 [18.6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22.6]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9120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20.6 [18.7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23.2]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17DA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20.3 [18.4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22.2]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4942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0.126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670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20.8 [19.4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22.3]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8B5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20.8 [19.4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22.3]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DA2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20.6 [19.4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22.2]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43E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0.907  </w:t>
            </w:r>
          </w:p>
        </w:tc>
      </w:tr>
      <w:tr w14:paraId="458141B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5" w:hRule="atLeast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903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Smoking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situation (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n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(%)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)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540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DFF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420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&lt;0.001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5CE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A64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53E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E82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&lt;0.001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DAB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E88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721B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945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0.096  </w:t>
            </w:r>
          </w:p>
        </w:tc>
      </w:tr>
      <w:tr w14:paraId="3DD1EC0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3F2B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Never smoker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200B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516 (39.4%)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0CE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326 (45.7%)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883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190 (31.9%)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BD2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B64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183 (43.8%)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A44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106 (53.0%)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D747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77 (35.3%)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865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D4CD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70 (35.0%)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38C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43 (40.2%)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FB7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27 (29.0%)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A45D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77BD770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149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Current smoker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E926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448 (34.2%)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491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258 (36.1%)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574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190 (31.9%)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EF7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D83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95 (22.7%)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7C3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48 (24.0%)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723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47 (21.6%)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CA9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80E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61 (30.5%)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D6E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34 (31.8%)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AB4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27 (29.0%)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B27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5D12F8E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D48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Former smoker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5A2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346 (26.4%)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458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130 (18.2%)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56D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216 (36.2%)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10C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F16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140 (33.5%)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BC7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46 (23.0%)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908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94 (43.1%)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7BC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1FF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69 (34.5%)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3D7B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30 (28.0%)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94F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39 (41.9%)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384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73FBC63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892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Clinical signs (median [IQR] and mean (SD))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3C6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BF4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238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635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AF2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0281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1D3B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26D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663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8B1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71B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</w:tr>
      <w:tr w14:paraId="4B7117D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B5C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Temperature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(°C)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1F5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36.5 [36.3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36.8]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549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36.5 [36.3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36.8]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464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both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36.5[36.3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36.7]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329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0.804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9D1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36.5 [36.3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36.8]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ECE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36.5 [36.3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36.8]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DC6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36.5 [36.2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36.7]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D30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0.952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D3E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36.6 [36.4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36.9]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2C2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36.6 [36.3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36.8]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B4A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both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36.6[36.4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36.9]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918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0.111  </w:t>
            </w:r>
          </w:p>
        </w:tc>
      </w:tr>
      <w:tr w14:paraId="3283B9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1BA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H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eart 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R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ate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(cpm</w:t>
            </w: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)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53A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93.9 (17.0)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BE4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93.4 (16.7)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88F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94.4 (17.4)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664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0.287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61F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92.5 [81.0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105]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816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90.0 [79.0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105]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AC8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94.0 [83.0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105]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2AD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0.085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16E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96.5 [82.8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107]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4E4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96.0 [83.0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106]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804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97.0 [82.0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108]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2FD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0.519  </w:t>
            </w:r>
          </w:p>
        </w:tc>
      </w:tr>
      <w:tr w14:paraId="223054F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FC3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respiratory rate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(cpm</w:t>
            </w:r>
            <w:r>
              <w:rPr>
                <w:rFonts w:hint="default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)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78E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22.0 [20.0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23.0]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08A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21.0 [20.0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23.0]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1E1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both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22.0 [21.0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24.0]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776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&lt;0.001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BBD8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22.0 [20.0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25.0]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572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21.0 [20.0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24.0]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825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22.0 [20.0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25.0]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1F6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0.020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2DB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22.0 [20.0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24.0]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AC1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21.0 [20.0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23.0]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AF1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23.0 [20.0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24.0]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ED6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0.002  </w:t>
            </w:r>
          </w:p>
        </w:tc>
      </w:tr>
      <w:tr w14:paraId="6E50B22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atLeast"/>
        </w:trPr>
        <w:tc>
          <w:tcPr>
            <w:tcW w:w="4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868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Blood pressure on admission 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(mmHg) 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[Mean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±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SD]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CF6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1FD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182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08A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C5A5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355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6D9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825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A01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8800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</w:tr>
      <w:tr w14:paraId="1DAD5C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B636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Systolic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pressure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374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129 (20.5)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9C8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129 (20.1)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B2C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128 (20.9)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815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0.387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450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131 (22.3)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18DF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133 (21.6)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23D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129 (22.9)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E3E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0.126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03F7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132 (21.2)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11F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135 (21.0)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DBB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129 (21.0)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E49F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0.025  </w:t>
            </w:r>
          </w:p>
        </w:tc>
      </w:tr>
      <w:tr w14:paraId="7117869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95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10F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Diastolic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pressure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C676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77.4 (12.3)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0ED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77.6 (12.3)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F1B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77.1 (12.3)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F31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0.394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69AE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76.9 (14.0)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07E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78.8 (13.7)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DD8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75.1 (14.2)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663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0.008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C55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76.5 (12.4)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D02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78.3 (11.5)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94A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74.5 (13.2)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FBF0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0.033  </w:t>
            </w:r>
          </w:p>
        </w:tc>
      </w:tr>
      <w:tr w14:paraId="3FD5FC7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E96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C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harlson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median [IQR]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2CD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4.0 [4.0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6.0]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0D7F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4.0 [4.0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5.0]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06E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5.0[4.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6.0]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A3D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0.002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A92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5.00 [4.00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6.00]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0614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5.00 [4.00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6.00]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9AC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5.00 [4.00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6.00]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659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0.411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7AA3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5.00 [4.00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6.00]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E71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5.00 [4.00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6.00]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908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5.00 [4.00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  <w:t>－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6.00]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614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0.217  </w:t>
            </w:r>
          </w:p>
        </w:tc>
      </w:tr>
      <w:tr w14:paraId="79733F6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7C0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Respiratory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Complication 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(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n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(%)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)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A12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46C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ECF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16A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4DD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150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690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3C6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CF8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250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649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</w:tr>
      <w:tr w14:paraId="3D10499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188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Type II respiratory failure 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1EFB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973F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232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&lt;0.001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537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E618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3BE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0922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&lt;0.001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FE4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2D4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355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4A34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0.026  </w:t>
            </w:r>
          </w:p>
        </w:tc>
      </w:tr>
      <w:tr w14:paraId="0BAC5C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AA16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698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647 (49.4%)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58B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422 (59.1%)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597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225 (37.8%)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C91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BB4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217 (51.9%)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549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126 (63.0%)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30A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91 (41.7%)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F38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696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104 (52.0%)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FE5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64 (59.8%)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C57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40 (43.0%)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DB0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2FFC9DA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413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142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663 (50.6%)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C2D6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292 (40.9%)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634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371 (62.2%)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4FC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989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201 (48.1%)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BC8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74 (37.0%)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4D8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127 (58.3%)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4E3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C64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96 (48.0%)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34E9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43 (40.2%)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E7D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53 (57.0%)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626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16C600E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D57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Pulmonary encephalopathy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F7A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C81E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471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0.017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123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1E5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C32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12C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0.014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4DA1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2D5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3B6A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D52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0.269  </w:t>
            </w:r>
          </w:p>
        </w:tc>
      </w:tr>
      <w:tr w14:paraId="5984092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FE3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8BEC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1203 (91.8%)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D58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668 (93.6%)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B81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535 (89.8%)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65C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FAA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389 (93.1%)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3E9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193 (96.5%)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B54F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196 (89.9%)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6CB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CE1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186 (93.0%)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46A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102 (95.3%)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B30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84 (90.3%)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C92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2192CB4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A38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6A2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107 (8.17%)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B9F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46 (6.44%)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E107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61 (10.2%)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EC8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80D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29 (6.94%)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9BB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 (3.50%)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C3D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22 (10.1%)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22C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E4CF2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14 (7.00%)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5AB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 (4.67%)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CBE7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 (9.68%)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0BF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5EFE315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B23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Type 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I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respiratory failure 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619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F2A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C3E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0.165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D94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568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6D2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F928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0.471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E12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7154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AFA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640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0.354  </w:t>
            </w:r>
          </w:p>
        </w:tc>
      </w:tr>
      <w:tr w14:paraId="296D1A1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860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D72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1174 (89.6%)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30D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648 (90.8%)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01D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526 (88.3%)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DF1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207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319 (76.3%)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CDB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149 (74.5%)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8B9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170 (78.0%)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153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BCE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182 (91.0%)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411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95 (88.8%)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02A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87 (93.5%)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7EB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37F19A9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1787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227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136 (10.4%)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9BB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66 (9.24%)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A7F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70 (11.7%)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4F8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EDFE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99 (23.7%)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58D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51 (25.5%)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C755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48 (22.0%)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871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169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18 (9.00%)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77E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12 (11.2%)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858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 (6.45%)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F4E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4F111E9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EFD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Asthma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D93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8BB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460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EEC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0.040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7CF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B6F5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973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DFB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0.018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A74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206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51DE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CE7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0.403  </w:t>
            </w:r>
          </w:p>
        </w:tc>
      </w:tr>
      <w:tr w14:paraId="5B0DAB3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A426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0C2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1157 (88.3%)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BF3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643 (90.1%)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DD2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514 (86.2%)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A64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9DC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367 (87.8%)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9BF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184 (92.0%)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B79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183 (83.9%)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E41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116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187 (93.5%)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A45F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102 (95.3%)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C27D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85 (91.4%)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E7D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55B3703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F7E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C1C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153 (11.7%)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BD9B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71 (9.94%)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1BB5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82 (13.8%)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3E1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036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51 (12.2%)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8D7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16 (8.00%)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AB6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35 (16.1%)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51F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CEA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13 (6.50%)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7CC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 (4.67%)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769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 (8.60%)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10BB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5154339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44A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Chronic pulmonary heart disease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EDF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86BE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8AA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&lt;0.001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FE5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F46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5879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46E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&lt;0.001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BE9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1B33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53C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705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0.002  </w:t>
            </w:r>
          </w:p>
        </w:tc>
      </w:tr>
      <w:tr w14:paraId="6E016C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6D7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457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847 (64.7%)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098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515 (72.1%)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0C6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332 (55.7%)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80A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9EB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306 (73.2%)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E70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168 (84.0%)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8FD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138 (63.3%)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AF1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FABE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133 (66.5%)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8A0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82 (76.6%)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C14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51 (54.8%)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234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7368EA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31D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81E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463 (35.3%)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BE3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199 (27.9%)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8A7C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264 (44.3%)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C16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4E4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112 (26.8%)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295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32 (16.0%)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676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80 (36.7%)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12C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49C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67 (33.5%)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AD2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25 (23.4%)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BA7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42 (45.2%)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C5A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59DF459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D3A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Pulmonary 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a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rterial 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h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ypertension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B61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1BD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D22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&lt;0.001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6C6F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D09F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BBA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F17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0.469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6F9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D91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3FE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54FE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0.044  </w:t>
            </w:r>
          </w:p>
        </w:tc>
      </w:tr>
      <w:tr w14:paraId="092BD24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6BB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F52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920 (70.2%)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557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549 (76.9%)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BD0A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371 (62.2%)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CBB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5EA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287 (68.7%)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EF7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143 (71.5%)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371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144 (66.1%)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834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BDC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92 (46.0%)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66D4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59 (55.1%)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F91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33 (35.5%)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E3B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74451B7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D04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Mild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388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323 (24.7%)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43F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141 (19.7%)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D9B7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182 (30.5%)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367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C07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77 (18.4%)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1311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34 (17.0%)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797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43 (19.7%)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4B6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E49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61 (30.5%)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651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28 (26.2%)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A80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33 (35.5%)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389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16DAE46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639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Moderate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C0D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37 (2.82%)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DF4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 (1.26%)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7422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28 (4.70%)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5421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DD1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37 (8.85%)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AC2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14 (7.00%)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FE3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23 (10.6%)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32E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ECA8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31 (15.5%)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337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14 (13.1%)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763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17 (18.3%)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8BEF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45F54E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502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Severe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345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30 (2.29%)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7D9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15 (2.10%)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85F3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15 (2.52%)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E020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642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17 (4.07%)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B2C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 (4.50%)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8F0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 (3.67%)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D4B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F32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16 (8.00%)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190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 (5.61%)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B25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10 (10.8%)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5C82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40E215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30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7F6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Structural lung disease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941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104A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9A4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&lt;0.001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D50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E42D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AF7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D2F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0.120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8F6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ED8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B35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405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0.979  </w:t>
            </w:r>
          </w:p>
        </w:tc>
      </w:tr>
      <w:tr w14:paraId="24C25F7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D2A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151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794 (60.6%)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BC1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466 (65.3%)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76A1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328 (55.0%)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4F5F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181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263 (62.9%)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CA9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134 (67.0%)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40BD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129 (59.2%)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A9C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73F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126 (63.0%)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418A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68 (63.6%)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487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58 (62.4%)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263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4898B2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E25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934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516 (39.4%)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A78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248 (34.7%)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9E0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268 (45.0%)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4BE8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21A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155 (37.1%)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377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66 (33.0%)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C00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89 (40.8%)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43D8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9907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74 (37.0%)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27A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39 (36.4%)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2CB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35 (37.6%)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841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5A604A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17FBB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T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uberculosis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5C9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730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176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443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1.000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C18F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6C7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4E06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0D2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0.319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FA3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080B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7F8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CEB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0.629  </w:t>
            </w:r>
          </w:p>
        </w:tc>
      </w:tr>
      <w:tr w14:paraId="6DD225A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8BDF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88F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1060 (80.9%)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2FA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578 (81.0%)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494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482 (80.9%)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C5CC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FD50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355 (84.9%)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473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174 (87.0%)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5B7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181 (83.0%)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3AF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34D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155 (77.5%)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69C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81 (75.7%)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849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74 (79.6%)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8E02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532712E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94C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2EC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250 (19.1%)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360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136 (19.0%)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88E7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114 (19.1%)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899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C11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63 (15.1%)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05B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26 (13.0%)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C64B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37 (17.0%)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CF5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80D5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45 (22.5%)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5774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26 (24.3%)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1E5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19 (20.4%)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A4E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5B24BA0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F32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Bronchiectasis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D7B8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21A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88B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812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&lt;0.001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848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1C0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302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27B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0.005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9F7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1B71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5FC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AAD8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0.747  </w:t>
            </w:r>
          </w:p>
        </w:tc>
      </w:tr>
      <w:tr w14:paraId="5F5FE28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3B1C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42D6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1009 (77.0%)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906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586 (82.1%)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B12E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423 (71.0%)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E18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87FC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330 (78.9%)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19E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170 (85.0%)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6203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160 (73.4%)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55D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DAAB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167 (83.5%)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0AA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88 (82.2%)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B4F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79 (84.9%)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348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0AD88B5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0730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2B35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301 (23.0%)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A0E8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128 (17.9%)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F35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173 (29.0%)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C28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494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88 (21.1%)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490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30 (15.0%)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881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58 (26.6%)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75D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43E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33 (16.5%)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8298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19 (17.8%)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7013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14 (15.1%)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D86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7A07B24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BFCC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Silicosis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864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EBA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D82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7F94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1.000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3BD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BE3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B54F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BD3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0.100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7D9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CF10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742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5B65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0.081  </w:t>
            </w:r>
          </w:p>
        </w:tc>
      </w:tr>
      <w:tr w14:paraId="125CCE3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BE7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3ED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1247 (95.2%)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07B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680 (95.2%)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76A3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567 (95.1%)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68B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F30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392 (93.8%)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93E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183 (91.5%)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F7DC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209 (95.9%)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ED68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5A23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188 (94.0%)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28F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104 (97.2%)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3A2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84 (90.3%)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005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0773DCA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63DF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FD70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63 (4.81%)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EA3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34 (4.76%)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3A1E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29 (4.87%)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6FB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E73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26 (6.22%)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E26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17 (8.50%)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00E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 (4.13%)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F9D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895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12 (6.00%)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1F8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 (2.80%)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B61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 (9.68%)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1179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095C767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5DDA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Lung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cancer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FA7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F32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5EBA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9AC0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0.288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F072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5B9D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6E5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76C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0.308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C90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849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5CD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EBD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0.389  </w:t>
            </w:r>
          </w:p>
        </w:tc>
      </w:tr>
      <w:tr w14:paraId="29EDA3D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5E4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459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1272 (97.1%)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CAA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697 (97.6%)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A67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575 (96.5%)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CFD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B9A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400 (95.7%)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889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194 (97.0%)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8D9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206 (94.5%)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DD9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B13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189 (94.5%)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4583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103 (96.3%)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505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86 (92.5%)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9ED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52C2FA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2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A0F7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A65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38 (2.90%)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F59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17 (2.38%)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4B8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21 (3.52%)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8EC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en-US" w:bidi="ar-SA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008C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18 (4.31%)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92A7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 (3.00%)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6F4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12 (5.50%)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5233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071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11 (5.50%)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537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 (3.74%)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C094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 (7.53%)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C09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1D8C1C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2" w:hRule="atLeast"/>
        </w:trPr>
        <w:tc>
          <w:tcPr>
            <w:tcW w:w="4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7C8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Comorbidity of other systems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(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n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(%)</w:t>
            </w: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>)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D53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5255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75CB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30B5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001AA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8B0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2A8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EA00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F044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063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right="10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</w:p>
        </w:tc>
      </w:tr>
      <w:tr w14:paraId="37C6B5C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63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E05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Malignant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tumor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E86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93F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9D0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FE9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0.292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3E9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CB5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A67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4ED0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0.546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6A6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E0B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E4B2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9132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0.565  </w:t>
            </w:r>
          </w:p>
        </w:tc>
      </w:tr>
      <w:tr w14:paraId="38C278C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C42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982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1233 (94.1%)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185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677 (94.8%)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1FA2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556 (93.3%)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BAD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91D7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393 (94.0%)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A4C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190 (95.0%)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1560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203 (93.1%)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CCA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878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178 (89.0%)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5DC1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97 (90.7%)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E36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81 (87.1%)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2D8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25BA408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1A78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D02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77 (5.88%)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699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37 (5.18%)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6A1B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40 (6.71%)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1DC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D3D9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25 (5.98%)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2522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10 (5.00%)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9ADE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15 (6.88%)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697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62E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22 (11.0%)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609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10 (9.35%)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4AF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12 (12.9%)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F26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3DB1055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DE74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Stroke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7CBC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06AE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E1A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C3F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0.028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B9E1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BE64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430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B57DC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0.437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5290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C8F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A447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3F75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1.000  </w:t>
            </w:r>
          </w:p>
        </w:tc>
      </w:tr>
      <w:tr w14:paraId="2FAE8EB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8FC2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E784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1209 (92.3%)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AD11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670 (93.8%)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14F5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539 (90.4%)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9B3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EAE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368 (88.0%)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9DD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173 (86.5%)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21A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195 (89.4%)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BC0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9107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189 (94.5%)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B23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101 (94.4%)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87E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88 (94.6%)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951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4E3837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2D3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FFF8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101 (7.71%)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895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44 (6.16%)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AD31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57 (9.56%)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8546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31C7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50 (12.0%)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850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27 (13.5%)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E142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23 (10.6%)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6946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78D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11 (5.50%)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817F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 (5.61%)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24A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 (5.38%)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018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0390DCF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423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8A4A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hint="eastAsia"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Coronary atherosclerotic heart disease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C9F29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170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0.029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2AC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261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C67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970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0.265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331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2379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C0AFA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009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1.000  </w:t>
            </w:r>
          </w:p>
        </w:tc>
      </w:tr>
      <w:tr w14:paraId="102805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958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BCC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686 (52.4%)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30B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394 (55.2%)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CA35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292 (49.0%)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18C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CE76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194 (46.4%)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FE0B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99 (49.5%)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02BD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95 (43.6%)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40F8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6B64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157 (78.5%)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ED9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84 (78.5%)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902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73 (78.5%)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84AF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50394E1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7F2C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540E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624 (47.6%)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020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320 (44.8%)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E3A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304 (51.0%)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BC5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670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224 (53.6%)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1FDF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101 (50.5%)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1E5D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123 (56.4%)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1373F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E16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43 (21.5%)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55C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23 (21.5%)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12B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20 (21.5%)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C1AE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48011E7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D6FF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Atrial fibrillation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DF82D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0BEB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9517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1BD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0.451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1664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A3EA3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C76F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EDA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0.078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9AE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0ED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DA4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36A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0.734  </w:t>
            </w:r>
          </w:p>
        </w:tc>
      </w:tr>
      <w:tr w14:paraId="76BAC6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0FF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471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1268 (96.8%)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14E6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694 (97.2%)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59C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574 (96.3%)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C87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8C6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391 (93.5%)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9FA3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192 (96.0%)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4014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199 (91.3%)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E32D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E45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179 (89.5%)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C0D2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97 (90.7%)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C904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82 (88.2%)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273B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7780A6C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859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59C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42 (3.21%)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E1A6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20 (2.80%)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5B2A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22 (3.69%)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A76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E06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27 (6.46%)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02F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 (4.00%)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56BA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19 (8.72%)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C0E0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00A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21 (10.5%)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217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10 (9.35%)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9CE7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11 (11.8%)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1EC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6B9AA6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D526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Left heart failure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5BF5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5DF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329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45050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0.001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816F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1AC1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3D47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314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0.399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84944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A37D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466D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840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0.012  </w:t>
            </w:r>
          </w:p>
        </w:tc>
      </w:tr>
      <w:tr w14:paraId="2ED6796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591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EA6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1072 (81.8%)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868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607 (85.0%)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B8C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465 (78.0%)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B33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3B8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313 (74.9%)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AE5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154 (77.0%)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BA8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159 (72.9%)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5AC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6FCCC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135 (67.5%)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438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81 (75.7%)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9D35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54 (58.1%)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70A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75241E6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407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8E3C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238 (18.2%)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9359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107 (15.0%)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3363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131 (22.0%)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C25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4758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105 (25.1%)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146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46 (23.0%)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0CF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59 (27.1%)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CB1E4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6769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65 (32.5%)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CE6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26 (24.3%)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F4F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39 (41.9%)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069E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4EFABB0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5450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Hypertension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D6C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5417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4EA2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DD8C8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0.058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A012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0218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538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97C05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1.000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C1F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3D5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426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13D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0.218  </w:t>
            </w:r>
          </w:p>
        </w:tc>
      </w:tr>
      <w:tr w14:paraId="7A45990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A6C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3CE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889 (67.9%)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F226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501 (70.2%)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2A001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388 (65.1%)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89F0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10A7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266 (63.6%)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441E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127 (63.5%)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21503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139 (63.8%)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DC8A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28B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132 (66.0%)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EED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66 (61.7%)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D0DD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66 (71.0%)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948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63B8391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D8D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BB41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421 (32.1%)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3D99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213 (29.8%)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E34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208 (34.9%)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0152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324F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152 (36.4%)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072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73 (36.5%)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7D5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79 (36.2%)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CD30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1E7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68 (34.0%)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522E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41 (38.3%)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733E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27 (29.0%)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7CD3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1238F95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08268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Hypoalbuminemia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D16B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B9AB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A225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7E6C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0.231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7557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89D2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D88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C1F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0.920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C5F9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1AFE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43A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5B4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0.472  </w:t>
            </w:r>
          </w:p>
        </w:tc>
      </w:tr>
      <w:tr w14:paraId="3E8B78D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096B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8162B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1053 (80.4%)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4A6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583 (81.7%)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AFF7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470 (78.9%)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6538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BC9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278 (66.5%)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653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134 (67.0%)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CCAC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144 (66.1%)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3BE6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B86E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114 (57.0%)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A14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64 (59.8%)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D668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50 (53.8%)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8215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6766A3E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57114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EE3E9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257 (19.6%)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D4B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131 (18.3%)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018B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126 (21.1%)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F1A6D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D85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140 (33.5%)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5893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66 (33.0%)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6A102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74 (33.9%)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9F633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0A79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86 (43.0%)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5972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43 (40.2%)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BB3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43 (46.2%)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462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00993BD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EA55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Osteoporosis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95C5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743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F4A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065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0.045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49F4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3A6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0EBE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CB49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0.641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A1FC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7241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1F94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6985C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0.465  </w:t>
            </w:r>
          </w:p>
        </w:tc>
      </w:tr>
      <w:tr w14:paraId="7650B7C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8C1D1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5B385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1281 (97.8%)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0ED4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704 (98.6%)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45C2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577 (96.8%)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6123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A7F8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407 (97.4%)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DA4D3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196 (98.0%)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6B9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211 (96.8%)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23A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FFC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199 (99.5%)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F10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107 (100%)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48D8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92 (98.9%)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5F80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6882213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41B7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8425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29 (2.21%)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EB85A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10 (1.40%)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A98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19 (3.19%)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A877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FCF9A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11 (2.63%)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E4E3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4 (2.00%)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3C47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 (3.21%)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B42C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855B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 (0.50%)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83AD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0 (0.00%)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18BB5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 (1.08%)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83C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1199839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43ED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Diabetes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C6E7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3743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6E48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FAA16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0.785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AA405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B5A79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BE30E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528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0.902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6191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F00F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1B38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DD06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0.395  </w:t>
            </w:r>
          </w:p>
        </w:tc>
      </w:tr>
      <w:tr w14:paraId="6473331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8730F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7E6B2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1128 (86.1%)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9F6E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617 (86.4%)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A2BE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511 (85.7%)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A74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7157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347 (83.0%)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B15A5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167 (83.5%)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A791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180 (82.6%)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FCC8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1BF6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180 (90.0%)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82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94 (87.9%)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CAF0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86 (92.5%)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913A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4779E58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B983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44E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182 (13.9%)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64FD0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97 (13.6%)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4A90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85 (14.3%)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B71E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69FF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71 (17.0%)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6CCF2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33 (16.5%)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6C757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38 (17.4%)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866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7E7E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20 (10.0%)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831F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13 (12.1%)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A29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7 (7.53%)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3DD94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539AEC6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75A3F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eastAsia="zh-CN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Digestive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>Diseases</w:t>
            </w:r>
            <w:r>
              <w:rPr>
                <w:rFonts w:hint="eastAsia" w:ascii="Arial" w:hAnsi="Arial" w:eastAsia="宋体" w:cs="Arial"/>
                <w:b w:val="0"/>
                <w:i w:val="0"/>
                <w:color w:val="000000"/>
                <w:sz w:val="13"/>
                <w:szCs w:val="13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1B394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18F5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BD89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AAFE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&lt;0.001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E7549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E9CB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9A09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6B3D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0.282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8728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6A2AA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7FD9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    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6A04F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0.394  </w:t>
            </w:r>
          </w:p>
        </w:tc>
      </w:tr>
      <w:tr w14:paraId="57A30D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933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No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6826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928 (70.8%)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7C42A5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538 (75.4%)   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A237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390 (65.4%)   </w:t>
            </w: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18B1C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ED9B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268 (64.1%)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1F00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134 (67.0%)  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7486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134 (61.5%)   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48ABC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078C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173 (86.5%)   </w:t>
            </w:r>
          </w:p>
        </w:tc>
        <w:tc>
          <w:tcPr>
            <w:tcW w:w="1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6C278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90 (84.1%)   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F16EE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83 (89.2%)  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C058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  <w:tr w14:paraId="56CDCA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</w:trPr>
        <w:tc>
          <w:tcPr>
            <w:tcW w:w="1768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665A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Yes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2D93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382 (29.2%)   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D823D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176 (24.6%)   </w:t>
            </w:r>
          </w:p>
        </w:tc>
        <w:tc>
          <w:tcPr>
            <w:tcW w:w="117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B79769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206 (34.6%)   </w:t>
            </w:r>
          </w:p>
        </w:tc>
        <w:tc>
          <w:tcPr>
            <w:tcW w:w="67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33CC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76CE3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150 (35.9%)   </w:t>
            </w:r>
          </w:p>
        </w:tc>
        <w:tc>
          <w:tcPr>
            <w:tcW w:w="122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2BFA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66 (33.0%)   </w:t>
            </w:r>
          </w:p>
        </w:tc>
        <w:tc>
          <w:tcPr>
            <w:tcW w:w="123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F5771A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84 (38.5%)   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34766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75F6B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27 (13.5%)   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EA0D4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17 (15.9%)   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677BD7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10 (10.8%)   </w:t>
            </w:r>
          </w:p>
        </w:tc>
        <w:tc>
          <w:tcPr>
            <w:tcW w:w="710" w:type="dxa"/>
            <w:tcBorders>
              <w:top w:val="nil"/>
              <w:left w:val="nil"/>
              <w:bottom w:val="single" w:color="666666" w:sz="12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EF0D1"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</w:pPr>
            <w:r>
              <w:rPr>
                <w:rFonts w:ascii="Arial" w:hAnsi="Arial" w:eastAsia="Arial" w:cs="Arial"/>
                <w:b w:val="0"/>
                <w:i w:val="0"/>
                <w:color w:val="000000"/>
                <w:sz w:val="13"/>
                <w:szCs w:val="13"/>
                <w:u w:val="none"/>
              </w:rPr>
              <w:t xml:space="preserve">         </w:t>
            </w:r>
          </w:p>
        </w:tc>
      </w:tr>
    </w:tbl>
    <w:p w14:paraId="558A004E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left="100" w:right="100" w:firstLine="0" w:firstLineChars="0"/>
        <w:jc w:val="both"/>
        <w:rPr>
          <w:rFonts w:hint="eastAsia" w:ascii="Arial" w:hAnsi="Arial" w:eastAsia="Arial" w:cs="Arial"/>
          <w:b/>
          <w:i w:val="0"/>
          <w:color w:val="000000"/>
          <w:sz w:val="16"/>
          <w:szCs w:val="16"/>
          <w:u w:val="none"/>
          <w:lang w:val="en-US" w:eastAsia="zh-CN"/>
        </w:rPr>
      </w:pPr>
    </w:p>
    <w:p w14:paraId="3606B2E4">
      <w:pPr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before="100" w:after="100" w:line="240" w:lineRule="auto"/>
        <w:ind w:left="100" w:right="100" w:firstLine="0" w:firstLineChars="0"/>
        <w:jc w:val="both"/>
        <w:rPr>
          <w:rFonts w:hint="default" w:ascii="Arial" w:hAnsi="Arial" w:eastAsia="Arial" w:cs="Arial"/>
          <w:b/>
          <w:i w:val="0"/>
          <w:color w:val="000000"/>
          <w:sz w:val="16"/>
          <w:szCs w:val="16"/>
          <w:u w:val="none"/>
          <w:lang w:val="en-US" w:eastAsia="zh-CN"/>
        </w:rPr>
      </w:pPr>
    </w:p>
    <w:p w14:paraId="6E333DA1">
      <w:pPr>
        <w:rPr>
          <w:rFonts w:hint="default" w:ascii="Arial" w:hAnsi="Arial" w:cs="Arial"/>
          <w:sz w:val="16"/>
          <w:szCs w:val="16"/>
          <w:lang w:val="en-US" w:eastAsia="zh-CN"/>
        </w:rPr>
      </w:pPr>
    </w:p>
    <w:p w14:paraId="32ECF9C9">
      <w:pPr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16"/>
          <w:szCs w:val="16"/>
          <w:lang w:val="en-US" w:eastAsia="zh-CN"/>
        </w:rPr>
        <w:t>Continuous variable data are presented as median (SD or interquartile ranges, IQR). Classifed variable data are presented as n (%). Unless otherwise stated, the Mann–Whitney U test is used for the continuous variable, the χ2 test, or the Fisher’s exact test for the categorical variable</w:t>
      </w:r>
      <w:r>
        <w:rPr>
          <w:rFonts w:hint="eastAsia" w:ascii="Arial" w:hAnsi="Arial" w:cs="Arial"/>
          <w:sz w:val="16"/>
          <w:szCs w:val="16"/>
          <w:lang w:val="en-US" w:eastAsia="zh-CN"/>
        </w:rPr>
        <w:t xml:space="preserve">. </w:t>
      </w:r>
      <w:r>
        <w:rPr>
          <w:rFonts w:hint="default" w:ascii="Arial" w:hAnsi="Arial" w:cs="Arial"/>
          <w:sz w:val="16"/>
          <w:szCs w:val="16"/>
          <w:lang w:val="en-US" w:eastAsia="zh-CN"/>
        </w:rPr>
        <w:t>cpm</w:t>
      </w:r>
      <w:r>
        <w:rPr>
          <w:rFonts w:hint="eastAsia" w:ascii="Arial" w:hAnsi="Arial" w:cs="Arial"/>
          <w:sz w:val="16"/>
          <w:szCs w:val="16"/>
          <w:lang w:val="en-US" w:eastAsia="zh-CN"/>
        </w:rPr>
        <w:t xml:space="preserve">  </w:t>
      </w:r>
      <w:r>
        <w:rPr>
          <w:rFonts w:hint="default" w:ascii="Arial" w:hAnsi="Arial" w:cs="Arial"/>
          <w:sz w:val="16"/>
          <w:szCs w:val="16"/>
          <w:lang w:val="en-US" w:eastAsia="zh-CN"/>
        </w:rPr>
        <w:t>counts per minute</w:t>
      </w:r>
      <w:r>
        <w:rPr>
          <w:rFonts w:hint="eastAsia" w:ascii="Arial" w:hAnsi="Arial" w:cs="Arial"/>
          <w:sz w:val="16"/>
          <w:szCs w:val="16"/>
          <w:lang w:val="en-US" w:eastAsia="zh-CN"/>
        </w:rPr>
        <w:t>.</w:t>
      </w:r>
      <w:r>
        <w:rPr>
          <w:rFonts w:hint="default" w:ascii="Arial" w:hAnsi="Arial" w:cs="Arial"/>
          <w:sz w:val="16"/>
          <w:szCs w:val="16"/>
          <w:lang w:val="en-US" w:eastAsia="zh-CN"/>
        </w:rPr>
        <w:t xml:space="preserve"> </w:t>
      </w:r>
    </w:p>
    <w:sectPr>
      <w:pgSz w:w="15840" w:h="12240" w:orient="landscape"/>
      <w:pgMar w:top="1519" w:right="1043" w:bottom="1463" w:left="1043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宋体"/>
    <w:panose1 w:val="020B0004020202020204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Segoe Print"/>
    <w:panose1 w:val="020B0004020202020204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NotTrackMoves/>
  <w:documentProtection w:enforcement="0"/>
  <w:defaultTabStop w:val="720"/>
  <w:drawingGridHorizontalSpacing w:val="360"/>
  <w:drawingGridVerticalSpacing w:val="36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5421D6"/>
    <w:rsid w:val="139D54ED"/>
    <w:rsid w:val="1473140B"/>
    <w:rsid w:val="21CF4AA7"/>
    <w:rsid w:val="225C0B8B"/>
    <w:rsid w:val="274F43F6"/>
    <w:rsid w:val="2CB424B1"/>
    <w:rsid w:val="2E651A0A"/>
    <w:rsid w:val="2EF75384"/>
    <w:rsid w:val="31973569"/>
    <w:rsid w:val="3A614714"/>
    <w:rsid w:val="3D8E0B36"/>
    <w:rsid w:val="3E412892"/>
    <w:rsid w:val="46570AF5"/>
    <w:rsid w:val="487B4175"/>
    <w:rsid w:val="627D56B9"/>
    <w:rsid w:val="63031602"/>
    <w:rsid w:val="64C001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3"/>
    <w:link w:val="33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2"/>
    <w:basedOn w:val="1"/>
    <w:next w:val="3"/>
    <w:link w:val="34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3"/>
    <w:basedOn w:val="1"/>
    <w:next w:val="3"/>
    <w:link w:val="35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6">
    <w:name w:val="heading 4"/>
    <w:basedOn w:val="1"/>
    <w:next w:val="3"/>
    <w:link w:val="36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7">
    <w:name w:val="heading 5"/>
    <w:basedOn w:val="1"/>
    <w:next w:val="3"/>
    <w:link w:val="37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8">
    <w:name w:val="heading 6"/>
    <w:basedOn w:val="1"/>
    <w:next w:val="3"/>
    <w:link w:val="38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7"/>
    <w:basedOn w:val="1"/>
    <w:next w:val="3"/>
    <w:link w:val="39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8"/>
    <w:basedOn w:val="1"/>
    <w:next w:val="3"/>
    <w:link w:val="40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1">
    <w:name w:val="heading 9"/>
    <w:basedOn w:val="1"/>
    <w:next w:val="3"/>
    <w:link w:val="41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0"/>
  </w:style>
  <w:style w:type="table" w:default="1" w:styleId="19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3"/>
    <w:qFormat/>
    <w:uiPriority w:val="0"/>
    <w:pPr>
      <w:spacing w:before="180" w:after="180"/>
    </w:pPr>
  </w:style>
  <w:style w:type="paragraph" w:styleId="12">
    <w:name w:val="caption"/>
    <w:basedOn w:val="1"/>
    <w:qFormat/>
    <w:uiPriority w:val="0"/>
    <w:pPr>
      <w:spacing w:before="0"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 w:firstLine="0"/>
    </w:pPr>
  </w:style>
  <w:style w:type="paragraph" w:styleId="14">
    <w:name w:val="Date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styleId="15">
    <w:name w:val="Subtitle"/>
    <w:basedOn w:val="1"/>
    <w:next w:val="3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footnote text"/>
    <w:basedOn w:val="1"/>
    <w:unhideWhenUsed/>
    <w:qFormat/>
    <w:uiPriority w:val="9"/>
  </w:style>
  <w:style w:type="paragraph" w:styleId="1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8">
    <w:name w:val="Title"/>
    <w:basedOn w:val="1"/>
    <w:next w:val="3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Hyperlink"/>
    <w:basedOn w:val="23"/>
    <w:qFormat/>
    <w:uiPriority w:val="0"/>
    <w:rPr>
      <w:color w:val="156082" w:themeColor="accent1"/>
      <w14:textFill>
        <w14:solidFill>
          <w14:schemeClr w14:val="accent1"/>
        </w14:solidFill>
      </w14:textFill>
    </w:rPr>
  </w:style>
  <w:style w:type="character" w:customStyle="1" w:styleId="23">
    <w:name w:val="Body Text Char"/>
    <w:basedOn w:val="20"/>
    <w:link w:val="3"/>
    <w:qFormat/>
    <w:uiPriority w:val="0"/>
  </w:style>
  <w:style w:type="character" w:styleId="24">
    <w:name w:val="footnote reference"/>
    <w:basedOn w:val="23"/>
    <w:qFormat/>
    <w:uiPriority w:val="0"/>
    <w:rPr>
      <w:vertAlign w:val="superscript"/>
    </w:rPr>
  </w:style>
  <w:style w:type="paragraph" w:customStyle="1" w:styleId="25">
    <w:name w:val="First Paragraph"/>
    <w:basedOn w:val="3"/>
    <w:next w:val="3"/>
    <w:qFormat/>
    <w:uiPriority w:val="0"/>
  </w:style>
  <w:style w:type="paragraph" w:customStyle="1" w:styleId="26">
    <w:name w:val="Compact"/>
    <w:basedOn w:val="3"/>
    <w:qFormat/>
    <w:uiPriority w:val="0"/>
    <w:pPr>
      <w:spacing w:before="36" w:after="36"/>
    </w:pPr>
  </w:style>
  <w:style w:type="character" w:customStyle="1" w:styleId="27">
    <w:name w:val="Title Char"/>
    <w:basedOn w:val="20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Subtitle Char"/>
    <w:basedOn w:val="20"/>
    <w:link w:val="1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customStyle="1" w:styleId="29">
    <w:name w:val="Author"/>
    <w:next w:val="3"/>
    <w:qFormat/>
    <w:uiPriority w:val="0"/>
    <w:pPr>
      <w:keepNext/>
      <w:keepLines/>
      <w:spacing w:after="200"/>
      <w:jc w:val="center"/>
    </w:pPr>
    <w:rPr>
      <w:rFonts w:asciiTheme="minorHAnsi" w:hAnsiTheme="minorHAnsi" w:eastAsiaTheme="minorHAnsi" w:cstheme="minorBidi"/>
      <w:sz w:val="24"/>
      <w:szCs w:val="24"/>
      <w:lang w:val="en-US" w:eastAsia="en-US" w:bidi="ar-SA"/>
    </w:rPr>
  </w:style>
  <w:style w:type="paragraph" w:customStyle="1" w:styleId="30">
    <w:name w:val="Abstract Title"/>
    <w:basedOn w:val="1"/>
    <w:next w:val="31"/>
    <w:qFormat/>
    <w:uiPriority w:val="0"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31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2">
    <w:name w:val="Bibliography"/>
    <w:basedOn w:val="1"/>
    <w:qFormat/>
    <w:uiPriority w:val="0"/>
  </w:style>
  <w:style w:type="character" w:customStyle="1" w:styleId="33">
    <w:name w:val="Heading 1 Char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34">
    <w:name w:val="Heading 2 Char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35">
    <w:name w:val="Heading 3 Char"/>
    <w:basedOn w:val="20"/>
    <w:link w:val="5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36">
    <w:name w:val="Heading 4 Char"/>
    <w:basedOn w:val="20"/>
    <w:link w:val="6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37">
    <w:name w:val="Heading 5 Char"/>
    <w:basedOn w:val="20"/>
    <w:link w:val="7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38">
    <w:name w:val="Heading 6 Char"/>
    <w:basedOn w:val="20"/>
    <w:link w:val="8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9">
    <w:name w:val="Heading 7 Char"/>
    <w:basedOn w:val="20"/>
    <w:link w:val="9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0">
    <w:name w:val="Heading 8 Char"/>
    <w:basedOn w:val="20"/>
    <w:link w:val="10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1">
    <w:name w:val="Heading 9 Char"/>
    <w:basedOn w:val="20"/>
    <w:link w:val="11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2">
    <w:name w:val="Footnote Block Text"/>
    <w:basedOn w:val="16"/>
    <w:next w:val="16"/>
    <w:unhideWhenUsed/>
    <w:qFormat/>
    <w:uiPriority w:val="9"/>
    <w:pPr>
      <w:spacing w:before="100" w:after="100"/>
      <w:ind w:left="480" w:right="480" w:firstLine="0"/>
    </w:pPr>
  </w:style>
  <w:style w:type="table" w:customStyle="1" w:styleId="43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44">
    <w:name w:val="Definition Term"/>
    <w:basedOn w:val="1"/>
    <w:next w:val="45"/>
    <w:qFormat/>
    <w:uiPriority w:val="0"/>
    <w:pPr>
      <w:keepNext/>
      <w:keepLines/>
      <w:spacing w:after="0"/>
    </w:pPr>
    <w:rPr>
      <w:b/>
    </w:rPr>
  </w:style>
  <w:style w:type="paragraph" w:customStyle="1" w:styleId="45">
    <w:name w:val="Definition"/>
    <w:basedOn w:val="1"/>
    <w:qFormat/>
    <w:uiPriority w:val="0"/>
  </w:style>
  <w:style w:type="paragraph" w:customStyle="1" w:styleId="46">
    <w:name w:val="Table Caption"/>
    <w:basedOn w:val="12"/>
    <w:qFormat/>
    <w:uiPriority w:val="0"/>
    <w:pPr>
      <w:keepNext/>
    </w:pPr>
  </w:style>
  <w:style w:type="paragraph" w:customStyle="1" w:styleId="47">
    <w:name w:val="Image Caption"/>
    <w:basedOn w:val="12"/>
    <w:qFormat/>
    <w:uiPriority w:val="0"/>
  </w:style>
  <w:style w:type="paragraph" w:customStyle="1" w:styleId="48">
    <w:name w:val="Figure"/>
    <w:basedOn w:val="1"/>
    <w:qFormat/>
    <w:uiPriority w:val="0"/>
  </w:style>
  <w:style w:type="paragraph" w:customStyle="1" w:styleId="49">
    <w:name w:val="Captioned Figure"/>
    <w:basedOn w:val="48"/>
    <w:qFormat/>
    <w:uiPriority w:val="0"/>
    <w:pPr>
      <w:keepNext/>
    </w:pPr>
  </w:style>
  <w:style w:type="character" w:customStyle="1" w:styleId="50">
    <w:name w:val="Verbatim Char"/>
    <w:basedOn w:val="23"/>
    <w:link w:val="51"/>
    <w:qFormat/>
    <w:uiPriority w:val="0"/>
    <w:rPr>
      <w:rFonts w:ascii="Consolas" w:hAnsi="Consolas"/>
      <w:sz w:val="22"/>
    </w:rPr>
  </w:style>
  <w:style w:type="paragraph" w:customStyle="1" w:styleId="51">
    <w:name w:val="Source Code"/>
    <w:basedOn w:val="1"/>
    <w:link w:val="50"/>
    <w:qFormat/>
    <w:uiPriority w:val="0"/>
    <w:pPr>
      <w:shd w:val="clear" w:fill="F8F8F8"/>
      <w:wordWrap w:val="0"/>
    </w:pPr>
  </w:style>
  <w:style w:type="character" w:customStyle="1" w:styleId="52">
    <w:name w:val="Section Number"/>
    <w:basedOn w:val="23"/>
    <w:qFormat/>
    <w:uiPriority w:val="0"/>
  </w:style>
  <w:style w:type="paragraph" w:customStyle="1" w:styleId="53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  <w:rPr>
      <w:rFonts w:asciiTheme="majorHAnsi" w:hAnsiTheme="majorHAnsi" w:eastAsiaTheme="majorEastAsia" w:cstheme="majorBidi"/>
      <w:color w:val="104862" w:themeColor="accent1" w:themeShade="BF"/>
    </w:rPr>
  </w:style>
  <w:style w:type="character" w:customStyle="1" w:styleId="54">
    <w:name w:val="KeywordTok"/>
    <w:basedOn w:val="50"/>
    <w:qFormat/>
    <w:uiPriority w:val="0"/>
    <w:rPr>
      <w:b/>
      <w:color w:val="204A87"/>
      <w:shd w:val="clear" w:fill="F8F8F8"/>
    </w:rPr>
  </w:style>
  <w:style w:type="character" w:customStyle="1" w:styleId="55">
    <w:name w:val="DataTypeTok"/>
    <w:basedOn w:val="50"/>
    <w:qFormat/>
    <w:uiPriority w:val="0"/>
    <w:rPr>
      <w:color w:val="204A87"/>
      <w:shd w:val="clear" w:fill="F8F8F8"/>
    </w:rPr>
  </w:style>
  <w:style w:type="character" w:customStyle="1" w:styleId="56">
    <w:name w:val="DecValTok"/>
    <w:basedOn w:val="50"/>
    <w:qFormat/>
    <w:uiPriority w:val="0"/>
    <w:rPr>
      <w:color w:val="0000CF"/>
      <w:shd w:val="clear" w:fill="F8F8F8"/>
    </w:rPr>
  </w:style>
  <w:style w:type="character" w:customStyle="1" w:styleId="57">
    <w:name w:val="BaseNTok"/>
    <w:basedOn w:val="50"/>
    <w:qFormat/>
    <w:uiPriority w:val="0"/>
    <w:rPr>
      <w:color w:val="0000CF"/>
      <w:shd w:val="clear" w:fill="F8F8F8"/>
    </w:rPr>
  </w:style>
  <w:style w:type="character" w:customStyle="1" w:styleId="58">
    <w:name w:val="FloatTok"/>
    <w:basedOn w:val="50"/>
    <w:qFormat/>
    <w:uiPriority w:val="0"/>
    <w:rPr>
      <w:color w:val="0000CF"/>
      <w:shd w:val="clear" w:fill="F8F8F8"/>
    </w:rPr>
  </w:style>
  <w:style w:type="character" w:customStyle="1" w:styleId="59">
    <w:name w:val="ConstantTok"/>
    <w:basedOn w:val="50"/>
    <w:qFormat/>
    <w:uiPriority w:val="0"/>
    <w:rPr>
      <w:color w:val="8F5902"/>
      <w:shd w:val="clear" w:fill="F8F8F8"/>
    </w:rPr>
  </w:style>
  <w:style w:type="character" w:customStyle="1" w:styleId="60">
    <w:name w:val="CharTok"/>
    <w:basedOn w:val="50"/>
    <w:qFormat/>
    <w:uiPriority w:val="0"/>
    <w:rPr>
      <w:color w:val="4E9A06"/>
      <w:shd w:val="clear" w:fill="F8F8F8"/>
    </w:rPr>
  </w:style>
  <w:style w:type="character" w:customStyle="1" w:styleId="61">
    <w:name w:val="SpecialCharTok"/>
    <w:basedOn w:val="50"/>
    <w:qFormat/>
    <w:uiPriority w:val="0"/>
    <w:rPr>
      <w:b/>
      <w:color w:val="CE5C00"/>
      <w:shd w:val="clear" w:fill="F8F8F8"/>
    </w:rPr>
  </w:style>
  <w:style w:type="character" w:customStyle="1" w:styleId="62">
    <w:name w:val="StringTok"/>
    <w:basedOn w:val="50"/>
    <w:qFormat/>
    <w:uiPriority w:val="0"/>
    <w:rPr>
      <w:color w:val="4E9A06"/>
      <w:shd w:val="clear" w:fill="F8F8F8"/>
    </w:rPr>
  </w:style>
  <w:style w:type="character" w:customStyle="1" w:styleId="63">
    <w:name w:val="VerbatimStringTok"/>
    <w:basedOn w:val="50"/>
    <w:qFormat/>
    <w:uiPriority w:val="0"/>
    <w:rPr>
      <w:color w:val="4E9A06"/>
      <w:shd w:val="clear" w:fill="F8F8F8"/>
    </w:rPr>
  </w:style>
  <w:style w:type="character" w:customStyle="1" w:styleId="64">
    <w:name w:val="SpecialStringTok"/>
    <w:basedOn w:val="50"/>
    <w:qFormat/>
    <w:uiPriority w:val="0"/>
    <w:rPr>
      <w:color w:val="4E9A06"/>
      <w:shd w:val="clear" w:fill="F8F8F8"/>
    </w:rPr>
  </w:style>
  <w:style w:type="character" w:customStyle="1" w:styleId="65">
    <w:name w:val="ImportTok"/>
    <w:basedOn w:val="50"/>
    <w:qFormat/>
    <w:uiPriority w:val="0"/>
    <w:rPr>
      <w:shd w:val="clear" w:fill="F8F8F8"/>
    </w:rPr>
  </w:style>
  <w:style w:type="character" w:customStyle="1" w:styleId="66">
    <w:name w:val="CommentTok"/>
    <w:basedOn w:val="50"/>
    <w:qFormat/>
    <w:uiPriority w:val="0"/>
    <w:rPr>
      <w:i/>
      <w:color w:val="8F5902"/>
      <w:shd w:val="clear" w:fill="F8F8F8"/>
    </w:rPr>
  </w:style>
  <w:style w:type="character" w:customStyle="1" w:styleId="67">
    <w:name w:val="DocumentationTok"/>
    <w:basedOn w:val="50"/>
    <w:qFormat/>
    <w:uiPriority w:val="0"/>
    <w:rPr>
      <w:b/>
      <w:i/>
      <w:color w:val="8F5902"/>
      <w:shd w:val="clear" w:fill="F8F8F8"/>
    </w:rPr>
  </w:style>
  <w:style w:type="character" w:customStyle="1" w:styleId="68">
    <w:name w:val="AnnotationTok"/>
    <w:basedOn w:val="50"/>
    <w:qFormat/>
    <w:uiPriority w:val="0"/>
    <w:rPr>
      <w:b/>
      <w:i/>
      <w:color w:val="8F5902"/>
      <w:shd w:val="clear" w:fill="F8F8F8"/>
    </w:rPr>
  </w:style>
  <w:style w:type="character" w:customStyle="1" w:styleId="69">
    <w:name w:val="CommentVarTok"/>
    <w:basedOn w:val="50"/>
    <w:qFormat/>
    <w:uiPriority w:val="0"/>
    <w:rPr>
      <w:b/>
      <w:i/>
      <w:color w:val="8F5902"/>
      <w:shd w:val="clear" w:fill="F8F8F8"/>
    </w:rPr>
  </w:style>
  <w:style w:type="character" w:customStyle="1" w:styleId="70">
    <w:name w:val="OtherTok"/>
    <w:basedOn w:val="50"/>
    <w:qFormat/>
    <w:uiPriority w:val="0"/>
    <w:rPr>
      <w:color w:val="8F5902"/>
      <w:shd w:val="clear" w:fill="F8F8F8"/>
    </w:rPr>
  </w:style>
  <w:style w:type="character" w:customStyle="1" w:styleId="71">
    <w:name w:val="FunctionTok"/>
    <w:basedOn w:val="50"/>
    <w:qFormat/>
    <w:uiPriority w:val="0"/>
    <w:rPr>
      <w:b/>
      <w:color w:val="204A87"/>
      <w:shd w:val="clear" w:fill="F8F8F8"/>
    </w:rPr>
  </w:style>
  <w:style w:type="character" w:customStyle="1" w:styleId="72">
    <w:name w:val="VariableTok"/>
    <w:basedOn w:val="50"/>
    <w:qFormat/>
    <w:uiPriority w:val="0"/>
    <w:rPr>
      <w:color w:val="000000"/>
      <w:shd w:val="clear" w:fill="F8F8F8"/>
    </w:rPr>
  </w:style>
  <w:style w:type="character" w:customStyle="1" w:styleId="73">
    <w:name w:val="ControlFlowTok"/>
    <w:basedOn w:val="50"/>
    <w:qFormat/>
    <w:uiPriority w:val="0"/>
    <w:rPr>
      <w:b/>
      <w:color w:val="204A87"/>
      <w:shd w:val="clear" w:fill="F8F8F8"/>
    </w:rPr>
  </w:style>
  <w:style w:type="character" w:customStyle="1" w:styleId="74">
    <w:name w:val="OperatorTok"/>
    <w:basedOn w:val="50"/>
    <w:qFormat/>
    <w:uiPriority w:val="0"/>
    <w:rPr>
      <w:b/>
      <w:color w:val="CE5C00"/>
      <w:shd w:val="clear" w:fill="F8F8F8"/>
    </w:rPr>
  </w:style>
  <w:style w:type="character" w:customStyle="1" w:styleId="75">
    <w:name w:val="BuiltInTok"/>
    <w:basedOn w:val="50"/>
    <w:qFormat/>
    <w:uiPriority w:val="0"/>
    <w:rPr>
      <w:shd w:val="clear" w:fill="F8F8F8"/>
    </w:rPr>
  </w:style>
  <w:style w:type="character" w:customStyle="1" w:styleId="76">
    <w:name w:val="ExtensionTok"/>
    <w:basedOn w:val="50"/>
    <w:qFormat/>
    <w:uiPriority w:val="0"/>
    <w:rPr>
      <w:shd w:val="clear" w:fill="F8F8F8"/>
    </w:rPr>
  </w:style>
  <w:style w:type="character" w:customStyle="1" w:styleId="77">
    <w:name w:val="PreprocessorTok"/>
    <w:basedOn w:val="50"/>
    <w:qFormat/>
    <w:uiPriority w:val="0"/>
    <w:rPr>
      <w:i/>
      <w:color w:val="8F5902"/>
      <w:shd w:val="clear" w:fill="F8F8F8"/>
    </w:rPr>
  </w:style>
  <w:style w:type="character" w:customStyle="1" w:styleId="78">
    <w:name w:val="AttributeTok"/>
    <w:basedOn w:val="50"/>
    <w:qFormat/>
    <w:uiPriority w:val="0"/>
    <w:rPr>
      <w:color w:val="204A87"/>
      <w:shd w:val="clear" w:fill="F8F8F8"/>
    </w:rPr>
  </w:style>
  <w:style w:type="character" w:customStyle="1" w:styleId="79">
    <w:name w:val="RegionMarkerTok"/>
    <w:basedOn w:val="50"/>
    <w:qFormat/>
    <w:uiPriority w:val="0"/>
    <w:rPr>
      <w:shd w:val="clear" w:fill="F8F8F8"/>
    </w:rPr>
  </w:style>
  <w:style w:type="character" w:customStyle="1" w:styleId="80">
    <w:name w:val="InformationTok"/>
    <w:basedOn w:val="50"/>
    <w:qFormat/>
    <w:uiPriority w:val="0"/>
    <w:rPr>
      <w:b/>
      <w:i/>
      <w:color w:val="8F5902"/>
      <w:shd w:val="clear" w:fill="F8F8F8"/>
    </w:rPr>
  </w:style>
  <w:style w:type="character" w:customStyle="1" w:styleId="81">
    <w:name w:val="WarningTok"/>
    <w:basedOn w:val="50"/>
    <w:qFormat/>
    <w:uiPriority w:val="0"/>
    <w:rPr>
      <w:b/>
      <w:i/>
      <w:color w:val="8F5902"/>
      <w:shd w:val="clear" w:fill="F8F8F8"/>
    </w:rPr>
  </w:style>
  <w:style w:type="character" w:customStyle="1" w:styleId="82">
    <w:name w:val="AlertTok"/>
    <w:basedOn w:val="50"/>
    <w:qFormat/>
    <w:uiPriority w:val="0"/>
    <w:rPr>
      <w:color w:val="EF2929"/>
      <w:shd w:val="clear" w:fill="F8F8F8"/>
    </w:rPr>
  </w:style>
  <w:style w:type="character" w:customStyle="1" w:styleId="83">
    <w:name w:val="ErrorTok"/>
    <w:basedOn w:val="50"/>
    <w:qFormat/>
    <w:uiPriority w:val="0"/>
    <w:rPr>
      <w:b/>
      <w:color w:val="A40000"/>
      <w:shd w:val="clear" w:fill="F8F8F8"/>
    </w:rPr>
  </w:style>
  <w:style w:type="character" w:customStyle="1" w:styleId="84">
    <w:name w:val="NormalTok"/>
    <w:basedOn w:val="50"/>
    <w:qFormat/>
    <w:uiPriority w:val="0"/>
    <w:rPr>
      <w:shd w:val="clear" w:fill="F8F8F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1574</Words>
  <Characters>7532</Characters>
  <Lines>12</Lines>
  <Paragraphs>8</Paragraphs>
  <TotalTime>5</TotalTime>
  <ScaleCrop>false</ScaleCrop>
  <LinksUpToDate>false</LinksUpToDate>
  <CharactersWithSpaces>16826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2025-03-24T12:19:00Z</dcterms:created>
  <dc:creator>彭红兵</dc:creator>
  <cp:lastModifiedBy>彭红兵</cp:lastModifiedBy>
  <dcterms:modified xsi:type="dcterms:W3CDTF">2025-05-03T16:57:42Z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utput">
    <vt:lpwstr>word_document</vt:lpwstr>
  </property>
  <property fmtid="{D5CDD505-2E9C-101B-9397-08002B2CF9AE}" pid="3" name="KSOProductBuildVer">
    <vt:lpwstr>2052-12.1.0.20784</vt:lpwstr>
  </property>
  <property fmtid="{D5CDD505-2E9C-101B-9397-08002B2CF9AE}" pid="4" name="ICV">
    <vt:lpwstr>CB9BFA75FFDF45B9B06B239BD6AF4272_13</vt:lpwstr>
  </property>
  <property fmtid="{D5CDD505-2E9C-101B-9397-08002B2CF9AE}" pid="5" name="KSOTemplateDocerSaveRecord">
    <vt:lpwstr>eyJoZGlkIjoiM2E5YWFkNGU2ZTdlNmVhNjY1MzM0ODg5ZmIxYjc2ZDkiLCJ1c2VySWQiOiI0NDg2MjUxNDAifQ==</vt:lpwstr>
  </property>
</Properties>
</file>