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  <w:r w:rsidRPr="00C7419F">
        <w:rPr>
          <w:rFonts w:asciiTheme="majorBidi" w:hAnsiTheme="majorBidi" w:cstheme="majorBidi"/>
          <w:sz w:val="36"/>
          <w:szCs w:val="36"/>
          <w:lang w:val="en-US"/>
        </w:rPr>
        <w:t>Appendix 2.</w:t>
      </w:r>
    </w:p>
    <w:p w:rsidR="00C7419F" w:rsidRPr="00C7419F" w:rsidRDefault="00C7419F" w:rsidP="00C7419F">
      <w:pPr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 w:rsidRPr="00C7419F">
        <w:rPr>
          <w:rFonts w:asciiTheme="majorBidi" w:hAnsiTheme="majorBidi" w:cstheme="majorBidi"/>
          <w:sz w:val="36"/>
          <w:szCs w:val="36"/>
          <w:lang w:val="en-US"/>
        </w:rPr>
        <w:br/>
      </w:r>
      <w:r w:rsidRPr="00C7419F">
        <w:rPr>
          <w:rFonts w:asciiTheme="majorBidi" w:hAnsiTheme="majorBidi" w:cstheme="majorBidi"/>
          <w:b/>
          <w:bCs/>
          <w:sz w:val="32"/>
          <w:szCs w:val="32"/>
          <w:lang w:val="en-US"/>
        </w:rPr>
        <w:t>Results of subgroup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6"/>
        <w:gridCol w:w="2384"/>
        <w:gridCol w:w="715"/>
        <w:gridCol w:w="715"/>
        <w:gridCol w:w="715"/>
        <w:gridCol w:w="806"/>
        <w:gridCol w:w="862"/>
        <w:gridCol w:w="715"/>
        <w:gridCol w:w="641"/>
        <w:gridCol w:w="806"/>
        <w:gridCol w:w="751"/>
        <w:gridCol w:w="751"/>
        <w:gridCol w:w="862"/>
        <w:gridCol w:w="751"/>
      </w:tblGrid>
      <w:tr w:rsidR="00C7419F" w:rsidRPr="00C7419F" w:rsidTr="00C7419F">
        <w:trPr>
          <w:trHeight w:val="320"/>
        </w:trPr>
        <w:tc>
          <w:tcPr>
            <w:tcW w:w="31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Moderator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Subgroup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β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ci.lb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ci.ub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LogDOR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ci-lb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ci-ub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DOR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ci-lb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ci-ub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p-value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Cancer Type 1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Distant mets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2.851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1.233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4.470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2.851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1.233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4.470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17.312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3.430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87.383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FTC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-0.295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-2.396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1.807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2.557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-1.163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6.277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12.894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0.312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532.190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0.782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MTC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0.307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-1.730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2.345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3.159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-0.498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6.815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23.535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0.608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911.234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0.766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PTC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-0.786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-2.436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0.864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2.066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-1.203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5.334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7.889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0.300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207.265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0.348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PTMC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-0.879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-2.634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0.875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1.972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-1.401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5.346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7.186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0.246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209.705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0.324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Unspecified TC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0.032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-1.733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1.796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2.883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-0.501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6.267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17.866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0.606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526.684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0.972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Cancer Type 2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Other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3.373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2.374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3.373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17.699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10.737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29.172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PTC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-0.816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-1.399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-0.232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2.058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0.974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3.141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7.830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2.650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23.136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0.007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PTMC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-0.912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-1.727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-0.096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1.962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0.647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3.277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7.113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1.909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26.496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0.029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Metastasis site 1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Distant Metastasis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3.050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2.513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3.587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3.050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2.513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3.587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21.117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12.338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36.140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LNM Metastasis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-0.999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-1.588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-0.409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2.052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0.925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3.178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7.780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2.521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24.006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Imaging Modality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US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2.034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1.729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2.338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2.034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1.729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2.338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7.642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5.636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10.360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US + CDFI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0.214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-1.409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1.837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2.248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0.321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4.175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9.467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1.378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65.040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0.795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+ CEUS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0.564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-0.994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2.122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2.598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0.736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4.460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13.435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2.087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86.505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0.475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+ CEUS +USLNM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1.250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-0.362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2.862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3.284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1.367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5.200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26.669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3.924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181.236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0.128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+CT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0.117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-1.243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1.478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2.151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0.486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3.816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8.593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1.626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45.413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0.865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B-Mode + SWE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0.388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-0.712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1.489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2.422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1.017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3.827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11.264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2.764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45.902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0.487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CEUS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0.262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-1.277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1.802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2.296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0.452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4.140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9.932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1.571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62.790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0.737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CT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0.580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-0.739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1.900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2.614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0.990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4.238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13.652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2.691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69.255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0.386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Iodine Imaging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0.482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-1.036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2.000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2.516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0.693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4.338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12.374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2.000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76.547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0.531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No imaging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0.758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0.123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1.394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2.792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1.852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3.732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16.314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6.374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41.754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0.020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Model Category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Deep Learning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1.965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1.480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2.449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1.965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1.480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2.449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7.131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4.394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11.572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Machine Learning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-0.178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0.976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2.363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1.302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3.424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10.625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3.677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30.698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0.174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Reference Standard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FNA + Post-Op Pathology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2.033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1.003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3.063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2.033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1.003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3.063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7.635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2.726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21.383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0.000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FNA + Post-Op Pathology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0.266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-1.227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1.759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-0.224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4.821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9.960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0.799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124.126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0.726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Post-Op Pathology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0.231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-0.839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1.302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2.264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0.164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4.364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9.621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1.178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78.594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0.670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Analyzed Dataset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Local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2.054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1.809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2.299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2.054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1.809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2.299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7.799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6.105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9.964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Open Source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1.077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0.424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1.730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3.131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2.233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4.029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22.895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9.330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56.182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Open Source + Local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0.653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-0.609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1.915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2.707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1.200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4.214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14.983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3.319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67.627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0.309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Internal Validation input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10-Fold-cross-Validation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1.715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2.632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1.715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2.632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8.791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5.558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13.906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3-Fold-cross-Validation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-0.886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-2.499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0.727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1.288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-0.783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3.359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3.625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0.457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28.760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0.280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5-fold-cross-Validation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0.237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-0.459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0.932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2.410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1.257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3.564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11.138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3.514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35.311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0.502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No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1.085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-0.580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2.750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3.259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1.135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5.382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26.018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3.112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217.544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0.200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Random splitting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0.025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-0.626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0.675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1.090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3.308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9.012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2.973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27.322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0.940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Data Source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Clinical Data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2.609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2.114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3.104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2.609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2.114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3.104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13.590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8.284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22.294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Radiomics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-0.499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-1.074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0.076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2.111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1.041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3.181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8.254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2.831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24.061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0.089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Test Type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External Test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1.838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1.317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2.359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1.838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1.317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2.359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6.285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3.732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10.585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Internal Test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0.490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-0.061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1.040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3.676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2.634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4.719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39.504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13.927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112.034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0.081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Number of Architectures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Multiple Architecture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2.238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1.930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2.546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2.238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1.930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2.546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9.374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6.887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12.757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Single Architecture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0.040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-0.581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0.662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2.278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1.348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3.208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9.757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3.851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24.720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0.899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 w:val="restart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Metastasis Site 2 (Lymph node)</w:t>
            </w: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Central 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1.835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1.445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2.224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1.835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1.445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2.224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6.262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4.241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9.248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&lt;.0001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Cervical 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0.488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-0.115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1.090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2.322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1.330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3.315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10.197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3.780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27.514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0.112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Lateral 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0.780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-0.039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1.598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2.615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1.406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3.823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13.660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4.080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45.732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0.062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Peripheral 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0.029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-1.096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1.154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1.864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0.349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3.378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6.446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1.418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29.315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0.959</w:t>
            </w:r>
          </w:p>
        </w:tc>
      </w:tr>
      <w:tr w:rsidR="00C7419F" w:rsidRPr="00C7419F" w:rsidTr="00C7419F">
        <w:trPr>
          <w:trHeight w:val="320"/>
        </w:trPr>
        <w:tc>
          <w:tcPr>
            <w:tcW w:w="3160" w:type="dxa"/>
            <w:vMerge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5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Unspecified LNM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-0.102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-0.888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0.685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1.733</w:t>
            </w:r>
          </w:p>
        </w:tc>
        <w:tc>
          <w:tcPr>
            <w:tcW w:w="76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0.557</w:t>
            </w:r>
          </w:p>
        </w:tc>
        <w:tc>
          <w:tcPr>
            <w:tcW w:w="68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2.909</w:t>
            </w:r>
          </w:p>
        </w:tc>
        <w:tc>
          <w:tcPr>
            <w:tcW w:w="860" w:type="dxa"/>
            <w:shd w:val="clear" w:color="auto" w:fill="DAE9F7" w:themeFill="text2" w:themeFillTint="1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5.657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1.745</w:t>
            </w:r>
          </w:p>
        </w:tc>
        <w:tc>
          <w:tcPr>
            <w:tcW w:w="92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18.342</w:t>
            </w:r>
          </w:p>
        </w:tc>
        <w:tc>
          <w:tcPr>
            <w:tcW w:w="800" w:type="dxa"/>
            <w:noWrap/>
            <w:vAlign w:val="center"/>
            <w:hideMark/>
          </w:tcPr>
          <w:p w:rsidR="00C7419F" w:rsidRPr="00C7419F" w:rsidRDefault="00C7419F" w:rsidP="00C7419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419F">
              <w:rPr>
                <w:rFonts w:asciiTheme="majorBidi" w:hAnsiTheme="majorBidi" w:cstheme="majorBidi"/>
                <w:sz w:val="18"/>
                <w:szCs w:val="18"/>
              </w:rPr>
              <w:t>0.799</w:t>
            </w:r>
          </w:p>
        </w:tc>
      </w:tr>
    </w:tbl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Default="00C7419F">
      <w:pPr>
        <w:rPr>
          <w:rFonts w:asciiTheme="majorBidi" w:hAnsiTheme="majorBidi" w:cstheme="majorBidi"/>
          <w:sz w:val="36"/>
          <w:szCs w:val="36"/>
          <w:lang w:val="en-US"/>
        </w:rPr>
      </w:pPr>
    </w:p>
    <w:p w:rsidR="00C7419F" w:rsidRPr="00C7419F" w:rsidRDefault="00C7419F" w:rsidP="00C7419F">
      <w:p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  <w:sz w:val="32"/>
          <w:szCs w:val="32"/>
          <w:lang w:val="en-US"/>
        </w:rPr>
        <w:lastRenderedPageBreak/>
        <w:t>Results of model with lowest I</w:t>
      </w:r>
      <w:r w:rsidRPr="00C7419F">
        <w:rPr>
          <w:rFonts w:asciiTheme="majorBidi" w:hAnsiTheme="majorBidi" w:cstheme="majorBidi"/>
          <w:b/>
          <w:bCs/>
          <w:sz w:val="32"/>
          <w:szCs w:val="32"/>
          <w:vertAlign w:val="superscript"/>
          <w:lang w:val="en-US"/>
        </w:rPr>
        <w:t>2</w:t>
      </w:r>
      <w:r>
        <w:rPr>
          <w:rFonts w:asciiTheme="majorBidi" w:hAnsiTheme="majorBidi" w:cstheme="majorBidi"/>
          <w:sz w:val="36"/>
          <w:szCs w:val="36"/>
          <w:vertAlign w:val="superscript"/>
          <w:lang w:val="en-US"/>
        </w:rPr>
        <w:br/>
      </w:r>
      <w:r>
        <w:rPr>
          <w:rFonts w:asciiTheme="majorBidi" w:hAnsiTheme="majorBidi" w:cstheme="majorBidi"/>
          <w:sz w:val="36"/>
          <w:szCs w:val="36"/>
          <w:vertAlign w:val="superscript"/>
          <w:lang w:val="en-US"/>
        </w:rPr>
        <w:br/>
      </w:r>
      <w:r w:rsidRPr="00C7419F">
        <w:rPr>
          <w:rFonts w:asciiTheme="majorBidi" w:hAnsiTheme="majorBidi" w:cstheme="majorBidi"/>
        </w:rPr>
        <w:t>To further explore and minimize residual heterogeneity in diagnostic performance estimates, a multivariable meta-regression model was constructed using four key moderators: </w:t>
      </w:r>
      <w:r w:rsidRPr="00C7419F">
        <w:rPr>
          <w:rFonts w:asciiTheme="majorBidi" w:hAnsiTheme="majorBidi" w:cstheme="majorBidi"/>
          <w:b/>
          <w:bCs/>
        </w:rPr>
        <w:t>Reference Standard</w:t>
      </w:r>
      <w:r w:rsidRPr="00C7419F">
        <w:rPr>
          <w:rFonts w:asciiTheme="majorBidi" w:hAnsiTheme="majorBidi" w:cstheme="majorBidi"/>
        </w:rPr>
        <w:t>, </w:t>
      </w:r>
      <w:r w:rsidRPr="00C7419F">
        <w:rPr>
          <w:rFonts w:asciiTheme="majorBidi" w:hAnsiTheme="majorBidi" w:cstheme="majorBidi"/>
          <w:b/>
          <w:bCs/>
        </w:rPr>
        <w:t>Test Type</w:t>
      </w:r>
      <w:r w:rsidRPr="00C7419F">
        <w:rPr>
          <w:rFonts w:asciiTheme="majorBidi" w:hAnsiTheme="majorBidi" w:cstheme="majorBidi"/>
        </w:rPr>
        <w:t> (internal vs. external), </w:t>
      </w:r>
      <w:r w:rsidRPr="00C7419F">
        <w:rPr>
          <w:rFonts w:asciiTheme="majorBidi" w:hAnsiTheme="majorBidi" w:cstheme="majorBidi"/>
          <w:b/>
          <w:bCs/>
        </w:rPr>
        <w:t>Internal Validation Method</w:t>
      </w:r>
      <w:r w:rsidRPr="00C7419F">
        <w:rPr>
          <w:rFonts w:asciiTheme="majorBidi" w:hAnsiTheme="majorBidi" w:cstheme="majorBidi"/>
        </w:rPr>
        <w:t>, and </w:t>
      </w:r>
      <w:r w:rsidRPr="00C7419F">
        <w:rPr>
          <w:rFonts w:asciiTheme="majorBidi" w:hAnsiTheme="majorBidi" w:cstheme="majorBidi"/>
          <w:b/>
          <w:bCs/>
        </w:rPr>
        <w:t>Metastasis Site</w:t>
      </w:r>
      <w:r w:rsidRPr="00C7419F">
        <w:rPr>
          <w:rFonts w:asciiTheme="majorBidi" w:hAnsiTheme="majorBidi" w:cstheme="majorBidi"/>
        </w:rPr>
        <w:t> (lymph node vs. distant metastasis). This model, based on 162 effect sizes from 35 studies, was fitted using restricted maximum likelihood (REML) estimation.</w:t>
      </w:r>
    </w:p>
    <w:p w:rsidR="00C7419F" w:rsidRPr="00C7419F" w:rsidRDefault="00C7419F" w:rsidP="00C7419F">
      <w:p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</w:rPr>
        <w:t>The model significantly improved overall fit compared to the null model without moderators (AIC = 341.63 vs. 363.83; ΔAIC = –22.20). The test for moderators was statistically significant (F(8, 153) = 2.81, </w:t>
      </w:r>
      <w:r w:rsidRPr="00C7419F">
        <w:rPr>
          <w:rFonts w:asciiTheme="majorBidi" w:hAnsiTheme="majorBidi" w:cstheme="majorBidi"/>
          <w:i/>
          <w:iCs/>
        </w:rPr>
        <w:t>p</w:t>
      </w:r>
      <w:r w:rsidRPr="00C7419F">
        <w:rPr>
          <w:rFonts w:asciiTheme="majorBidi" w:hAnsiTheme="majorBidi" w:cstheme="majorBidi"/>
        </w:rPr>
        <w:t> = 0.0061), indicating that the included variables collectively contributed to explaining variance in diagnostic performance across studies.</w:t>
      </w:r>
    </w:p>
    <w:p w:rsidR="00C7419F" w:rsidRPr="00C7419F" w:rsidRDefault="00C7419F" w:rsidP="00C7419F">
      <w:pPr>
        <w:rPr>
          <w:rFonts w:asciiTheme="majorBidi" w:hAnsiTheme="majorBidi" w:cstheme="majorBidi"/>
          <w:b/>
          <w:bCs/>
        </w:rPr>
      </w:pPr>
      <w:r w:rsidRPr="00C7419F">
        <w:rPr>
          <w:rFonts w:asciiTheme="majorBidi" w:hAnsiTheme="majorBidi" w:cstheme="majorBidi"/>
          <w:b/>
          <w:bCs/>
        </w:rPr>
        <w:t>Model Estimates and Interpretation</w:t>
      </w:r>
    </w:p>
    <w:p w:rsidR="00C7419F" w:rsidRPr="00C7419F" w:rsidRDefault="00C7419F" w:rsidP="00C7419F">
      <w:p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</w:rPr>
        <w:t>The intercept (log DOR = 2.05, </w:t>
      </w:r>
      <w:r w:rsidRPr="00C7419F">
        <w:rPr>
          <w:rFonts w:asciiTheme="majorBidi" w:hAnsiTheme="majorBidi" w:cstheme="majorBidi"/>
          <w:i/>
          <w:iCs/>
        </w:rPr>
        <w:t>p</w:t>
      </w:r>
      <w:r w:rsidRPr="00C7419F">
        <w:rPr>
          <w:rFonts w:asciiTheme="majorBidi" w:hAnsiTheme="majorBidi" w:cstheme="majorBidi"/>
        </w:rPr>
        <w:t> &lt; 0.001) corresponds to the baseline category: studies using FNA alone as the reference standard, with external testing, 10-fold cross-validation, and distant metastasis as the target. The following findings emerged from the moderator analysis:</w:t>
      </w:r>
    </w:p>
    <w:p w:rsidR="00C7419F" w:rsidRPr="00C7419F" w:rsidRDefault="00C7419F" w:rsidP="00C7419F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Reference Standard</w:t>
      </w:r>
      <w:r w:rsidRPr="00C7419F">
        <w:rPr>
          <w:rFonts w:asciiTheme="majorBidi" w:hAnsiTheme="majorBidi" w:cstheme="majorBidi"/>
        </w:rPr>
        <w:t>: Neither the combination of FNA + postoperative pathology nor postoperative pathology alone was significantly associated with differences in diagnostic performance compared to FNA alone.</w:t>
      </w:r>
    </w:p>
    <w:p w:rsidR="00C7419F" w:rsidRPr="00C7419F" w:rsidRDefault="00C7419F" w:rsidP="00C7419F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Test Type</w:t>
      </w:r>
      <w:r w:rsidRPr="00C7419F">
        <w:rPr>
          <w:rFonts w:asciiTheme="majorBidi" w:hAnsiTheme="majorBidi" w:cstheme="majorBidi"/>
        </w:rPr>
        <w:t>: Internal testing showed a non-significant trend toward higher diagnostic performance (β = 0.40, </w:t>
      </w:r>
      <w:r w:rsidRPr="00C7419F">
        <w:rPr>
          <w:rFonts w:asciiTheme="majorBidi" w:hAnsiTheme="majorBidi" w:cstheme="majorBidi"/>
          <w:i/>
          <w:iCs/>
        </w:rPr>
        <w:t>p</w:t>
      </w:r>
      <w:r w:rsidRPr="00C7419F">
        <w:rPr>
          <w:rFonts w:asciiTheme="majorBidi" w:hAnsiTheme="majorBidi" w:cstheme="majorBidi"/>
        </w:rPr>
        <w:t> = 0.159).</w:t>
      </w:r>
    </w:p>
    <w:p w:rsidR="00C7419F" w:rsidRPr="00C7419F" w:rsidRDefault="00C7419F" w:rsidP="00C7419F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Internal Validation Method</w:t>
      </w:r>
      <w:r w:rsidRPr="00C7419F">
        <w:rPr>
          <w:rFonts w:asciiTheme="majorBidi" w:hAnsiTheme="majorBidi" w:cstheme="majorBidi"/>
        </w:rPr>
        <w:t>: Notably, studies that did not use any form of internal validation showed significantly higher log DOR (β = 2.03, </w:t>
      </w:r>
      <w:r w:rsidRPr="00C7419F">
        <w:rPr>
          <w:rFonts w:asciiTheme="majorBidi" w:hAnsiTheme="majorBidi" w:cstheme="majorBidi"/>
          <w:i/>
          <w:iCs/>
        </w:rPr>
        <w:t>p</w:t>
      </w:r>
      <w:r w:rsidRPr="00C7419F">
        <w:rPr>
          <w:rFonts w:asciiTheme="majorBidi" w:hAnsiTheme="majorBidi" w:cstheme="majorBidi"/>
        </w:rPr>
        <w:t> = 0.027), suggesting possible overestimation of diagnostic performance in these studies.</w:t>
      </w:r>
    </w:p>
    <w:p w:rsidR="00C7419F" w:rsidRPr="00C7419F" w:rsidRDefault="00C7419F" w:rsidP="00C7419F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Metastasis Site</w:t>
      </w:r>
      <w:r w:rsidRPr="00C7419F">
        <w:rPr>
          <w:rFonts w:asciiTheme="majorBidi" w:hAnsiTheme="majorBidi" w:cstheme="majorBidi"/>
        </w:rPr>
        <w:t>: Lymph node metastasis (LNM) was associated with significantly lower diagnostic performance compared to distant metastasis (β = –1.05, </w:t>
      </w:r>
      <w:r w:rsidRPr="00C7419F">
        <w:rPr>
          <w:rFonts w:asciiTheme="majorBidi" w:hAnsiTheme="majorBidi" w:cstheme="majorBidi"/>
          <w:i/>
          <w:iCs/>
        </w:rPr>
        <w:t>p</w:t>
      </w:r>
      <w:r w:rsidRPr="00C7419F">
        <w:rPr>
          <w:rFonts w:asciiTheme="majorBidi" w:hAnsiTheme="majorBidi" w:cstheme="majorBidi"/>
        </w:rPr>
        <w:t> &lt; 0.001).</w:t>
      </w:r>
    </w:p>
    <w:p w:rsidR="00C7419F" w:rsidRPr="00C7419F" w:rsidRDefault="00C7419F" w:rsidP="00C7419F">
      <w:pPr>
        <w:rPr>
          <w:rFonts w:asciiTheme="majorBidi" w:hAnsiTheme="majorBidi" w:cstheme="majorBidi"/>
          <w:b/>
          <w:bCs/>
        </w:rPr>
      </w:pPr>
      <w:r w:rsidRPr="00C7419F">
        <w:rPr>
          <w:rFonts w:asciiTheme="majorBidi" w:hAnsiTheme="majorBidi" w:cstheme="majorBidi"/>
          <w:b/>
          <w:bCs/>
        </w:rPr>
        <w:t>Heterogeneity Estimates</w:t>
      </w:r>
    </w:p>
    <w:p w:rsidR="00C7419F" w:rsidRPr="00C7419F" w:rsidRDefault="00C7419F" w:rsidP="00C7419F">
      <w:p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</w:rPr>
        <w:t>The final model substantially reduced total heterogeneity. The estimated between-study variance (σ²_between) was 0.183, and within-study variance (σ²</w:t>
      </w:r>
      <w:r>
        <w:rPr>
          <w:rFonts w:asciiTheme="majorBidi" w:hAnsiTheme="majorBidi" w:cstheme="majorBidi"/>
        </w:rPr>
        <w:t xml:space="preserve"> </w:t>
      </w:r>
      <w:r w:rsidRPr="00C7419F">
        <w:rPr>
          <w:rFonts w:asciiTheme="majorBidi" w:hAnsiTheme="majorBidi" w:cstheme="majorBidi"/>
        </w:rPr>
        <w:t>within) was 0.284. Using these variance components, I² statistics were computed as follows:</w:t>
      </w:r>
    </w:p>
    <w:p w:rsidR="00C7419F" w:rsidRPr="00C7419F" w:rsidRDefault="00C7419F" w:rsidP="00C7419F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I² Between-Study</w:t>
      </w:r>
      <w:r w:rsidRPr="00C7419F">
        <w:rPr>
          <w:rFonts w:asciiTheme="majorBidi" w:hAnsiTheme="majorBidi" w:cstheme="majorBidi"/>
        </w:rPr>
        <w:t>: 26.46%</w:t>
      </w:r>
    </w:p>
    <w:p w:rsidR="00C7419F" w:rsidRPr="00C7419F" w:rsidRDefault="00C7419F" w:rsidP="00C7419F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I² Within-Study</w:t>
      </w:r>
      <w:r w:rsidRPr="00C7419F">
        <w:rPr>
          <w:rFonts w:asciiTheme="majorBidi" w:hAnsiTheme="majorBidi" w:cstheme="majorBidi"/>
        </w:rPr>
        <w:t>: 41.08%</w:t>
      </w:r>
    </w:p>
    <w:p w:rsidR="00C7419F" w:rsidRPr="00C7419F" w:rsidRDefault="00C7419F" w:rsidP="00C7419F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  <w:b/>
          <w:bCs/>
        </w:rPr>
        <w:t>I² Total</w:t>
      </w:r>
      <w:r w:rsidRPr="00C7419F">
        <w:rPr>
          <w:rFonts w:asciiTheme="majorBidi" w:hAnsiTheme="majorBidi" w:cstheme="majorBidi"/>
        </w:rPr>
        <w:t>: 67.54%</w:t>
      </w:r>
    </w:p>
    <w:p w:rsidR="00C7419F" w:rsidRPr="00C7419F" w:rsidRDefault="00C7419F" w:rsidP="00C7419F">
      <w:pPr>
        <w:rPr>
          <w:rFonts w:asciiTheme="majorBidi" w:hAnsiTheme="majorBidi" w:cstheme="majorBidi"/>
        </w:rPr>
      </w:pPr>
      <w:r w:rsidRPr="00C7419F">
        <w:rPr>
          <w:rFonts w:asciiTheme="majorBidi" w:hAnsiTheme="majorBidi" w:cstheme="majorBidi"/>
        </w:rPr>
        <w:t>This represents a meaningful reduction in heterogeneity compared to the null model (I² total = 74.55%), supporting the relevance of the selected moderators in explaining variance in diagnostic accuracy.</w:t>
      </w:r>
    </w:p>
    <w:sectPr w:rsidR="00C7419F" w:rsidRPr="00C7419F" w:rsidSect="00C7419F">
      <w:pgSz w:w="15840" w:h="12240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9EC"/>
    <w:multiLevelType w:val="multilevel"/>
    <w:tmpl w:val="B68C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194901"/>
    <w:multiLevelType w:val="multilevel"/>
    <w:tmpl w:val="C2E0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249649">
    <w:abstractNumId w:val="0"/>
  </w:num>
  <w:num w:numId="2" w16cid:durableId="2004045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9F"/>
    <w:rsid w:val="000039DD"/>
    <w:rsid w:val="0001109B"/>
    <w:rsid w:val="00016B0D"/>
    <w:rsid w:val="00022217"/>
    <w:rsid w:val="000263DD"/>
    <w:rsid w:val="000411CC"/>
    <w:rsid w:val="00045B0E"/>
    <w:rsid w:val="00051E9F"/>
    <w:rsid w:val="0006217D"/>
    <w:rsid w:val="000651ED"/>
    <w:rsid w:val="00067FAF"/>
    <w:rsid w:val="000755CC"/>
    <w:rsid w:val="00077F1B"/>
    <w:rsid w:val="00084004"/>
    <w:rsid w:val="0008616D"/>
    <w:rsid w:val="0009304D"/>
    <w:rsid w:val="00093948"/>
    <w:rsid w:val="000A07B3"/>
    <w:rsid w:val="000A5B2C"/>
    <w:rsid w:val="000B11A9"/>
    <w:rsid w:val="000B6F7E"/>
    <w:rsid w:val="000D1C42"/>
    <w:rsid w:val="000D72C0"/>
    <w:rsid w:val="00113BD5"/>
    <w:rsid w:val="00113D7C"/>
    <w:rsid w:val="001205AE"/>
    <w:rsid w:val="0012200B"/>
    <w:rsid w:val="0012250C"/>
    <w:rsid w:val="00122B33"/>
    <w:rsid w:val="0012488D"/>
    <w:rsid w:val="00130709"/>
    <w:rsid w:val="001312DB"/>
    <w:rsid w:val="00132F7B"/>
    <w:rsid w:val="00135E2B"/>
    <w:rsid w:val="001360DC"/>
    <w:rsid w:val="00143AD2"/>
    <w:rsid w:val="0014775C"/>
    <w:rsid w:val="001607DA"/>
    <w:rsid w:val="00175D7C"/>
    <w:rsid w:val="00182487"/>
    <w:rsid w:val="00182C4D"/>
    <w:rsid w:val="001869EE"/>
    <w:rsid w:val="00194170"/>
    <w:rsid w:val="001B0294"/>
    <w:rsid w:val="001C5BFE"/>
    <w:rsid w:val="001E3343"/>
    <w:rsid w:val="001F3781"/>
    <w:rsid w:val="001F6C0C"/>
    <w:rsid w:val="002061F0"/>
    <w:rsid w:val="00214703"/>
    <w:rsid w:val="002261F5"/>
    <w:rsid w:val="00242691"/>
    <w:rsid w:val="00245FA5"/>
    <w:rsid w:val="00253460"/>
    <w:rsid w:val="00270185"/>
    <w:rsid w:val="00274F7C"/>
    <w:rsid w:val="002810C8"/>
    <w:rsid w:val="0028496D"/>
    <w:rsid w:val="002914E6"/>
    <w:rsid w:val="0029710A"/>
    <w:rsid w:val="002A6D32"/>
    <w:rsid w:val="002A78DC"/>
    <w:rsid w:val="002D0B40"/>
    <w:rsid w:val="002E621E"/>
    <w:rsid w:val="002F0EF5"/>
    <w:rsid w:val="00313D58"/>
    <w:rsid w:val="0032645D"/>
    <w:rsid w:val="00331F94"/>
    <w:rsid w:val="0034601E"/>
    <w:rsid w:val="00350DAB"/>
    <w:rsid w:val="00353683"/>
    <w:rsid w:val="00354356"/>
    <w:rsid w:val="0036020A"/>
    <w:rsid w:val="00363A91"/>
    <w:rsid w:val="00364DAF"/>
    <w:rsid w:val="003749E9"/>
    <w:rsid w:val="00380653"/>
    <w:rsid w:val="0038084E"/>
    <w:rsid w:val="003A0719"/>
    <w:rsid w:val="003A2A36"/>
    <w:rsid w:val="003C4790"/>
    <w:rsid w:val="003D1ED4"/>
    <w:rsid w:val="003F76BB"/>
    <w:rsid w:val="0040588C"/>
    <w:rsid w:val="0040792F"/>
    <w:rsid w:val="004108B9"/>
    <w:rsid w:val="00425507"/>
    <w:rsid w:val="00431826"/>
    <w:rsid w:val="00432A96"/>
    <w:rsid w:val="00441DA7"/>
    <w:rsid w:val="00460618"/>
    <w:rsid w:val="0048144F"/>
    <w:rsid w:val="004854F5"/>
    <w:rsid w:val="004A277D"/>
    <w:rsid w:val="004A5511"/>
    <w:rsid w:val="004F3DB2"/>
    <w:rsid w:val="004F6B46"/>
    <w:rsid w:val="00503610"/>
    <w:rsid w:val="00512402"/>
    <w:rsid w:val="00512AAA"/>
    <w:rsid w:val="00514FA8"/>
    <w:rsid w:val="00521BF2"/>
    <w:rsid w:val="00530C20"/>
    <w:rsid w:val="00537179"/>
    <w:rsid w:val="0054230E"/>
    <w:rsid w:val="0058408D"/>
    <w:rsid w:val="0059542B"/>
    <w:rsid w:val="005B011E"/>
    <w:rsid w:val="005C1440"/>
    <w:rsid w:val="005C393A"/>
    <w:rsid w:val="005C7532"/>
    <w:rsid w:val="005D274A"/>
    <w:rsid w:val="005D6653"/>
    <w:rsid w:val="005E1818"/>
    <w:rsid w:val="005F02E4"/>
    <w:rsid w:val="005F14AF"/>
    <w:rsid w:val="005F2608"/>
    <w:rsid w:val="005F2FD0"/>
    <w:rsid w:val="005F3AB5"/>
    <w:rsid w:val="005F3F52"/>
    <w:rsid w:val="00605949"/>
    <w:rsid w:val="006126F2"/>
    <w:rsid w:val="0061288B"/>
    <w:rsid w:val="006203F2"/>
    <w:rsid w:val="00624A5E"/>
    <w:rsid w:val="00624D28"/>
    <w:rsid w:val="00630982"/>
    <w:rsid w:val="00636C12"/>
    <w:rsid w:val="00643D9B"/>
    <w:rsid w:val="00650071"/>
    <w:rsid w:val="006636A3"/>
    <w:rsid w:val="00684CD4"/>
    <w:rsid w:val="00687EE0"/>
    <w:rsid w:val="006B1572"/>
    <w:rsid w:val="006B6505"/>
    <w:rsid w:val="006D141C"/>
    <w:rsid w:val="006D2987"/>
    <w:rsid w:val="006F0EB3"/>
    <w:rsid w:val="006F6F04"/>
    <w:rsid w:val="0070684B"/>
    <w:rsid w:val="007072A0"/>
    <w:rsid w:val="00715628"/>
    <w:rsid w:val="00730B36"/>
    <w:rsid w:val="00737219"/>
    <w:rsid w:val="00741A2C"/>
    <w:rsid w:val="007427CB"/>
    <w:rsid w:val="0074308A"/>
    <w:rsid w:val="00754015"/>
    <w:rsid w:val="00765341"/>
    <w:rsid w:val="0077148C"/>
    <w:rsid w:val="0077251A"/>
    <w:rsid w:val="007808E0"/>
    <w:rsid w:val="007815EC"/>
    <w:rsid w:val="00795B67"/>
    <w:rsid w:val="007A0953"/>
    <w:rsid w:val="007A42C0"/>
    <w:rsid w:val="007A6F60"/>
    <w:rsid w:val="007A73FA"/>
    <w:rsid w:val="007B1533"/>
    <w:rsid w:val="007B4516"/>
    <w:rsid w:val="007C15AB"/>
    <w:rsid w:val="007D331D"/>
    <w:rsid w:val="007E0EAE"/>
    <w:rsid w:val="007E6755"/>
    <w:rsid w:val="007E772E"/>
    <w:rsid w:val="0080005B"/>
    <w:rsid w:val="00814984"/>
    <w:rsid w:val="00825A50"/>
    <w:rsid w:val="00826DC3"/>
    <w:rsid w:val="008279EA"/>
    <w:rsid w:val="0084258D"/>
    <w:rsid w:val="00842650"/>
    <w:rsid w:val="00851F83"/>
    <w:rsid w:val="00853902"/>
    <w:rsid w:val="0086036F"/>
    <w:rsid w:val="00863E73"/>
    <w:rsid w:val="0086593F"/>
    <w:rsid w:val="00876D16"/>
    <w:rsid w:val="008815E2"/>
    <w:rsid w:val="00883A3A"/>
    <w:rsid w:val="00891D92"/>
    <w:rsid w:val="0089282B"/>
    <w:rsid w:val="008953D0"/>
    <w:rsid w:val="008A436A"/>
    <w:rsid w:val="008A69D1"/>
    <w:rsid w:val="008B0E16"/>
    <w:rsid w:val="008B1EE0"/>
    <w:rsid w:val="008B1F1C"/>
    <w:rsid w:val="008B3A26"/>
    <w:rsid w:val="008B41B0"/>
    <w:rsid w:val="008C4711"/>
    <w:rsid w:val="008C5C21"/>
    <w:rsid w:val="008C7605"/>
    <w:rsid w:val="008D18A9"/>
    <w:rsid w:val="008D2070"/>
    <w:rsid w:val="008E3AB5"/>
    <w:rsid w:val="008E3F2E"/>
    <w:rsid w:val="008E5B80"/>
    <w:rsid w:val="008F4C7B"/>
    <w:rsid w:val="00900CD0"/>
    <w:rsid w:val="00900EA1"/>
    <w:rsid w:val="00913932"/>
    <w:rsid w:val="0091400D"/>
    <w:rsid w:val="00914881"/>
    <w:rsid w:val="00923EB2"/>
    <w:rsid w:val="009275FC"/>
    <w:rsid w:val="0093677E"/>
    <w:rsid w:val="00943216"/>
    <w:rsid w:val="009475A9"/>
    <w:rsid w:val="00947602"/>
    <w:rsid w:val="00947634"/>
    <w:rsid w:val="00951080"/>
    <w:rsid w:val="00952C2E"/>
    <w:rsid w:val="00963D12"/>
    <w:rsid w:val="009647E8"/>
    <w:rsid w:val="00966465"/>
    <w:rsid w:val="009845C6"/>
    <w:rsid w:val="00994612"/>
    <w:rsid w:val="009A043A"/>
    <w:rsid w:val="009A0FC6"/>
    <w:rsid w:val="009A22CD"/>
    <w:rsid w:val="009A499B"/>
    <w:rsid w:val="009A7CC4"/>
    <w:rsid w:val="009C36F6"/>
    <w:rsid w:val="009C5AF5"/>
    <w:rsid w:val="009C7764"/>
    <w:rsid w:val="009E3788"/>
    <w:rsid w:val="009E5675"/>
    <w:rsid w:val="009E5692"/>
    <w:rsid w:val="009E6990"/>
    <w:rsid w:val="009F1055"/>
    <w:rsid w:val="009F3AD3"/>
    <w:rsid w:val="00A04D47"/>
    <w:rsid w:val="00A20D20"/>
    <w:rsid w:val="00A232B1"/>
    <w:rsid w:val="00A35D27"/>
    <w:rsid w:val="00A43B42"/>
    <w:rsid w:val="00A47275"/>
    <w:rsid w:val="00A62665"/>
    <w:rsid w:val="00A66FE5"/>
    <w:rsid w:val="00A705BA"/>
    <w:rsid w:val="00A7152F"/>
    <w:rsid w:val="00A75526"/>
    <w:rsid w:val="00A841FE"/>
    <w:rsid w:val="00A84C1F"/>
    <w:rsid w:val="00A94674"/>
    <w:rsid w:val="00AA1C8B"/>
    <w:rsid w:val="00AA5CEE"/>
    <w:rsid w:val="00AB15CC"/>
    <w:rsid w:val="00AC52F4"/>
    <w:rsid w:val="00AC61FA"/>
    <w:rsid w:val="00AD501F"/>
    <w:rsid w:val="00AD6ED8"/>
    <w:rsid w:val="00AE4006"/>
    <w:rsid w:val="00AF03D1"/>
    <w:rsid w:val="00AF76C8"/>
    <w:rsid w:val="00B00949"/>
    <w:rsid w:val="00B152A4"/>
    <w:rsid w:val="00B17ED5"/>
    <w:rsid w:val="00B23A1B"/>
    <w:rsid w:val="00B25992"/>
    <w:rsid w:val="00B360B9"/>
    <w:rsid w:val="00B36239"/>
    <w:rsid w:val="00B405DA"/>
    <w:rsid w:val="00B41480"/>
    <w:rsid w:val="00B46B1C"/>
    <w:rsid w:val="00B52F13"/>
    <w:rsid w:val="00B63669"/>
    <w:rsid w:val="00B806F9"/>
    <w:rsid w:val="00B813AB"/>
    <w:rsid w:val="00B81588"/>
    <w:rsid w:val="00B84B62"/>
    <w:rsid w:val="00B8537F"/>
    <w:rsid w:val="00BA22FA"/>
    <w:rsid w:val="00BA65BD"/>
    <w:rsid w:val="00BB60E6"/>
    <w:rsid w:val="00BB7AC6"/>
    <w:rsid w:val="00BC3B69"/>
    <w:rsid w:val="00BD434F"/>
    <w:rsid w:val="00BD4AC4"/>
    <w:rsid w:val="00BD7591"/>
    <w:rsid w:val="00BE1556"/>
    <w:rsid w:val="00BE52FB"/>
    <w:rsid w:val="00C0738F"/>
    <w:rsid w:val="00C07DEC"/>
    <w:rsid w:val="00C12CF5"/>
    <w:rsid w:val="00C134D3"/>
    <w:rsid w:val="00C1495D"/>
    <w:rsid w:val="00C3284B"/>
    <w:rsid w:val="00C336D1"/>
    <w:rsid w:val="00C34AF5"/>
    <w:rsid w:val="00C43E85"/>
    <w:rsid w:val="00C45006"/>
    <w:rsid w:val="00C45410"/>
    <w:rsid w:val="00C47F3B"/>
    <w:rsid w:val="00C53594"/>
    <w:rsid w:val="00C57005"/>
    <w:rsid w:val="00C7419F"/>
    <w:rsid w:val="00C80559"/>
    <w:rsid w:val="00C970F4"/>
    <w:rsid w:val="00CA726C"/>
    <w:rsid w:val="00CB7EAD"/>
    <w:rsid w:val="00CD288F"/>
    <w:rsid w:val="00CF5090"/>
    <w:rsid w:val="00D05A2A"/>
    <w:rsid w:val="00D14FD2"/>
    <w:rsid w:val="00D238AB"/>
    <w:rsid w:val="00D414FD"/>
    <w:rsid w:val="00D43AD6"/>
    <w:rsid w:val="00D560E3"/>
    <w:rsid w:val="00D65A5A"/>
    <w:rsid w:val="00D65F17"/>
    <w:rsid w:val="00D77A4D"/>
    <w:rsid w:val="00D83E5A"/>
    <w:rsid w:val="00DA0690"/>
    <w:rsid w:val="00DC04A4"/>
    <w:rsid w:val="00DC23E3"/>
    <w:rsid w:val="00DD031D"/>
    <w:rsid w:val="00DD1F95"/>
    <w:rsid w:val="00DD6F84"/>
    <w:rsid w:val="00DE2268"/>
    <w:rsid w:val="00DF1B41"/>
    <w:rsid w:val="00DF5ADD"/>
    <w:rsid w:val="00E01B4C"/>
    <w:rsid w:val="00E03E7D"/>
    <w:rsid w:val="00E06FC7"/>
    <w:rsid w:val="00E1304D"/>
    <w:rsid w:val="00E43E90"/>
    <w:rsid w:val="00E45F1C"/>
    <w:rsid w:val="00E546B6"/>
    <w:rsid w:val="00E717A1"/>
    <w:rsid w:val="00E805DC"/>
    <w:rsid w:val="00E82D33"/>
    <w:rsid w:val="00E830A7"/>
    <w:rsid w:val="00E847DC"/>
    <w:rsid w:val="00E862CD"/>
    <w:rsid w:val="00E94BD6"/>
    <w:rsid w:val="00EA1E54"/>
    <w:rsid w:val="00EA1EF8"/>
    <w:rsid w:val="00EA23D6"/>
    <w:rsid w:val="00EA3553"/>
    <w:rsid w:val="00EB0100"/>
    <w:rsid w:val="00EB4EAB"/>
    <w:rsid w:val="00EC0A9C"/>
    <w:rsid w:val="00EC3F89"/>
    <w:rsid w:val="00EC4870"/>
    <w:rsid w:val="00ED17F1"/>
    <w:rsid w:val="00ED34C1"/>
    <w:rsid w:val="00ED68AE"/>
    <w:rsid w:val="00ED7DB5"/>
    <w:rsid w:val="00EE4FC9"/>
    <w:rsid w:val="00EE5CA8"/>
    <w:rsid w:val="00F30CFE"/>
    <w:rsid w:val="00F4044A"/>
    <w:rsid w:val="00F44F76"/>
    <w:rsid w:val="00F51203"/>
    <w:rsid w:val="00F5165D"/>
    <w:rsid w:val="00F53520"/>
    <w:rsid w:val="00F70955"/>
    <w:rsid w:val="00F80DF7"/>
    <w:rsid w:val="00F84F89"/>
    <w:rsid w:val="00FC68FB"/>
    <w:rsid w:val="00FC7C6A"/>
    <w:rsid w:val="00FD3EC5"/>
    <w:rsid w:val="00FE32C3"/>
    <w:rsid w:val="00FE4145"/>
    <w:rsid w:val="00FF14D8"/>
    <w:rsid w:val="00FF5F78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9B78D"/>
  <w15:chartTrackingRefBased/>
  <w15:docId w15:val="{B33C01ED-6919-3740-87F8-7FC7EC9F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نقش"/>
    <w:basedOn w:val="Normal"/>
    <w:next w:val="Normal"/>
    <w:autoRedefine/>
    <w:qFormat/>
    <w:rsid w:val="00B41480"/>
    <w:pPr>
      <w:bidi/>
      <w:spacing w:after="0" w:line="240" w:lineRule="auto"/>
      <w:jc w:val="center"/>
    </w:pPr>
    <w:rPr>
      <w:rFonts w:ascii="Tahoma" w:eastAsia="Tahoma" w:hAnsi="Tahoma" w:cs="Tahoma"/>
      <w:b/>
      <w:sz w:val="28"/>
      <w:szCs w:val="28"/>
    </w:rPr>
  </w:style>
  <w:style w:type="paragraph" w:customStyle="1" w:styleId="a0">
    <w:name w:val="دیالوگ"/>
    <w:basedOn w:val="Normal"/>
    <w:next w:val="Normal"/>
    <w:qFormat/>
    <w:rsid w:val="00B41480"/>
    <w:pPr>
      <w:bidi/>
      <w:spacing w:before="120" w:after="120" w:line="360" w:lineRule="auto"/>
      <w:ind w:left="1134" w:right="1134"/>
    </w:pPr>
    <w:rPr>
      <w:rFonts w:ascii="B Nazanin" w:eastAsia="B Nazanin" w:hAnsi="B Nazanin" w:cs="B Nazanin"/>
      <w:color w:val="0070C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7419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19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19F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19F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19F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19F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19F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19F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19F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C74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19F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19F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C74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19F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C74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19F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C741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4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7419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Zadgari</dc:creator>
  <cp:keywords/>
  <dc:description/>
  <cp:lastModifiedBy>Ervin Zadgari</cp:lastModifiedBy>
  <cp:revision>1</cp:revision>
  <dcterms:created xsi:type="dcterms:W3CDTF">2025-07-21T13:26:00Z</dcterms:created>
  <dcterms:modified xsi:type="dcterms:W3CDTF">2025-07-21T13:35:00Z</dcterms:modified>
</cp:coreProperties>
</file>