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ADD8E">
      <w:pPr>
        <w:spacing w:line="360" w:lineRule="auto"/>
        <w:rPr>
          <w:rFonts w:hint="default" w:cs="Times New Roman" w:asciiTheme="minorAscii" w:hAnsiTheme="minorAscii"/>
          <w:b/>
          <w:bCs/>
          <w:color w:val="1D41D5"/>
          <w:sz w:val="22"/>
          <w:szCs w:val="22"/>
        </w:rPr>
      </w:pPr>
      <w:r>
        <w:rPr>
          <w:rFonts w:hint="default" w:cs="Times New Roman" w:asciiTheme="minorAscii" w:hAnsiTheme="minorAscii"/>
          <w:b/>
          <w:bCs/>
          <w:color w:val="1D41D5"/>
          <w:sz w:val="22"/>
          <w:szCs w:val="22"/>
        </w:rPr>
        <w:t xml:space="preserve">Appendix S1 </w:t>
      </w:r>
    </w:p>
    <w:p w14:paraId="09A4C858">
      <w:pPr>
        <w:spacing w:line="360" w:lineRule="auto"/>
        <w:rPr>
          <w:rFonts w:hint="default" w:cs="Times New Roman" w:asciiTheme="minorAscii" w:hAnsiTheme="minorAscii"/>
          <w:b/>
          <w:bCs/>
          <w:color w:val="000000" w:themeColor="text1"/>
          <w:sz w:val="22"/>
          <w:szCs w:val="22"/>
          <w14:textFill>
            <w14:solidFill>
              <w14:schemeClr w14:val="tx1"/>
            </w14:solidFill>
          </w14:textFill>
        </w:rPr>
      </w:pPr>
      <w:r>
        <w:rPr>
          <w:rFonts w:hint="default" w:cs="Times New Roman" w:asciiTheme="minorAscii" w:hAnsiTheme="minorAscii"/>
          <w:b/>
          <w:bCs/>
          <w:color w:val="000000" w:themeColor="text1"/>
          <w:sz w:val="22"/>
          <w:szCs w:val="22"/>
          <w14:textFill>
            <w14:solidFill>
              <w14:schemeClr w14:val="tx1"/>
            </w14:solidFill>
          </w14:textFill>
        </w:rPr>
        <w:t>CCTA Acquisition Protocol</w:t>
      </w:r>
    </w:p>
    <w:p w14:paraId="0934A2C8">
      <w:pPr>
        <w:numPr>
          <w:ilvl w:val="0"/>
          <w:numId w:val="1"/>
        </w:num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 xml:space="preserve">Chongqing </w:t>
      </w:r>
      <w:r>
        <w:rPr>
          <w:rFonts w:hint="eastAsia"/>
        </w:rPr>
        <w:t>General</w:t>
      </w: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14:textFill>
            <w14:solidFill>
              <w14:schemeClr w14:val="tx1"/>
            </w14:solidFill>
          </w14:textFill>
        </w:rPr>
        <w:t>Hospital: Coronary computed tomography angiography (CCTA) was performed using a dual-layer spectral detector CT scanner (IQon, Philips Healthcare, Best, The Netherlands) and an x-ray CT equipment (UCT760, Shanghai United-Imaging Medical Technology Co., Ltd., Shanghai, China). All patients received 0.5 mg of sublingual nitroglycerin 5 minutes before the CCTA acquisition. A bolus of 70 mL of iodinated contrast media (Visipaque Iodixanol 370; GE Healthcare, Ireland) was injected at a rate of 4-5 mL/s, followed by a 30-mL saline flush. Prospective electrocardiogram (ECG)-triggered sequential acquisition was used for scanning. The scanning parameters were as follows: tube voltage = 120 kVp, reconstructed section thickness = 0.625 mm, and reconstructed section interval = 0.625 mm.</w:t>
      </w:r>
    </w:p>
    <w:p w14:paraId="3FDA4FD0">
      <w:pPr>
        <w:numPr>
          <w:ilvl w:val="0"/>
          <w:numId w:val="1"/>
        </w:num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eastAsia"/>
        </w:rPr>
        <w:t>Yongchuan Hospital Affiliated to Chongqing Medical University</w:t>
      </w:r>
      <w:r>
        <w:rPr>
          <w:rFonts w:hint="default" w:cs="Times New Roman" w:asciiTheme="minorAscii" w:hAnsiTheme="minorAscii"/>
          <w:color w:val="000000" w:themeColor="text1"/>
          <w:sz w:val="22"/>
          <w:szCs w:val="22"/>
          <w14:textFill>
            <w14:solidFill>
              <w14:schemeClr w14:val="tx1"/>
            </w14:solidFill>
          </w14:textFill>
        </w:rPr>
        <w:t xml:space="preserve"> Hospital : CCTA was performed using a 256-slice iCT (Brilliance, Philips Healthcare) and an x-ray CT equipment (UCT860, Shanghai United-Imaging Medical Technology Co., Ltd.). All patients received 0.5 mg of sublingual nitroglycerin 5 minutes before the CCTA acquisition. A bolus of 70 mL of iodinated contrast media (Ultravist 370 mg iodine/mL, Bayer) was injected at a rate of 4-5 mL/s, followed by a 20-mL saline flush. Prospective ECG-triggered sequential acquisition was used for scanning. The scanning parameters were as follows: tube voltage = 120 kVp, reconstructed section thickness = 0.625 mm, and reconstructed section interval = 0.625 mm. </w:t>
      </w:r>
    </w:p>
    <w:p w14:paraId="53C856E1">
      <w:pPr>
        <w:spacing w:line="360" w:lineRule="auto"/>
        <w:rPr>
          <w:rFonts w:hint="default" w:cs="Times New Roman" w:asciiTheme="minorAscii" w:hAnsiTheme="minorAscii"/>
          <w:b/>
          <w:bCs/>
          <w:color w:val="000000" w:themeColor="text1"/>
          <w:sz w:val="22"/>
          <w:szCs w:val="22"/>
          <w14:textFill>
            <w14:solidFill>
              <w14:schemeClr w14:val="tx1"/>
            </w14:solidFill>
          </w14:textFill>
        </w:rPr>
      </w:pPr>
      <w:r>
        <w:rPr>
          <w:rFonts w:hint="default" w:cs="Times New Roman" w:asciiTheme="minorAscii" w:hAnsiTheme="minorAscii"/>
          <w:b/>
          <w:bCs/>
          <w:color w:val="000000" w:themeColor="text1"/>
          <w:sz w:val="22"/>
          <w:szCs w:val="22"/>
          <w14:textFill>
            <w14:solidFill>
              <w14:schemeClr w14:val="tx1"/>
            </w14:solidFill>
          </w14:textFill>
        </w:rPr>
        <w:t>Image Feature Extraction Module</w:t>
      </w:r>
      <w:r>
        <w:rPr>
          <w:rFonts w:hint="default" w:cs="Times New Roman" w:asciiTheme="minorAscii" w:hAnsiTheme="minorAscii"/>
          <w:b/>
          <w:bCs/>
          <w:strike/>
          <w:dstrike w:val="0"/>
          <w:color w:val="1D41D5"/>
          <w:sz w:val="22"/>
          <w:szCs w:val="22"/>
        </w:rPr>
        <w:t xml:space="preserve"> (MRSPA</w:t>
      </w:r>
      <w:r>
        <w:rPr>
          <w:rFonts w:hint="default" w:cs="Times New Roman" w:asciiTheme="minorAscii" w:hAnsiTheme="minorAscii"/>
          <w:b/>
          <w:bCs/>
          <w:strike/>
          <w:dstrike w:val="0"/>
          <w:color w:val="1D41D5"/>
          <w:sz w:val="22"/>
          <w:szCs w:val="22"/>
          <w:lang w:val="en-US" w:eastAsia="zh-CN"/>
        </w:rPr>
        <w:t>N</w:t>
      </w:r>
      <w:r>
        <w:rPr>
          <w:rFonts w:hint="eastAsia" w:cs="Times New Roman" w:asciiTheme="minorAscii" w:hAnsiTheme="minorAscii"/>
          <w:b/>
          <w:bCs/>
          <w:strike/>
          <w:dstrike w:val="0"/>
          <w:color w:val="1D41D5"/>
          <w:sz w:val="22"/>
          <w:szCs w:val="22"/>
          <w:lang w:val="en-US" w:eastAsia="zh-CN"/>
        </w:rPr>
        <w:t xml:space="preserve"> </w:t>
      </w:r>
      <w:r>
        <w:rPr>
          <w:rFonts w:hint="default" w:cs="Times New Roman" w:asciiTheme="minorAscii" w:hAnsiTheme="minorAscii"/>
          <w:b/>
          <w:bCs/>
          <w:strike/>
          <w:dstrike w:val="0"/>
          <w:color w:val="1D41D5"/>
          <w:sz w:val="22"/>
          <w:szCs w:val="22"/>
        </w:rPr>
        <w:t>Block)</w:t>
      </w:r>
    </w:p>
    <w:p w14:paraId="1D48D740">
      <w:p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default" w:cs="Times New Roman" w:asciiTheme="minorAscii" w:hAnsiTheme="minorAscii"/>
          <w:color w:val="000000" w:themeColor="text1"/>
          <w:sz w:val="22"/>
          <w:szCs w:val="22"/>
          <w14:textFill>
            <w14:solidFill>
              <w14:schemeClr w14:val="tx1"/>
            </w14:solidFill>
          </w14:textFill>
        </w:rPr>
        <w:t>This system employ</w:t>
      </w:r>
      <w:r>
        <w:rPr>
          <w:rFonts w:hint="default" w:cs="Times New Roman" w:asciiTheme="minorAscii" w:hAnsiTheme="minorAscii"/>
          <w:strike/>
          <w:dstrike w:val="0"/>
          <w:color w:val="1D41D5"/>
          <w:sz w:val="22"/>
          <w:szCs w:val="22"/>
        </w:rPr>
        <w:t>ed</w:t>
      </w:r>
      <w:r>
        <w:rPr>
          <w:rFonts w:hint="eastAsia" w:cs="Times New Roman" w:asciiTheme="minorAscii" w:hAnsiTheme="minorAscii"/>
          <w:color w:val="1D41D5"/>
          <w:sz w:val="22"/>
          <w:szCs w:val="22"/>
          <w:lang w:val="en-US" w:eastAsia="zh-CN"/>
        </w:rPr>
        <w:t>s</w:t>
      </w:r>
      <w:r>
        <w:rPr>
          <w:rFonts w:hint="default" w:cs="Times New Roman" w:asciiTheme="minorAscii" w:hAnsiTheme="minorAscii"/>
          <w:color w:val="000000" w:themeColor="text1"/>
          <w:sz w:val="22"/>
          <w:szCs w:val="22"/>
          <w14:textFill>
            <w14:solidFill>
              <w14:schemeClr w14:val="tx1"/>
            </w14:solidFill>
          </w14:textFill>
        </w:rPr>
        <w:t xml:space="preserve"> a multiscale residual pyramid attention network </w:t>
      </w:r>
      <w:r>
        <w:rPr>
          <w:rFonts w:hint="default" w:cs="Times New Roman" w:asciiTheme="minorAscii" w:hAnsiTheme="minorAscii"/>
          <w:strike/>
          <w:dstrike w:val="0"/>
          <w:color w:val="1D41D5"/>
          <w:sz w:val="22"/>
          <w:szCs w:val="22"/>
        </w:rPr>
        <w:t>(</w:t>
      </w:r>
      <w:r>
        <w:rPr>
          <w:rFonts w:hint="eastAsia" w:cs="Times New Roman" w:asciiTheme="minorAscii" w:hAnsiTheme="minorAscii"/>
          <w:color w:val="1D41D5"/>
          <w:sz w:val="22"/>
          <w:szCs w:val="22"/>
          <w:lang w:val="en-US" w:eastAsia="zh-CN"/>
        </w:rPr>
        <w:t>[</w:t>
      </w:r>
      <w:r>
        <w:rPr>
          <w:rFonts w:hint="default" w:cs="Times New Roman" w:asciiTheme="minorAscii" w:hAnsiTheme="minorAscii"/>
          <w:color w:val="000000" w:themeColor="text1"/>
          <w:sz w:val="22"/>
          <w:szCs w:val="22"/>
          <w14:textFill>
            <w14:solidFill>
              <w14:schemeClr w14:val="tx1"/>
            </w14:solidFill>
          </w14:textFill>
        </w:rPr>
        <w:t>MRSPAN</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eastAsia" w:cs="Times New Roman" w:asciiTheme="minorAscii" w:hAnsiTheme="minorAscii"/>
          <w:color w:val="1D41D5"/>
          <w:sz w:val="22"/>
          <w:szCs w:val="22"/>
          <w:lang w:val="en-US" w:eastAsia="zh-CN"/>
        </w:rPr>
        <w:t>(</w:t>
      </w:r>
      <w:r>
        <w:rPr>
          <w:rFonts w:hint="default" w:cs="Times New Roman" w:asciiTheme="minorAscii" w:hAnsiTheme="minorAscii"/>
          <w:color w:val="1D41D5"/>
          <w:sz w:val="22"/>
          <w:szCs w:val="22"/>
        </w:rPr>
        <w:t>multiscale residual pyramid attention network</w:t>
      </w:r>
      <w:r>
        <w:rPr>
          <w:rFonts w:hint="eastAsia" w:cs="Times New Roman" w:asciiTheme="minorAscii" w:hAnsiTheme="minorAscii"/>
          <w:color w:val="1D41D5"/>
          <w:sz w:val="22"/>
          <w:szCs w:val="22"/>
          <w:lang w:val="en-US" w:eastAsia="zh-CN"/>
        </w:rPr>
        <w:t>)</w:t>
      </w:r>
      <w:r>
        <w:rPr>
          <w:rFonts w:hint="default" w:cs="Times New Roman" w:asciiTheme="minorAscii" w:hAnsiTheme="minorAscii"/>
          <w:color w:val="000000" w:themeColor="text1"/>
          <w:sz w:val="22"/>
          <w:szCs w:val="22"/>
          <w14:textFill>
            <w14:solidFill>
              <w14:schemeClr w14:val="tx1"/>
            </w14:solidFill>
          </w14:textFill>
        </w:rPr>
        <w:t xml:space="preserve"> block</w:t>
      </w:r>
      <w:r>
        <w:rPr>
          <w:rFonts w:hint="default" w:cs="Times New Roman" w:asciiTheme="minorAscii" w:hAnsiTheme="minorAscii"/>
          <w:strike/>
          <w:dstrike w:val="0"/>
          <w:color w:val="1D41D5"/>
          <w:sz w:val="22"/>
          <w:szCs w:val="22"/>
        </w:rPr>
        <w:t>)</w:t>
      </w:r>
      <w:r>
        <w:rPr>
          <w:rFonts w:hint="eastAsia" w:cs="Times New Roman" w:asciiTheme="minorAscii" w:hAnsiTheme="minorAscii"/>
          <w:color w:val="1D41D5"/>
          <w:sz w:val="22"/>
          <w:szCs w:val="22"/>
          <w:lang w:val="en-US" w:eastAsia="zh-CN"/>
        </w:rPr>
        <w:t>]</w:t>
      </w:r>
      <w:r>
        <w:rPr>
          <w:rFonts w:hint="default" w:cs="Times New Roman" w:asciiTheme="minorAscii" w:hAnsiTheme="minorAscii"/>
          <w:color w:val="000000" w:themeColor="text1"/>
          <w:sz w:val="22"/>
          <w:szCs w:val="22"/>
          <w14:textFill>
            <w14:solidFill>
              <w14:schemeClr w14:val="tx1"/>
            </w14:solidFill>
          </w14:textFill>
        </w:rPr>
        <w:t xml:space="preserve"> to extract features from coronary CTA images. Its core design included 3 innovative components [16]:</w:t>
      </w:r>
    </w:p>
    <w:p w14:paraId="4AB13F5E">
      <w:p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default" w:cs="Times New Roman" w:asciiTheme="minorAscii" w:hAnsiTheme="minorAscii"/>
          <w:color w:val="000000" w:themeColor="text1"/>
          <w:sz w:val="22"/>
          <w:szCs w:val="22"/>
          <w14:textFill>
            <w14:solidFill>
              <w14:schemeClr w14:val="tx1"/>
            </w14:solidFill>
          </w14:textFill>
        </w:rPr>
        <w:t>1. Multiscale Feature Extraction Layer: By concatenating 3 × 3, 5 × 5, and 7 × 7 convolution kernels, we captured local details (such as calcified plaque on the vessel wall), medium-scale anatomical structures (such as coronary artery branches), and global contextual information, respectively.</w:t>
      </w:r>
    </w:p>
    <w:p w14:paraId="2706A378">
      <w:p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default" w:cs="Times New Roman" w:asciiTheme="minorAscii" w:hAnsiTheme="minorAscii"/>
          <w:color w:val="000000" w:themeColor="text1"/>
          <w:sz w:val="22"/>
          <w:szCs w:val="22"/>
          <w14:textFill>
            <w14:solidFill>
              <w14:schemeClr w14:val="tx1"/>
            </w14:solidFill>
          </w14:textFill>
        </w:rPr>
        <w:t>2. Residual Pyramid Structure: A 4-stage downsampling strategy was implemented, with the number of channels increasing from 64 to 128, then to 256, and finally to 512. The spatial resolution of low-level features was preserved through skip connections. This design remarkably enhanced the localization accuracy of stenosed vessels while maintaining computational efficiency.</w:t>
      </w:r>
    </w:p>
    <w:p w14:paraId="6DC94757">
      <w:p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default" w:cs="Times New Roman" w:asciiTheme="minorAscii" w:hAnsiTheme="minorAscii"/>
          <w:color w:val="000000" w:themeColor="text1"/>
          <w:sz w:val="22"/>
          <w:szCs w:val="22"/>
          <w14:textFill>
            <w14:solidFill>
              <w14:schemeClr w14:val="tx1"/>
            </w14:solidFill>
          </w14:textFill>
        </w:rPr>
        <w:t xml:space="preserve">3. Pyramid Attention Module: The MRSPAN-block force </w:t>
      </w:r>
      <w:r>
        <w:rPr>
          <w:rFonts w:hint="default" w:cs="Times New Roman" w:asciiTheme="minorAscii" w:hAnsiTheme="minorAscii"/>
          <w:color w:val="1D41D5"/>
          <w:sz w:val="22"/>
          <w:szCs w:val="22"/>
        </w:rPr>
        <w:t>attention</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14:textFill>
            <w14:solidFill>
              <w14:schemeClr w14:val="tx1"/>
            </w14:solidFill>
          </w14:textFill>
        </w:rPr>
        <w:t>mechanism was introduced at each feature pyramid stage using a learnable channel weight assignment formula:</w:t>
      </w:r>
    </w:p>
    <w:p w14:paraId="10FEB876">
      <w:pPr>
        <w:spacing w:line="360" w:lineRule="auto"/>
        <w:jc w:val="center"/>
        <w:rPr>
          <w:rFonts w:hint="default" w:cs="Times New Roman" w:asciiTheme="minorAscii" w:hAnsiTheme="minorAscii"/>
          <w:color w:val="000000" w:themeColor="text1"/>
          <w:position w:val="-14"/>
          <w:sz w:val="22"/>
          <w:szCs w:val="22"/>
          <w14:textFill>
            <w14:solidFill>
              <w14:schemeClr w14:val="tx1"/>
            </w14:solidFill>
          </w14:textFill>
        </w:rPr>
      </w:pPr>
      <w:r>
        <w:rPr>
          <w:rFonts w:hint="default" w:cs="Times New Roman" w:asciiTheme="minorAscii" w:hAnsiTheme="minorAscii"/>
          <w:color w:val="000000" w:themeColor="text1"/>
          <w:position w:val="-14"/>
          <w:sz w:val="22"/>
          <w:szCs w:val="22"/>
          <w14:textFill>
            <w14:solidFill>
              <w14:schemeClr w14:val="tx1"/>
            </w14:solidFill>
          </w14:textFill>
        </w:rPr>
        <w:object>
          <v:shape id="_x0000_i1025" o:spt="75" type="#_x0000_t75" style="height:18.75pt;width:162.75pt;" o:ole="t" filled="f" o:preferrelative="t" stroked="f" coordsize="21600,21600">
            <v:path/>
            <v:fill on="f" focussize="0,0"/>
            <v:stroke on="f" joinstyle="miter"/>
            <v:imagedata r:id="rId5" o:title=""/>
            <o:lock v:ext="edit" aspectratio="t"/>
            <w10:wrap type="none"/>
            <w10:anchorlock/>
          </v:shape>
          <o:OLEObject Type="Embed" ProgID="Equation.KSEE3" ShapeID="_x0000_i1025" DrawAspect="Content" ObjectID="_1468075725" r:id="rId4">
            <o:LockedField>false</o:LockedField>
          </o:OLEObject>
        </w:object>
      </w:r>
    </w:p>
    <w:p w14:paraId="792DE660">
      <w:pPr>
        <w:spacing w:line="360" w:lineRule="auto"/>
        <w:jc w:val="left"/>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Where</w:t>
      </w:r>
      <w:r>
        <w:rPr>
          <w:rFonts w:hint="default" w:cs="Times New Roman" w:asciiTheme="minorAscii" w:hAnsiTheme="minorAscii"/>
          <w:color w:val="000000" w:themeColor="text1"/>
          <w:position w:val="-14"/>
          <w:sz w:val="22"/>
          <w:szCs w:val="22"/>
          <w14:textFill>
            <w14:solidFill>
              <w14:schemeClr w14:val="tx1"/>
            </w14:solidFill>
          </w14:textFill>
        </w:rPr>
        <w:object>
          <v:shape id="_x0000_i1026" o:spt="75" type="#_x0000_t75" style="height:19pt;width:15pt;" o:ole="t" filled="f" o:preferrelative="t" stroked="f" coordsize="21600,21600">
            <v:path/>
            <v:fill on="f" focussize="0,0"/>
            <v:stroke on="f"/>
            <v:imagedata r:id="rId7" o:title=""/>
            <o:lock v:ext="edit" aspectratio="t"/>
            <w10:wrap type="none"/>
            <w10:anchorlock/>
          </v:shape>
          <o:OLEObject Type="Embed" ProgID="Equation.KSEE3" ShapeID="_x0000_i1026" DrawAspect="Content" ObjectID="_1468075726" r:id="rId6">
            <o:LockedField>false</o:LockedField>
          </o:OLEObject>
        </w:objec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represents the feature map of the j channel in layer </w:t>
      </w:r>
      <w:r>
        <w:rPr>
          <w:rFonts w:hint="default" w:cs="Times New Roman" w:asciiTheme="minorAscii" w:hAnsiTheme="minorAscii"/>
          <w:color w:val="000000" w:themeColor="text1"/>
          <w:sz w:val="22"/>
          <w:szCs w:val="22"/>
          <w14:textFill>
            <w14:solidFill>
              <w14:schemeClr w14:val="tx1"/>
            </w14:solidFill>
          </w14:textFill>
        </w:rPr>
        <w:t>i</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position w:val="-10"/>
          <w:sz w:val="22"/>
          <w:szCs w:val="22"/>
          <w14:textFill>
            <w14:solidFill>
              <w14:schemeClr w14:val="tx1"/>
            </w14:solidFill>
          </w14:textFill>
        </w:rPr>
        <w:object>
          <v:shape id="_x0000_i1027" o:spt="75" type="#_x0000_t75" style="height:17pt;width:15pt;" o:ole="t" filled="f" o:preferrelative="t" stroked="f" coordsize="21600,21600">
            <v:path/>
            <v:fill on="f" focussize="0,0"/>
            <v:stroke on="f"/>
            <v:imagedata r:id="rId9" o:title=""/>
            <o:lock v:ext="edit" aspectratio="t"/>
            <w10:wrap type="none"/>
            <w10:anchorlock/>
          </v:shape>
          <o:OLEObject Type="Embed" ProgID="Equation.KSEE3" ShapeID="_x0000_i1027" DrawAspect="Content" ObjectID="_1468075727" r:id="rId8">
            <o:LockedField>false</o:LockedField>
          </o:OLEObject>
        </w:object>
      </w:r>
      <w:r>
        <w:rPr>
          <w:rFonts w:hint="default" w:cs="Times New Roman" w:asciiTheme="minorAscii" w:hAnsiTheme="minorAscii"/>
          <w:color w:val="000000" w:themeColor="text1"/>
          <w:position w:val="-10"/>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and </w:t>
      </w:r>
      <w:r>
        <w:rPr>
          <w:rFonts w:hint="default" w:cs="Times New Roman" w:asciiTheme="minorAscii" w:hAnsiTheme="minorAscii"/>
          <w:color w:val="000000" w:themeColor="text1"/>
          <w:position w:val="-10"/>
          <w:sz w:val="22"/>
          <w:szCs w:val="22"/>
          <w14:textFill>
            <w14:solidFill>
              <w14:schemeClr w14:val="tx1"/>
            </w14:solidFill>
          </w14:textFill>
        </w:rPr>
        <w:object>
          <v:shape id="_x0000_i1028" o:spt="75" type="#_x0000_t75" style="height:17pt;width:16pt;" o:ole="t" filled="f" o:preferrelative="t" stroked="f" coordsize="21600,21600">
            <v:path/>
            <v:fill on="f" focussize="0,0"/>
            <v:stroke on="f"/>
            <v:imagedata r:id="rId11" o:title=""/>
            <o:lock v:ext="edit" aspectratio="t"/>
            <w10:wrap type="none"/>
            <w10:anchorlock/>
          </v:shape>
          <o:OLEObject Type="Embed" ProgID="Equation.KSEE3" ShapeID="_x0000_i1028" DrawAspect="Content" ObjectID="_1468075728" r:id="rId10">
            <o:LockedField>false</o:LockedField>
          </o:OLEObject>
        </w:object>
      </w:r>
      <w:r>
        <w:rPr>
          <w:rFonts w:hint="default" w:cs="Times New Roman" w:asciiTheme="minorAscii" w:hAnsiTheme="minorAscii"/>
          <w:color w:val="000000" w:themeColor="text1"/>
          <w:sz w:val="22"/>
          <w:szCs w:val="22"/>
          <w:lang w:val="en-US" w:eastAsia="zh-CN"/>
          <w14:textFill>
            <w14:solidFill>
              <w14:schemeClr w14:val="tx1"/>
            </w14:solidFill>
          </w14:textFill>
        </w:rPr>
        <w:t>are trainable weights.</w:t>
      </w:r>
    </w:p>
    <w:p w14:paraId="68AD5D29">
      <w:pPr>
        <w:spacing w:line="360" w:lineRule="auto"/>
        <w:jc w:val="left"/>
        <w:rPr>
          <w:rFonts w:hint="eastAsia" w:cs="Times New Roman" w:asciiTheme="minorAscii" w:hAnsiTheme="minorAscii"/>
          <w:strike/>
          <w:dstrike w:val="0"/>
          <w:color w:val="1D41D5"/>
          <w:sz w:val="22"/>
          <w:szCs w:val="22"/>
          <w:lang w:val="en-US" w:eastAsia="zh-CN"/>
        </w:rPr>
      </w:pPr>
      <w:r>
        <w:rPr>
          <w:rFonts w:hint="default" w:cs="Times New Roman" w:asciiTheme="minorAscii" w:hAnsiTheme="minorAscii"/>
          <w:strike/>
          <w:dstrike w:val="0"/>
          <w:color w:val="1D41D5"/>
          <w:sz w:val="22"/>
          <w:szCs w:val="22"/>
          <w:lang w:val="en-US" w:eastAsia="zh-CN"/>
        </w:rPr>
        <w:t>MRSPAN</w:t>
      </w:r>
      <w:r>
        <w:rPr>
          <w:rFonts w:hint="eastAsia" w:cs="Times New Roman" w:asciiTheme="minorAscii" w:hAnsiTheme="minorAscii"/>
          <w:strike/>
          <w:dstrike w:val="0"/>
          <w:color w:val="1D41D5"/>
          <w:sz w:val="22"/>
          <w:szCs w:val="22"/>
          <w:lang w:val="en-US" w:eastAsia="zh-CN"/>
        </w:rPr>
        <w:t>, multiscale residual pyramid attention network</w:t>
      </w:r>
    </w:p>
    <w:p w14:paraId="5C6380D7">
      <w:pPr>
        <w:numPr>
          <w:ilvl w:val="0"/>
          <w:numId w:val="0"/>
        </w:numPr>
        <w:spacing w:line="360" w:lineRule="auto"/>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Details of the Multi-Layer Perceptron Classifier Design</w:t>
      </w:r>
    </w:p>
    <w:p w14:paraId="6CFAF348">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This system used a multilayer perceptron as the clinical feature fusion module. Its core design included the following innovations [35]:</w:t>
      </w:r>
    </w:p>
    <w:p w14:paraId="0C7D1CB7">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1. Network Architecture Design</w:t>
      </w:r>
    </w:p>
    <w:p w14:paraId="4D387B40">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A 3-layer fully connected structure (input layer, hidden layer 1, hidden layer 2, and output layer) was used, with the number of neurons in each layer specified as follows:</w:t>
      </w:r>
    </w:p>
    <w:p w14:paraId="50989883">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Input Layer: 128 Dimensions (integrating self-image, clinical, and ECG features).</w:t>
      </w:r>
    </w:p>
    <w:p w14:paraId="5076A1B4">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Hidden Layer 1: 64 Neurons with ReLU activation function.</w:t>
      </w:r>
    </w:p>
    <w:p w14:paraId="0E24678F">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Hidden Layer 2: 32 Neurons with Leaky ReLU activation function.</w:t>
      </w:r>
    </w:p>
    <w:p w14:paraId="301DA697">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Output Layer: This layer consisted of 2 categories, disease and health, using a Softmax activation function.</w:t>
      </w:r>
    </w:p>
    <w:p w14:paraId="29D65BA8">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2. Selection of Activation Functions</w:t>
      </w:r>
    </w:p>
    <w:p w14:paraId="784DFC4C">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 xml:space="preserve">The hidden layer employed Leaky ReLU (α = 0.01) instead of the traditional ReLU to address the problem of </w:t>
      </w:r>
      <w:r>
        <w:rPr>
          <w:rFonts w:hint="default" w:cs="Times New Roman" w:asciiTheme="minorAscii" w:hAnsiTheme="minorAscii"/>
          <w:color w:val="1D41D5"/>
          <w:sz w:val="22"/>
          <w:szCs w:val="22"/>
          <w:lang w:val="en-US" w:eastAsia="zh-CN"/>
        </w:rPr>
        <w:t>"dying</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neurons</w:t>
      </w:r>
      <w:r>
        <w:rPr>
          <w:rFonts w:hint="default" w:cs="Times New Roman" w:asciiTheme="minorAscii" w:hAnsiTheme="minorAscii"/>
          <w:color w:val="1D41D5"/>
          <w:sz w:val="22"/>
          <w:szCs w:val="22"/>
          <w:lang w:val="en-US" w:eastAsia="zh-CN"/>
        </w:rPr>
        <w:t>”</w:t>
      </w:r>
      <w:r>
        <w:rPr>
          <w:rFonts w:hint="default" w:cs="Times New Roman" w:asciiTheme="minorAscii" w:hAnsiTheme="minorAscii"/>
          <w:color w:val="000000" w:themeColor="text1"/>
          <w:sz w:val="22"/>
          <w:szCs w:val="22"/>
          <w:lang w:val="en-US" w:eastAsia="zh-CN"/>
          <w14:textFill>
            <w14:solidFill>
              <w14:schemeClr w14:val="tx1"/>
            </w14:solidFill>
          </w14:textFill>
        </w:rPr>
        <w:t>. The experiment demonstrated that the training convergence speed was enhanced by 35%</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eastAsia" w:cs="Times New Roman" w:asciiTheme="minorAscii" w:hAnsiTheme="minorAscii"/>
          <w:color w:val="1D41D5"/>
          <w:sz w:val="22"/>
          <w:szCs w:val="22"/>
          <w:lang w:val="en-US" w:eastAsia="zh-CN"/>
        </w:rPr>
        <w:t>compared to traditional ReLU</w:t>
      </w:r>
      <w:r>
        <w:rPr>
          <w:rFonts w:hint="default" w:cs="Times New Roman" w:asciiTheme="minorAscii" w:hAnsiTheme="minorAscii"/>
          <w:color w:val="000000" w:themeColor="text1"/>
          <w:sz w:val="22"/>
          <w:szCs w:val="22"/>
          <w:lang w:val="en-US" w:eastAsia="zh-CN"/>
          <w14:textFill>
            <w14:solidFill>
              <w14:schemeClr w14:val="tx1"/>
            </w14:solidFill>
          </w14:textFill>
        </w:rPr>
        <w:t>.</w:t>
      </w:r>
    </w:p>
    <w:p w14:paraId="3E9BE927">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output layer employed the Softmax function to produce a probability distribution that aligned optimally with the cross-entropy loss function.</w:t>
      </w:r>
    </w:p>
    <w:p w14:paraId="0072E6B1">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3. Regularization and Optimization Strategies</w:t>
      </w:r>
    </w:p>
    <w:p w14:paraId="44219477">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L2 regularization coefficient,  λ = 0.001, helped prevent overfitting.</w:t>
      </w:r>
    </w:p>
    <w:p w14:paraId="236ADCBF">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AdamW optimizer was used with a weight decay coefficient of ω = 0.01.</w:t>
      </w:r>
    </w:p>
    <w:p w14:paraId="373E150E">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learning rate scheduling strategy began with an initial learning rate of 0.001, which decayed by a factor of 0.1 every 20 epochs.</w:t>
      </w:r>
    </w:p>
    <w:p w14:paraId="73A4936D">
      <w:pPr>
        <w:spacing w:line="360" w:lineRule="auto"/>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Third Metaphase Fusion Strategy</w:t>
      </w:r>
    </w:p>
    <w:p w14:paraId="7B962A00">
      <w:pPr>
        <w:spacing w:line="360" w:lineRule="auto"/>
        <w:rPr>
          <w:rFonts w:hint="default" w:asciiTheme="minorHAnsi" w:hAnsiTheme="minorHAnsi" w:eastAsiaTheme="minorEastAsia" w:cstheme="minorBidi"/>
          <w:b w:val="0"/>
          <w:bCs w:val="0"/>
          <w:color w:val="0000FF"/>
          <w:kern w:val="2"/>
          <w:sz w:val="22"/>
          <w:szCs w:val="22"/>
          <w:lang w:val="en-US" w:eastAsia="zh-CN" w:bidi="ar-SA"/>
        </w:rPr>
      </w:pPr>
      <w:r>
        <w:rPr>
          <w:rFonts w:hint="default" w:cs="Times New Roman" w:asciiTheme="minorAscii" w:hAnsiTheme="minorAscii"/>
          <w:color w:val="000000" w:themeColor="text1"/>
          <w:sz w:val="22"/>
          <w:szCs w:val="22"/>
          <w:lang w:val="en-US" w:eastAsia="zh-CN"/>
          <w14:textFill>
            <w14:solidFill>
              <w14:schemeClr w14:val="tx1"/>
            </w14:solidFill>
          </w14:textFill>
        </w:rPr>
        <w:t xml:space="preserve">The image features were extracted using the MRSPAN block, resulting in 512 dimensional features [16]. The ECG features were obtained through a dual-channel convolutional neural network (CNN), yielding 256-dimensional time–frequency features, whereas clinical features were extracted through a CNN, producing 128-dimensional features [17]. </w:t>
      </w:r>
      <w:r>
        <w:rPr>
          <w:rFonts w:hint="default" w:asciiTheme="minorHAnsi" w:hAnsiTheme="minorHAnsi" w:eastAsiaTheme="minorEastAsia" w:cstheme="minorBidi"/>
          <w:b w:val="0"/>
          <w:bCs w:val="0"/>
          <w:strike/>
          <w:dstrike w:val="0"/>
          <w:color w:val="1D41D5"/>
          <w:kern w:val="2"/>
          <w:sz w:val="22"/>
          <w:szCs w:val="22"/>
          <w:lang w:val="en-US" w:eastAsia="zh-CN" w:bidi="ar-SA"/>
        </w:rPr>
        <w:t>These 3 types of features were weighted and fused using a weighted approach. The weight assigned to image features was 0.5, clinical features received a weight of 0.3, and electrocardiogram features were weighted at 0.2. A 1 × 1 convolution kernel was employed to fuse the features, followed by layer normalization (LayerNorm), and the GELU activation function effectively mitigated the gradient vanishing problem caused by the dimensional discrepancies among the various modalities.</w:t>
      </w:r>
      <w:r>
        <w:rPr>
          <w:rFonts w:hint="eastAsia" w:cstheme="minorBidi"/>
          <w:b w:val="0"/>
          <w:bCs w:val="0"/>
          <w:color w:val="1D41D5"/>
          <w:kern w:val="2"/>
          <w:sz w:val="22"/>
          <w:szCs w:val="22"/>
          <w:lang w:val="en-US" w:eastAsia="zh-CN" w:bidi="ar-SA"/>
        </w:rPr>
        <w:t xml:space="preserve"> </w:t>
      </w:r>
      <w:r>
        <w:rPr>
          <w:rFonts w:hint="default" w:asciiTheme="minorHAnsi" w:hAnsiTheme="minorHAnsi" w:eastAsiaTheme="minorEastAsia" w:cstheme="minorBidi"/>
          <w:b w:val="0"/>
          <w:bCs w:val="0"/>
          <w:color w:val="1D41D5"/>
          <w:kern w:val="2"/>
          <w:sz w:val="22"/>
          <w:szCs w:val="22"/>
          <w:lang w:val="en-US" w:eastAsia="zh-CN" w:bidi="ar-SA"/>
        </w:rPr>
        <w:t>These 3 types of features were weighted and fused using a weighted approach. Initial prior weights (0.5 for imaging, 0.3 for clinical, and 0.2 for ECG) were assigned to guide the early stages of multimodal fusion. Rather than remaining static, these priors provide a structured starting point for our learnable attention mechanism. A 1 × 1 convolution kernel was employed to fuse the features, followed by layer normalization (LayerNorm), and the GELU activation function effectively mitigated the gradient vanishing problem caused by the dimensional discrepancies among the various modalities.</w:t>
      </w:r>
    </w:p>
    <w:p w14:paraId="37B5D06A">
      <w:pPr>
        <w:spacing w:line="360" w:lineRule="auto"/>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ECG Signal Processing Procedure</w:t>
      </w:r>
    </w:p>
    <w:p w14:paraId="23757F2B">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ECG features were extracted by combining wavelet transform and a dual-channel CNN. The db4 wavelet basis was used for the 3-level decomposition to obtain approximate components (low frequency, 0.5-40 Hz) and detail components (high frequency, 40-200 Hz), which correspond to the mechanical motion and electrical activity of the heart, respectively [17,36]. For the low-frequency channel, a 3-layer 3 × 1 convolution (with a step size of 1), followed by batch normalization and ReLU activation, was employed to extract ST-segment offset features. In the high-frequency channel, a 5-layer 1 × 3 convolution (with a step size of 2) was used, followed by Global Average Pooling, to capture QRS waveform distortion. Dynamic-weighted fusion was achieved through an attention gating mechanism:</w:t>
      </w:r>
    </w:p>
    <w:p w14:paraId="2017B352">
      <w:pPr>
        <w:numPr>
          <w:ilvl w:val="0"/>
          <w:numId w:val="0"/>
        </w:numPr>
        <w:spacing w:line="360" w:lineRule="auto"/>
        <w:ind w:left="105" w:leftChars="0" w:firstLine="838" w:firstLineChars="0"/>
        <w:rPr>
          <w:rFonts w:hint="default" w:eastAsia="宋体" w:cs="Times New Roman" w:asciiTheme="minorAscii" w:hAnsiTheme="minorAscii"/>
          <w:i w:val="0"/>
          <w:iCs w:val="0"/>
          <w:caps w:val="0"/>
          <w:color w:val="000000" w:themeColor="text1"/>
          <w:spacing w:val="0"/>
          <w:sz w:val="22"/>
          <w:szCs w:val="22"/>
          <w:shd w:val="clear" w:fill="FCFCFC"/>
          <w:vertAlign w:val="baseline"/>
          <w:lang w:eastAsia="zh-CN"/>
          <w14:textFill>
            <w14:solidFill>
              <w14:schemeClr w14:val="tx1"/>
            </w14:solidFill>
          </w14:textFill>
        </w:rPr>
      </w:pPr>
      <w:r>
        <w:rPr>
          <w:rFonts w:hint="default" w:eastAsia="宋体" w:cs="Times New Roman" w:asciiTheme="minorAscii" w:hAnsiTheme="minorAscii"/>
          <w:i w:val="0"/>
          <w:iCs w:val="0"/>
          <w:caps w:val="0"/>
          <w:color w:val="000000" w:themeColor="text1"/>
          <w:spacing w:val="0"/>
          <w:position w:val="-14"/>
          <w:sz w:val="22"/>
          <w:szCs w:val="22"/>
          <w:shd w:val="clear" w:fill="FCFCFC"/>
          <w:vertAlign w:val="baseline"/>
          <w:lang w:eastAsia="zh-CN"/>
          <w14:textFill>
            <w14:solidFill>
              <w14:schemeClr w14:val="tx1"/>
            </w14:solidFill>
          </w14:textFill>
        </w:rPr>
        <w:object>
          <v:shape id="_x0000_i1029" o:spt="75" type="#_x0000_t75" style="height:19pt;width:258.95pt;" o:ole="t" filled="f" o:preferrelative="t" stroked="f" coordsize="21600,21600">
            <v:path/>
            <v:fill on="f" focussize="0,0"/>
            <v:stroke on="f"/>
            <v:imagedata r:id="rId13" o:title=""/>
            <o:lock v:ext="edit" aspectratio="t"/>
            <w10:wrap type="none"/>
            <w10:anchorlock/>
          </v:shape>
          <o:OLEObject Type="Embed" ProgID="Equation.KSEE3" ShapeID="_x0000_i1029" DrawAspect="Content" ObjectID="_1468075729" r:id="rId12">
            <o:LockedField>false</o:LockedField>
          </o:OLEObject>
        </w:object>
      </w:r>
    </w:p>
    <w:p w14:paraId="72CE1040">
      <w:pPr>
        <w:spacing w:line="360" w:lineRule="auto"/>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Importance of Evaluating Clinical Parameters</w:t>
      </w:r>
    </w:p>
    <w:p w14:paraId="66096AD0">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Despite the fact that deep learning models are trained on extensive datasets with the aim of emulating human performance, the intricacies of their internal reasoning mechanisms often remain shrouded in mystery. We carried out an ablation study to elucidate the connections between the existing data and the diagnostic capabilities. The objective of this study was to determine the extent of information loss that occurs when input data, such as blood glucose levels, are deliberately withheld systematically. We employed the mutual information between the predicted labels and the ground truth labels as a means of assessing the amount of information embedded within the model’s predictions. This assessment was conducted twice for each patient in the test set. In the first instance, all input data were provided to the model. In the second instance, the same inputs were entered, with the exception of the specific input type that was the subject of our investigation. We calculated the relative reduction in mutual information and compared it to the scenario where the model had access to all available input data, so as to precisely quantify the degree of information loss when a particular input parameter is excluded.</w:t>
      </w:r>
    </w:p>
    <w:p w14:paraId="4C054897">
      <w:pPr>
        <w:spacing w:line="360" w:lineRule="auto"/>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Visualization of Attention</w:t>
      </w:r>
    </w:p>
    <w:p w14:paraId="0F387148">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 xml:space="preserve">The MRSPAN-block network has an inherent attention mechanism. This mechanism enables a straightforward extension that can be directly interpretable. Specifically, the attention score indicates which portions of the image are assigned a higher importance weight in the decision-making procedure. Building on this understanding, we used the Grad-CAM (Gradient-weighted Class Activation Mapping) technique described in a previous study [37] for visualization purposes. Instead of the attention rollout technique, Grad-CAM calculated gradients of the target class score with respect to the last convolutional layer's activations. </w:t>
      </w:r>
      <w:r>
        <w:rPr>
          <w:rFonts w:hint="default" w:cs="Times New Roman" w:asciiTheme="minorAscii" w:hAnsiTheme="minorAscii"/>
          <w:strike/>
          <w:dstrike w:val="0"/>
          <w:color w:val="1D41D5"/>
          <w:sz w:val="22"/>
          <w:szCs w:val="22"/>
          <w:lang w:val="en-US" w:eastAsia="zh-CN"/>
        </w:rPr>
        <w:t>Direct insights can be gained into the inner working of the model by visualizing the resulting heatmap obtained from Grad-CAM, thereby highlighting the regions of the input most influential for the model's decision-making process.</w:t>
      </w:r>
      <w:r>
        <w:rPr>
          <w:rFonts w:hint="default" w:cs="Times New Roman" w:asciiTheme="minorAscii" w:hAnsiTheme="minorAscii"/>
          <w:color w:val="1D41D5"/>
          <w:sz w:val="22"/>
          <w:szCs w:val="22"/>
          <w:lang w:val="en-US" w:eastAsia="zh-CN"/>
        </w:rPr>
        <w:t>Visualizing the resulting heatmap obtained from Grad-CAM provides direct insights into the inner workings of the model, highlighting the regions of the input most influential for its decision-making process.</w:t>
      </w:r>
    </w:p>
    <w:p w14:paraId="6F1C22BA">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Reference</w:t>
      </w:r>
    </w:p>
    <w:p w14:paraId="497267AC">
      <w:pPr>
        <w:numPr>
          <w:ilvl w:val="0"/>
          <w:numId w:val="2"/>
        </w:num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Zhou</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P, Xie</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X, Lin</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Z,</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Yan</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S. Towards Understanding Convergence and Generalization of AdamW. IEEE transactions on pattern analysis and machine intelligence</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2024;</w:t>
      </w:r>
      <w:r>
        <w:rPr>
          <w:rFonts w:hint="default" w:cs="Times New Roman" w:asciiTheme="minorAscii" w:hAnsiTheme="minorAscii"/>
          <w:color w:val="000000" w:themeColor="text1"/>
          <w:sz w:val="22"/>
          <w:szCs w:val="22"/>
          <w:lang w:val="en-US" w:eastAsia="zh-CN"/>
          <w14:textFill>
            <w14:solidFill>
              <w14:schemeClr w14:val="tx1"/>
            </w14:solidFill>
          </w14:textFill>
        </w:rPr>
        <w:t>46(9)</w:t>
      </w:r>
      <w:r>
        <w:rPr>
          <w:rFonts w:hint="eastAsia" w:cs="Times New Roman" w:asciiTheme="minorAscii" w:hAnsiTheme="minorAscii"/>
          <w:color w:val="000000" w:themeColor="text1"/>
          <w:sz w:val="22"/>
          <w:szCs w:val="22"/>
          <w:lang w:val="en-US" w:eastAsia="zh-CN"/>
          <w14:textFill>
            <w14:solidFill>
              <w14:schemeClr w14:val="tx1"/>
            </w14:solidFill>
          </w14:textFill>
        </w:rPr>
        <w:t>:</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6486–6493. </w:t>
      </w:r>
    </w:p>
    <w:p w14:paraId="673D28A7">
      <w:pPr>
        <w:numPr>
          <w:ilvl w:val="0"/>
          <w:numId w:val="2"/>
        </w:num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Wang</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C,Ma</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J,</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Wei</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G,</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Sun</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X.</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Analysis of Cardiac Arrhythmias Based on ResNet-ICBAM-2DCNN Dual-Channel Feature Fusion. Sensors (Basel, Switzerland)</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2025;</w:t>
      </w:r>
      <w:r>
        <w:rPr>
          <w:rFonts w:hint="default" w:cs="Times New Roman" w:asciiTheme="minorAscii" w:hAnsiTheme="minorAscii"/>
          <w:color w:val="000000" w:themeColor="text1"/>
          <w:sz w:val="22"/>
          <w:szCs w:val="22"/>
          <w:lang w:val="en-US" w:eastAsia="zh-CN"/>
          <w14:textFill>
            <w14:solidFill>
              <w14:schemeClr w14:val="tx1"/>
            </w14:solidFill>
          </w14:textFill>
        </w:rPr>
        <w:t>25(3)</w:t>
      </w:r>
      <w:r>
        <w:rPr>
          <w:rFonts w:hint="eastAsia" w:cs="Times New Roman" w:asciiTheme="minorAscii" w:hAnsiTheme="minorAscii"/>
          <w:color w:val="000000" w:themeColor="text1"/>
          <w:sz w:val="22"/>
          <w:szCs w:val="22"/>
          <w:lang w:val="en-US" w:eastAsia="zh-CN"/>
          <w14:textFill>
            <w14:solidFill>
              <w14:schemeClr w14:val="tx1"/>
            </w14:solidFill>
          </w14:textFill>
        </w:rPr>
        <w:t>:</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661. </w:t>
      </w:r>
    </w:p>
    <w:p w14:paraId="0BA62CA3">
      <w:pPr>
        <w:numPr>
          <w:ilvl w:val="0"/>
          <w:numId w:val="2"/>
        </w:numPr>
        <w:spacing w:line="360" w:lineRule="auto"/>
        <w:rPr>
          <w:rFonts w:hint="default" w:ascii="Times New Roman" w:hAnsi="Times New Roman" w:cs="Times New Roman"/>
          <w:color w:val="000000" w:themeColor="text1"/>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Selvaraju R, Cogswell M, Das</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A, </w:t>
      </w:r>
      <w:r>
        <w:rPr>
          <w:rFonts w:hint="eastAsia" w:cs="Times New Roman" w:asciiTheme="minorAscii" w:hAnsiTheme="minorAscii"/>
          <w:color w:val="000000" w:themeColor="text1"/>
          <w:sz w:val="22"/>
          <w:szCs w:val="22"/>
          <w:lang w:val="en-US" w:eastAsia="zh-CN"/>
          <w14:textFill>
            <w14:solidFill>
              <w14:schemeClr w14:val="tx1"/>
            </w14:solidFill>
          </w14:textFill>
        </w:rPr>
        <w:t>et al.</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Grad-CAM: Visual explanations from deep networks via gradient-based localization. In Proceedings of the IEEE International Conference on Computer Vision </w:t>
      </w:r>
      <w:r>
        <w:rPr>
          <w:rFonts w:hint="eastAsia" w:cs="Times New Roman" w:asciiTheme="minorAscii" w:hAnsiTheme="minorAscii"/>
          <w:color w:val="000000" w:themeColor="text1"/>
          <w:sz w:val="22"/>
          <w:szCs w:val="22"/>
          <w:lang w:val="en-US" w:eastAsia="zh-CN"/>
          <w14:textFill>
            <w14:solidFill>
              <w14:schemeClr w14:val="tx1"/>
            </w14:solidFill>
          </w14:textFill>
        </w:rPr>
        <w:t>2017;</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 618-626.</w:t>
      </w:r>
    </w:p>
    <w:p w14:paraId="4B4F4BD1">
      <w:pPr>
        <w:rPr>
          <w:rFonts w:hint="default" w:ascii="Times New Roman" w:hAnsi="Times New Roman" w:cs="Times New Roman"/>
          <w:color w:val="000000" w:themeColor="text1"/>
          <w:lang w:val="en-US" w:eastAsia="zh-CN"/>
          <w14:textFill>
            <w14:solidFill>
              <w14:schemeClr w14:val="tx1"/>
            </w14:solidFill>
          </w14:textFill>
        </w:rPr>
      </w:pPr>
    </w:p>
    <w:p w14:paraId="46DC4CD7">
      <w:pPr>
        <w:keepNext w:val="0"/>
        <w:keepLines w:val="0"/>
        <w:widowControl/>
        <w:suppressLineNumbers w:val="0"/>
        <w:jc w:val="left"/>
        <w:rPr>
          <w:rFonts w:hint="default" w:cs="Times New Roman" w:asciiTheme="minorAscii" w:hAnsiTheme="minorAscii"/>
          <w:b/>
          <w:bCs/>
          <w:color w:val="1D41D5"/>
          <w:sz w:val="22"/>
          <w:szCs w:val="22"/>
          <w:lang w:val="en-US" w:eastAsia="zh-CN"/>
        </w:rPr>
      </w:pPr>
      <w:r>
        <w:rPr>
          <w:rFonts w:hint="default" w:cs="Times New Roman" w:asciiTheme="minorAscii" w:hAnsiTheme="minorAscii"/>
          <w:b/>
          <w:bCs/>
          <w:color w:val="1D41D5"/>
          <w:sz w:val="22"/>
          <w:szCs w:val="22"/>
        </w:rPr>
        <w:t>Tables S</w:t>
      </w:r>
      <w:r>
        <w:rPr>
          <w:rFonts w:hint="default" w:cs="Times New Roman" w:asciiTheme="minorAscii" w:hAnsiTheme="minorAscii"/>
          <w:b/>
          <w:bCs/>
          <w:color w:val="1D41D5"/>
          <w:sz w:val="22"/>
          <w:szCs w:val="22"/>
          <w:lang w:val="en-US" w:eastAsia="zh-CN"/>
        </w:rPr>
        <w:t>1</w:t>
      </w:r>
      <w:r>
        <w:rPr>
          <w:rFonts w:hint="default" w:cs="Times New Roman" w:asciiTheme="minorAscii" w:hAnsiTheme="minorAscii"/>
          <w:b/>
          <w:bCs/>
          <w:strike/>
          <w:dstrike w:val="0"/>
          <w:color w:val="1D41D5"/>
          <w:sz w:val="22"/>
          <w:szCs w:val="22"/>
          <w:lang w:val="en-US" w:eastAsia="zh-CN"/>
        </w:rPr>
        <w:t>：</w:t>
      </w:r>
      <w:r>
        <w:rPr>
          <w:rFonts w:hint="eastAsia" w:cs="Times New Roman" w:asciiTheme="minorAscii" w:hAnsiTheme="minorAscii"/>
          <w:b/>
          <w:bCs/>
          <w:strike/>
          <w:dstrike w:val="0"/>
          <w:color w:val="1D41D5"/>
          <w:sz w:val="22"/>
          <w:szCs w:val="22"/>
          <w:lang w:val="en-US" w:eastAsia="zh-CN"/>
        </w:rPr>
        <w:t xml:space="preserve"> </w:t>
      </w:r>
      <w:r>
        <w:rPr>
          <w:rFonts w:hint="default" w:cs="Times New Roman" w:asciiTheme="minorAscii" w:hAnsiTheme="minorAscii"/>
          <w:b/>
          <w:bCs/>
          <w:color w:val="1D41D5"/>
          <w:sz w:val="22"/>
          <w:szCs w:val="22"/>
          <w:lang w:val="en-US" w:eastAsia="zh-CN"/>
        </w:rPr>
        <w:t>Basic information of the cases</w:t>
      </w:r>
    </w:p>
    <w:tbl>
      <w:tblPr>
        <w:tblStyle w:val="6"/>
        <w:tblW w:w="10094" w:type="dxa"/>
        <w:tblInd w:w="-7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908"/>
        <w:gridCol w:w="908"/>
        <w:gridCol w:w="908"/>
        <w:gridCol w:w="908"/>
        <w:gridCol w:w="908"/>
        <w:gridCol w:w="908"/>
        <w:gridCol w:w="908"/>
        <w:gridCol w:w="911"/>
      </w:tblGrid>
      <w:tr w14:paraId="32EB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vMerge w:val="restart"/>
          </w:tcPr>
          <w:p w14:paraId="1E19E69A">
            <w:pPr>
              <w:keepNext w:val="0"/>
              <w:keepLines w:val="0"/>
              <w:widowControl/>
              <w:suppressLineNumbers w:val="0"/>
              <w:jc w:val="cente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eastAsiaTheme="minorEastAsia"/>
                <w:color w:val="000000" w:themeColor="text1"/>
                <w:sz w:val="22"/>
                <w:szCs w:val="22"/>
                <w:vertAlign w:val="baseline"/>
                <w:lang w:val="en-US" w:eastAsia="zh-CN"/>
                <w14:textFill>
                  <w14:solidFill>
                    <w14:schemeClr w14:val="tx1"/>
                  </w14:solidFill>
                </w14:textFill>
              </w:rPr>
              <w:t xml:space="preserve">Pathologic </w:t>
            </w: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c</w:t>
            </w:r>
            <w:r>
              <w:rPr>
                <w:rFonts w:hint="default" w:cs="Times New Roman" w:asciiTheme="minorAscii" w:hAnsiTheme="minorAscii" w:eastAsiaTheme="minorEastAsia"/>
                <w:color w:val="000000" w:themeColor="text1"/>
                <w:sz w:val="22"/>
                <w:szCs w:val="22"/>
                <w:vertAlign w:val="baseline"/>
                <w:lang w:val="en-US" w:eastAsia="zh-CN"/>
                <w14:textFill>
                  <w14:solidFill>
                    <w14:schemeClr w14:val="tx1"/>
                  </w14:solidFill>
                </w14:textFill>
              </w:rPr>
              <w:t>ondition</w:t>
            </w:r>
          </w:p>
        </w:tc>
        <w:tc>
          <w:tcPr>
            <w:tcW w:w="3632" w:type="dxa"/>
            <w:gridSpan w:val="4"/>
            <w:shd w:val="clear" w:color="auto" w:fill="auto"/>
            <w:vAlign w:val="top"/>
          </w:tcPr>
          <w:p w14:paraId="35C7D1A7">
            <w:pPr>
              <w:jc w:val="cente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In</w:t>
            </w:r>
            <w:r>
              <w:rPr>
                <w:rFonts w:hint="default" w:cs="Times New Roman" w:asciiTheme="minorAscii" w:hAnsiTheme="minorAscii" w:eastAsiaTheme="minorEastAsia"/>
                <w:color w:val="000000" w:themeColor="text1"/>
                <w:sz w:val="22"/>
                <w:szCs w:val="22"/>
                <w:lang w:val="en-US" w:eastAsia="zh-CN"/>
                <w14:textFill>
                  <w14:solidFill>
                    <w14:schemeClr w14:val="tx1"/>
                  </w14:solidFill>
                </w14:textFill>
              </w:rPr>
              <w:t xml:space="preserve">ternal </w:t>
            </w:r>
            <w:r>
              <w:rPr>
                <w:rFonts w:hint="default" w:cs="Times New Roman" w:asciiTheme="minorAscii" w:hAnsiTheme="minorAscii"/>
                <w:color w:val="000000" w:themeColor="text1"/>
                <w:sz w:val="22"/>
                <w:szCs w:val="22"/>
                <w:lang w:val="en-US" w:eastAsia="zh-CN"/>
                <w14:textFill>
                  <w14:solidFill>
                    <w14:schemeClr w14:val="tx1"/>
                  </w14:solidFill>
                </w14:textFill>
              </w:rPr>
              <w:t>d</w:t>
            </w:r>
            <w:r>
              <w:rPr>
                <w:rFonts w:hint="default" w:cs="Times New Roman" w:asciiTheme="minorAscii" w:hAnsiTheme="minorAscii" w:eastAsiaTheme="minorEastAsia"/>
                <w:color w:val="000000" w:themeColor="text1"/>
                <w:sz w:val="22"/>
                <w:szCs w:val="22"/>
                <w:lang w:val="en-US" w:eastAsia="zh-CN"/>
                <w14:textFill>
                  <w14:solidFill>
                    <w14:schemeClr w14:val="tx1"/>
                  </w14:solidFill>
                </w14:textFill>
              </w:rPr>
              <w:t>ata</w:t>
            </w:r>
          </w:p>
        </w:tc>
        <w:tc>
          <w:tcPr>
            <w:tcW w:w="3635" w:type="dxa"/>
            <w:gridSpan w:val="4"/>
            <w:shd w:val="clear" w:color="auto" w:fill="auto"/>
            <w:vAlign w:val="top"/>
          </w:tcPr>
          <w:p w14:paraId="1DCB0246">
            <w:pPr>
              <w:jc w:val="cente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Ex</w:t>
            </w:r>
            <w:r>
              <w:rPr>
                <w:rFonts w:hint="default" w:cs="Times New Roman" w:asciiTheme="minorAscii" w:hAnsiTheme="minorAscii" w:eastAsiaTheme="minorEastAsia"/>
                <w:color w:val="000000" w:themeColor="text1"/>
                <w:sz w:val="22"/>
                <w:szCs w:val="22"/>
                <w:lang w:val="en-US" w:eastAsia="zh-CN"/>
                <w14:textFill>
                  <w14:solidFill>
                    <w14:schemeClr w14:val="tx1"/>
                  </w14:solidFill>
                </w14:textFill>
              </w:rPr>
              <w:t xml:space="preserve">ternal </w:t>
            </w:r>
            <w:r>
              <w:rPr>
                <w:rFonts w:hint="default" w:cs="Times New Roman" w:asciiTheme="minorAscii" w:hAnsiTheme="minorAscii"/>
                <w:color w:val="000000" w:themeColor="text1"/>
                <w:sz w:val="22"/>
                <w:szCs w:val="22"/>
                <w:lang w:val="en-US" w:eastAsia="zh-CN"/>
                <w14:textFill>
                  <w14:solidFill>
                    <w14:schemeClr w14:val="tx1"/>
                  </w14:solidFill>
                </w14:textFill>
              </w:rPr>
              <w:t>d</w:t>
            </w:r>
            <w:r>
              <w:rPr>
                <w:rFonts w:hint="default" w:cs="Times New Roman" w:asciiTheme="minorAscii" w:hAnsiTheme="minorAscii" w:eastAsiaTheme="minorEastAsia"/>
                <w:color w:val="000000" w:themeColor="text1"/>
                <w:sz w:val="22"/>
                <w:szCs w:val="22"/>
                <w:lang w:val="en-US" w:eastAsia="zh-CN"/>
                <w14:textFill>
                  <w14:solidFill>
                    <w14:schemeClr w14:val="tx1"/>
                  </w14:solidFill>
                </w14:textFill>
              </w:rPr>
              <w:t>ata</w:t>
            </w:r>
          </w:p>
        </w:tc>
      </w:tr>
      <w:tr w14:paraId="4A83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vMerge w:val="continue"/>
          </w:tcPr>
          <w:p w14:paraId="0B5256DE">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p>
        </w:tc>
        <w:tc>
          <w:tcPr>
            <w:tcW w:w="908" w:type="dxa"/>
            <w:shd w:val="clear" w:color="auto" w:fill="auto"/>
            <w:vAlign w:val="top"/>
          </w:tcPr>
          <w:p w14:paraId="00BA33A8">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Age (year</w:t>
            </w:r>
            <w:r>
              <w:rPr>
                <w:rFonts w:hint="eastAsia" w:cs="Times New Roman" w:asciiTheme="minorAscii" w:hAnsiTheme="minorAscii"/>
                <w:color w:val="1D41D5"/>
                <w:sz w:val="22"/>
                <w:szCs w:val="22"/>
                <w:vertAlign w:val="baseline"/>
                <w:lang w:val="en-US" w:eastAsia="zh-CN"/>
              </w:rPr>
              <w:t>s</w:t>
            </w: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 xml:space="preserve">) </w:t>
            </w:r>
          </w:p>
        </w:tc>
        <w:tc>
          <w:tcPr>
            <w:tcW w:w="908" w:type="dxa"/>
            <w:shd w:val="clear" w:color="auto" w:fill="auto"/>
            <w:vAlign w:val="top"/>
          </w:tcPr>
          <w:p w14:paraId="0E220A09">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M</w:t>
            </w:r>
            <w:r>
              <w:rPr>
                <w:rFonts w:hint="default" w:cs="Times New Roman" w:asciiTheme="minorAscii" w:hAnsiTheme="minorAscii"/>
                <w:strike/>
                <w:dstrike w:val="0"/>
                <w:color w:val="1D41D5"/>
                <w:sz w:val="22"/>
                <w:szCs w:val="22"/>
                <w:vertAlign w:val="baseline"/>
                <w:lang w:val="en-US" w:eastAsia="zh-CN"/>
              </w:rPr>
              <w:t>en</w:t>
            </w: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ale</w:t>
            </w:r>
          </w:p>
        </w:tc>
        <w:tc>
          <w:tcPr>
            <w:tcW w:w="908" w:type="dxa"/>
            <w:shd w:val="clear" w:color="auto" w:fill="auto"/>
            <w:vAlign w:val="top"/>
          </w:tcPr>
          <w:p w14:paraId="4D56EFAD">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strike/>
                <w:dstrike w:val="0"/>
                <w:color w:val="1D41D5"/>
                <w:sz w:val="22"/>
                <w:szCs w:val="22"/>
                <w:vertAlign w:val="baseline"/>
                <w:lang w:val="en-US" w:eastAsia="zh-CN"/>
              </w:rPr>
              <w:t>Wom</w:t>
            </w:r>
            <w:r>
              <w:rPr>
                <w:rFonts w:hint="eastAsia" w:cs="Times New Roman" w:asciiTheme="minorAscii" w:hAnsiTheme="minorAscii"/>
                <w:strike/>
                <w:dstrike w:val="0"/>
                <w:color w:val="1D41D5"/>
                <w:sz w:val="22"/>
                <w:szCs w:val="22"/>
                <w:vertAlign w:val="baseline"/>
                <w:lang w:val="en-US" w:eastAsia="zh-CN"/>
              </w:rPr>
              <w:t>e</w:t>
            </w:r>
            <w:r>
              <w:rPr>
                <w:rFonts w:hint="default" w:cs="Times New Roman" w:asciiTheme="minorAscii" w:hAnsiTheme="minorAscii"/>
                <w:strike/>
                <w:dstrike w:val="0"/>
                <w:color w:val="1D41D5"/>
                <w:sz w:val="22"/>
                <w:szCs w:val="22"/>
                <w:vertAlign w:val="baseline"/>
                <w:lang w:val="en-US" w:eastAsia="zh-CN"/>
              </w:rPr>
              <w:t>n</w:t>
            </w:r>
            <w:r>
              <w:rPr>
                <w:rFonts w:hint="default" w:cs="Times New Roman" w:asciiTheme="minorAscii" w:hAnsiTheme="minorAscii"/>
                <w:color w:val="1D41D5"/>
                <w:sz w:val="22"/>
                <w:szCs w:val="22"/>
                <w:vertAlign w:val="baseline"/>
                <w:lang w:val="en-US" w:eastAsia="zh-CN"/>
              </w:rPr>
              <w:t>Female</w:t>
            </w:r>
          </w:p>
        </w:tc>
        <w:tc>
          <w:tcPr>
            <w:tcW w:w="908" w:type="dxa"/>
            <w:shd w:val="clear" w:color="auto" w:fill="auto"/>
            <w:vAlign w:val="top"/>
          </w:tcPr>
          <w:p w14:paraId="51AA3087">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Number</w:t>
            </w:r>
          </w:p>
        </w:tc>
        <w:tc>
          <w:tcPr>
            <w:tcW w:w="908" w:type="dxa"/>
            <w:shd w:val="clear" w:color="auto" w:fill="auto"/>
            <w:vAlign w:val="top"/>
          </w:tcPr>
          <w:p w14:paraId="07D268C0">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Age (year</w:t>
            </w:r>
            <w:r>
              <w:rPr>
                <w:rFonts w:hint="eastAsia" w:cs="Times New Roman" w:asciiTheme="minorAscii" w:hAnsiTheme="minorAscii"/>
                <w:color w:val="1D41D5"/>
                <w:sz w:val="22"/>
                <w:szCs w:val="22"/>
                <w:vertAlign w:val="baseline"/>
                <w:lang w:val="en-US" w:eastAsia="zh-CN"/>
              </w:rPr>
              <w:t>s</w:t>
            </w: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 xml:space="preserve">) </w:t>
            </w:r>
          </w:p>
        </w:tc>
        <w:tc>
          <w:tcPr>
            <w:tcW w:w="908" w:type="dxa"/>
            <w:shd w:val="clear" w:color="auto" w:fill="auto"/>
            <w:vAlign w:val="top"/>
          </w:tcPr>
          <w:p w14:paraId="446E4F8D">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Male</w:t>
            </w:r>
          </w:p>
        </w:tc>
        <w:tc>
          <w:tcPr>
            <w:tcW w:w="908" w:type="dxa"/>
            <w:shd w:val="clear" w:color="auto" w:fill="auto"/>
            <w:vAlign w:val="top"/>
          </w:tcPr>
          <w:p w14:paraId="4C8F0C43">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Female</w:t>
            </w:r>
          </w:p>
        </w:tc>
        <w:tc>
          <w:tcPr>
            <w:tcW w:w="911" w:type="dxa"/>
            <w:shd w:val="clear" w:color="auto" w:fill="auto"/>
            <w:vAlign w:val="top"/>
          </w:tcPr>
          <w:p w14:paraId="78314AE4">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Number</w:t>
            </w:r>
          </w:p>
        </w:tc>
      </w:tr>
      <w:tr w14:paraId="7221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Pr>
          <w:p w14:paraId="3AF2B146">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Coronary atherosclerosis</w:t>
            </w:r>
          </w:p>
        </w:tc>
        <w:tc>
          <w:tcPr>
            <w:tcW w:w="908" w:type="dxa"/>
          </w:tcPr>
          <w:p w14:paraId="29C66BC7">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64.48</w:t>
            </w: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11.40</w:t>
            </w:r>
          </w:p>
        </w:tc>
        <w:tc>
          <w:tcPr>
            <w:tcW w:w="908" w:type="dxa"/>
          </w:tcPr>
          <w:p w14:paraId="7EC0FF33">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4</w:t>
            </w: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2</w:t>
            </w:r>
          </w:p>
        </w:tc>
        <w:tc>
          <w:tcPr>
            <w:tcW w:w="908" w:type="dxa"/>
          </w:tcPr>
          <w:p w14:paraId="178CF36D">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4</w:t>
            </w: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w:t>
            </w:r>
          </w:p>
        </w:tc>
        <w:tc>
          <w:tcPr>
            <w:tcW w:w="908" w:type="dxa"/>
          </w:tcPr>
          <w:p w14:paraId="2929DC5C">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84</w:t>
            </w:r>
          </w:p>
        </w:tc>
        <w:tc>
          <w:tcPr>
            <w:tcW w:w="908" w:type="dxa"/>
          </w:tcPr>
          <w:p w14:paraId="5A376484">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63.74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xml:space="preserve">± 10.43 </w:t>
            </w:r>
          </w:p>
        </w:tc>
        <w:tc>
          <w:tcPr>
            <w:tcW w:w="908" w:type="dxa"/>
          </w:tcPr>
          <w:p w14:paraId="1BB69808">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18</w:t>
            </w:r>
          </w:p>
        </w:tc>
        <w:tc>
          <w:tcPr>
            <w:tcW w:w="908" w:type="dxa"/>
          </w:tcPr>
          <w:p w14:paraId="1BA27934">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20</w:t>
            </w:r>
          </w:p>
        </w:tc>
        <w:tc>
          <w:tcPr>
            <w:tcW w:w="911" w:type="dxa"/>
          </w:tcPr>
          <w:p w14:paraId="6B68507E">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38</w:t>
            </w:r>
          </w:p>
        </w:tc>
      </w:tr>
      <w:tr w14:paraId="1FE8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Pr>
          <w:p w14:paraId="6FA155C6">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Obstructive coronary artery disease</w:t>
            </w:r>
          </w:p>
        </w:tc>
        <w:tc>
          <w:tcPr>
            <w:tcW w:w="908" w:type="dxa"/>
          </w:tcPr>
          <w:p w14:paraId="5AE98E31">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65.45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xml:space="preserve">± 10.90 </w:t>
            </w:r>
          </w:p>
        </w:tc>
        <w:tc>
          <w:tcPr>
            <w:tcW w:w="908" w:type="dxa"/>
          </w:tcPr>
          <w:p w14:paraId="3A26BD16">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92</w:t>
            </w:r>
          </w:p>
        </w:tc>
        <w:tc>
          <w:tcPr>
            <w:tcW w:w="908" w:type="dxa"/>
          </w:tcPr>
          <w:p w14:paraId="15B21F72">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69</w:t>
            </w:r>
          </w:p>
        </w:tc>
        <w:tc>
          <w:tcPr>
            <w:tcW w:w="908" w:type="dxa"/>
          </w:tcPr>
          <w:p w14:paraId="405D61DB">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w:t>
            </w: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61</w:t>
            </w:r>
          </w:p>
        </w:tc>
        <w:tc>
          <w:tcPr>
            <w:tcW w:w="908" w:type="dxa"/>
          </w:tcPr>
          <w:p w14:paraId="505CEC95">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69.55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8.99</w:t>
            </w:r>
          </w:p>
        </w:tc>
        <w:tc>
          <w:tcPr>
            <w:tcW w:w="908" w:type="dxa"/>
          </w:tcPr>
          <w:p w14:paraId="05D8111D">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31</w:t>
            </w:r>
          </w:p>
        </w:tc>
        <w:tc>
          <w:tcPr>
            <w:tcW w:w="908" w:type="dxa"/>
          </w:tcPr>
          <w:p w14:paraId="5D955ED2">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18</w:t>
            </w:r>
          </w:p>
        </w:tc>
        <w:tc>
          <w:tcPr>
            <w:tcW w:w="911" w:type="dxa"/>
          </w:tcPr>
          <w:p w14:paraId="2E0396A0">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49</w:t>
            </w:r>
          </w:p>
        </w:tc>
      </w:tr>
      <w:tr w14:paraId="6184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Pr>
          <w:p w14:paraId="0578F2A7">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H</w:t>
            </w:r>
            <w:r>
              <w:rPr>
                <w:rFonts w:hint="default" w:cs="Times New Roman" w:asciiTheme="minorAscii" w:hAnsiTheme="minorAscii" w:eastAsiaTheme="minorEastAsia"/>
                <w:color w:val="000000" w:themeColor="text1"/>
                <w:sz w:val="22"/>
                <w:szCs w:val="22"/>
                <w:vertAlign w:val="baseline"/>
                <w:lang w:val="en-US" w:eastAsia="zh-CN"/>
                <w14:textFill>
                  <w14:solidFill>
                    <w14:schemeClr w14:val="tx1"/>
                  </w14:solidFill>
                </w14:textFill>
              </w:rPr>
              <w:t>eart failure</w:t>
            </w:r>
          </w:p>
        </w:tc>
        <w:tc>
          <w:tcPr>
            <w:tcW w:w="908" w:type="dxa"/>
          </w:tcPr>
          <w:p w14:paraId="501ED6D2">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68.13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14.21</w:t>
            </w:r>
          </w:p>
        </w:tc>
        <w:tc>
          <w:tcPr>
            <w:tcW w:w="908" w:type="dxa"/>
          </w:tcPr>
          <w:p w14:paraId="5B868E59">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36</w:t>
            </w:r>
          </w:p>
        </w:tc>
        <w:tc>
          <w:tcPr>
            <w:tcW w:w="908" w:type="dxa"/>
          </w:tcPr>
          <w:p w14:paraId="54CAC24A">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24</w:t>
            </w:r>
          </w:p>
        </w:tc>
        <w:tc>
          <w:tcPr>
            <w:tcW w:w="908" w:type="dxa"/>
          </w:tcPr>
          <w:p w14:paraId="6EBB3D73">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60</w:t>
            </w:r>
          </w:p>
        </w:tc>
        <w:tc>
          <w:tcPr>
            <w:tcW w:w="908" w:type="dxa"/>
          </w:tcPr>
          <w:p w14:paraId="66E229E6">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65.91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6.91</w:t>
            </w:r>
          </w:p>
        </w:tc>
        <w:tc>
          <w:tcPr>
            <w:tcW w:w="908" w:type="dxa"/>
          </w:tcPr>
          <w:p w14:paraId="5866320E">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12</w:t>
            </w:r>
          </w:p>
        </w:tc>
        <w:tc>
          <w:tcPr>
            <w:tcW w:w="908" w:type="dxa"/>
          </w:tcPr>
          <w:p w14:paraId="517B1ED9">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11</w:t>
            </w:r>
          </w:p>
        </w:tc>
        <w:tc>
          <w:tcPr>
            <w:tcW w:w="911" w:type="dxa"/>
          </w:tcPr>
          <w:p w14:paraId="10851CA8">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23</w:t>
            </w:r>
          </w:p>
        </w:tc>
      </w:tr>
      <w:tr w14:paraId="1F3C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Pr>
          <w:p w14:paraId="06AB2921">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Cardiac arrhythmia</w:t>
            </w:r>
          </w:p>
        </w:tc>
        <w:tc>
          <w:tcPr>
            <w:tcW w:w="908" w:type="dxa"/>
          </w:tcPr>
          <w:p w14:paraId="7A1E1EB7">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60.84 ± 13.98</w:t>
            </w:r>
          </w:p>
        </w:tc>
        <w:tc>
          <w:tcPr>
            <w:tcW w:w="908" w:type="dxa"/>
          </w:tcPr>
          <w:p w14:paraId="21B8CA0F">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47</w:t>
            </w:r>
          </w:p>
        </w:tc>
        <w:tc>
          <w:tcPr>
            <w:tcW w:w="908" w:type="dxa"/>
          </w:tcPr>
          <w:p w14:paraId="005A8242">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55</w:t>
            </w:r>
          </w:p>
        </w:tc>
        <w:tc>
          <w:tcPr>
            <w:tcW w:w="908" w:type="dxa"/>
          </w:tcPr>
          <w:p w14:paraId="6BC8A1F4">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w:t>
            </w: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02</w:t>
            </w:r>
          </w:p>
        </w:tc>
        <w:tc>
          <w:tcPr>
            <w:tcW w:w="908" w:type="dxa"/>
          </w:tcPr>
          <w:p w14:paraId="4D0547FA">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60.41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xml:space="preserve">± 10.77 </w:t>
            </w:r>
          </w:p>
        </w:tc>
        <w:tc>
          <w:tcPr>
            <w:tcW w:w="908" w:type="dxa"/>
          </w:tcPr>
          <w:p w14:paraId="1225EBE0">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14</w:t>
            </w:r>
          </w:p>
        </w:tc>
        <w:tc>
          <w:tcPr>
            <w:tcW w:w="908" w:type="dxa"/>
          </w:tcPr>
          <w:p w14:paraId="474EF1FD">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44</w:t>
            </w:r>
          </w:p>
        </w:tc>
        <w:tc>
          <w:tcPr>
            <w:tcW w:w="911" w:type="dxa"/>
          </w:tcPr>
          <w:p w14:paraId="3A4009F8">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58</w:t>
            </w:r>
          </w:p>
        </w:tc>
      </w:tr>
      <w:tr w14:paraId="66ED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Pr>
          <w:p w14:paraId="46D3A8FF">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Myocardial ischemia</w:t>
            </w:r>
          </w:p>
        </w:tc>
        <w:tc>
          <w:tcPr>
            <w:tcW w:w="908" w:type="dxa"/>
          </w:tcPr>
          <w:p w14:paraId="30AFC867">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65.62 ± 12.87</w:t>
            </w:r>
          </w:p>
        </w:tc>
        <w:tc>
          <w:tcPr>
            <w:tcW w:w="908" w:type="dxa"/>
          </w:tcPr>
          <w:p w14:paraId="0D71CA95">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24</w:t>
            </w:r>
          </w:p>
        </w:tc>
        <w:tc>
          <w:tcPr>
            <w:tcW w:w="908" w:type="dxa"/>
          </w:tcPr>
          <w:p w14:paraId="3465114C">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29</w:t>
            </w:r>
          </w:p>
        </w:tc>
        <w:tc>
          <w:tcPr>
            <w:tcW w:w="908" w:type="dxa"/>
          </w:tcPr>
          <w:p w14:paraId="400E6BB3">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53</w:t>
            </w:r>
          </w:p>
        </w:tc>
        <w:tc>
          <w:tcPr>
            <w:tcW w:w="908" w:type="dxa"/>
          </w:tcPr>
          <w:p w14:paraId="5382DA1D">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 67.65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10.18</w:t>
            </w:r>
          </w:p>
        </w:tc>
        <w:tc>
          <w:tcPr>
            <w:tcW w:w="908" w:type="dxa"/>
          </w:tcPr>
          <w:p w14:paraId="0D8E3115">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23</w:t>
            </w:r>
          </w:p>
        </w:tc>
        <w:tc>
          <w:tcPr>
            <w:tcW w:w="908" w:type="dxa"/>
          </w:tcPr>
          <w:p w14:paraId="03C29504">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26</w:t>
            </w:r>
          </w:p>
        </w:tc>
        <w:tc>
          <w:tcPr>
            <w:tcW w:w="911" w:type="dxa"/>
          </w:tcPr>
          <w:p w14:paraId="2F45DAF7">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49</w:t>
            </w:r>
          </w:p>
        </w:tc>
      </w:tr>
    </w:tbl>
    <w:p w14:paraId="2C6D4DF6">
      <w:pPr>
        <w:keepNext w:val="0"/>
        <w:keepLines w:val="0"/>
        <w:widowControl/>
        <w:suppressLineNumbers w:val="0"/>
        <w:jc w:val="left"/>
        <w:rPr>
          <w:rFonts w:hint="default" w:cs="Times New Roman" w:asciiTheme="minorAscii" w:hAnsiTheme="minorAscii"/>
          <w:color w:val="1D41D5"/>
          <w:sz w:val="22"/>
          <w:szCs w:val="22"/>
          <w:vertAlign w:val="baseline"/>
          <w:lang w:val="en-US" w:eastAsia="zh-CN"/>
        </w:rPr>
        <w:sectPr>
          <w:pgSz w:w="11906" w:h="16838"/>
          <w:pgMar w:top="1440" w:right="1800" w:bottom="1440" w:left="1800" w:header="851" w:footer="992" w:gutter="0"/>
          <w:cols w:space="425" w:num="1"/>
          <w:docGrid w:type="lines" w:linePitch="312" w:charSpace="0"/>
        </w:sectPr>
      </w:pPr>
      <w:r>
        <w:rPr>
          <w:rFonts w:hint="default" w:cs="Times New Roman" w:asciiTheme="minorAscii" w:hAnsiTheme="minorAscii"/>
          <w:color w:val="1D41D5"/>
          <w:sz w:val="22"/>
          <w:szCs w:val="22"/>
          <w:vertAlign w:val="baseline"/>
          <w:lang w:val="en-US" w:eastAsia="zh-CN"/>
        </w:rPr>
        <w:t>Data are presented as mean ± SD or n.</w:t>
      </w:r>
    </w:p>
    <w:p w14:paraId="063694EE">
      <w:pPr>
        <w:keepNext w:val="0"/>
        <w:keepLines w:val="0"/>
        <w:widowControl/>
        <w:suppressLineNumbers w:val="0"/>
        <w:jc w:val="left"/>
        <w:rPr>
          <w:rFonts w:hint="default" w:eastAsia="宋体" w:cs="Times New Roman" w:asciiTheme="minorAscii" w:hAnsiTheme="minorAscii"/>
          <w:b/>
          <w:bCs/>
          <w:color w:val="1D41D5"/>
          <w:kern w:val="0"/>
          <w:sz w:val="22"/>
          <w:szCs w:val="22"/>
          <w:lang w:val="en-US" w:eastAsia="zh-CN" w:bidi="ar"/>
        </w:rPr>
      </w:pPr>
      <w:r>
        <w:rPr>
          <w:rFonts w:hint="default" w:eastAsia="宋体" w:cs="Times New Roman" w:asciiTheme="minorAscii" w:hAnsiTheme="minorAscii"/>
          <w:b/>
          <w:bCs/>
          <w:color w:val="1D41D5"/>
          <w:kern w:val="0"/>
          <w:sz w:val="22"/>
          <w:szCs w:val="22"/>
          <w:lang w:val="en-US" w:eastAsia="zh-CN" w:bidi="ar"/>
        </w:rPr>
        <w:t>Table S2</w:t>
      </w:r>
      <w:r>
        <w:rPr>
          <w:rFonts w:hint="default" w:eastAsia="宋体" w:cs="Times New Roman" w:asciiTheme="minorAscii" w:hAnsiTheme="minorAscii"/>
          <w:b/>
          <w:bCs/>
          <w:strike/>
          <w:dstrike w:val="0"/>
          <w:color w:val="1D41D5"/>
          <w:kern w:val="0"/>
          <w:sz w:val="22"/>
          <w:szCs w:val="22"/>
          <w:lang w:val="en-US" w:eastAsia="zh-CN" w:bidi="ar"/>
        </w:rPr>
        <w:t xml:space="preserve">: </w:t>
      </w:r>
      <w:r>
        <w:rPr>
          <w:rFonts w:hint="eastAsia" w:eastAsia="宋体" w:cs="Times New Roman" w:asciiTheme="minorAscii" w:hAnsiTheme="minorAscii"/>
          <w:b/>
          <w:bCs/>
          <w:strike/>
          <w:dstrike w:val="0"/>
          <w:color w:val="1D41D5"/>
          <w:kern w:val="0"/>
          <w:sz w:val="22"/>
          <w:szCs w:val="22"/>
          <w:lang w:val="en-US" w:eastAsia="zh-CN" w:bidi="ar"/>
        </w:rPr>
        <w:t xml:space="preserve"> </w:t>
      </w:r>
      <w:r>
        <w:rPr>
          <w:rFonts w:hint="default" w:eastAsia="宋体" w:cs="Times New Roman" w:asciiTheme="minorAscii" w:hAnsiTheme="minorAscii"/>
          <w:b/>
          <w:bCs/>
          <w:color w:val="1D41D5"/>
          <w:kern w:val="0"/>
          <w:sz w:val="22"/>
          <w:szCs w:val="22"/>
          <w:lang w:val="en-US" w:eastAsia="zh-CN" w:bidi="ar"/>
        </w:rPr>
        <w:t xml:space="preserve">Hyperparameters </w:t>
      </w:r>
      <w:r>
        <w:rPr>
          <w:rFonts w:hint="eastAsia" w:eastAsia="宋体" w:cs="Times New Roman" w:asciiTheme="minorAscii" w:hAnsiTheme="minorAscii"/>
          <w:b/>
          <w:bCs/>
          <w:color w:val="1D41D5"/>
          <w:kern w:val="0"/>
          <w:sz w:val="22"/>
          <w:szCs w:val="22"/>
          <w:lang w:val="en-US" w:eastAsia="zh-CN" w:bidi="ar"/>
        </w:rPr>
        <w:t>u</w:t>
      </w:r>
      <w:r>
        <w:rPr>
          <w:rFonts w:hint="default" w:eastAsia="宋体" w:cs="Times New Roman" w:asciiTheme="minorAscii" w:hAnsiTheme="minorAscii"/>
          <w:b/>
          <w:bCs/>
          <w:color w:val="1D41D5"/>
          <w:kern w:val="0"/>
          <w:sz w:val="22"/>
          <w:szCs w:val="22"/>
          <w:lang w:val="en-US" w:eastAsia="zh-CN" w:bidi="ar"/>
        </w:rPr>
        <w:t xml:space="preserve">sed to train </w:t>
      </w:r>
      <w:r>
        <w:rPr>
          <w:rFonts w:hint="eastAsia" w:eastAsia="宋体" w:cs="Times New Roman" w:asciiTheme="minorAscii" w:hAnsiTheme="minorAscii"/>
          <w:b/>
          <w:bCs/>
          <w:color w:val="1D41D5"/>
          <w:kern w:val="0"/>
          <w:sz w:val="22"/>
          <w:szCs w:val="22"/>
          <w:lang w:val="en-US" w:eastAsia="zh-CN" w:bidi="ar"/>
        </w:rPr>
        <w:t>o</w:t>
      </w:r>
      <w:r>
        <w:rPr>
          <w:rFonts w:hint="default" w:eastAsia="宋体" w:cs="Times New Roman" w:asciiTheme="minorAscii" w:hAnsiTheme="minorAscii"/>
          <w:b/>
          <w:bCs/>
          <w:color w:val="1D41D5"/>
          <w:kern w:val="0"/>
          <w:sz w:val="22"/>
          <w:szCs w:val="22"/>
          <w:lang w:val="en-US" w:eastAsia="zh-CN" w:bidi="ar"/>
        </w:rPr>
        <w:t xml:space="preserve">ur </w:t>
      </w:r>
      <w:r>
        <w:rPr>
          <w:rFonts w:hint="eastAsia" w:eastAsia="宋体" w:cs="Times New Roman" w:asciiTheme="minorAscii" w:hAnsiTheme="minorAscii"/>
          <w:b/>
          <w:bCs/>
          <w:color w:val="1D41D5"/>
          <w:kern w:val="0"/>
          <w:sz w:val="22"/>
          <w:szCs w:val="22"/>
          <w:lang w:val="en-US" w:eastAsia="zh-CN" w:bidi="ar"/>
        </w:rPr>
        <w:t>m</w:t>
      </w:r>
      <w:r>
        <w:rPr>
          <w:rFonts w:hint="default" w:eastAsia="宋体" w:cs="Times New Roman" w:asciiTheme="minorAscii" w:hAnsiTheme="minorAscii"/>
          <w:b/>
          <w:bCs/>
          <w:color w:val="1D41D5"/>
          <w:kern w:val="0"/>
          <w:sz w:val="22"/>
          <w:szCs w:val="22"/>
          <w:lang w:val="en-US" w:eastAsia="zh-CN" w:bidi="ar"/>
        </w:rPr>
        <w:t>odel</w:t>
      </w:r>
    </w:p>
    <w:tbl>
      <w:tblPr>
        <w:tblStyle w:val="6"/>
        <w:tblW w:w="9354" w:type="dxa"/>
        <w:tblInd w:w="-4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3"/>
        <w:gridCol w:w="5631"/>
      </w:tblGrid>
      <w:tr w14:paraId="5941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6A2BA19C">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Batch size</w:t>
            </w:r>
          </w:p>
        </w:tc>
        <w:tc>
          <w:tcPr>
            <w:tcW w:w="5631" w:type="dxa"/>
          </w:tcPr>
          <w:p w14:paraId="23118677">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32</w:t>
            </w:r>
          </w:p>
        </w:tc>
      </w:tr>
      <w:tr w14:paraId="5A83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72032955">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Convolution kernel size</w:t>
            </w:r>
          </w:p>
        </w:tc>
        <w:tc>
          <w:tcPr>
            <w:tcW w:w="5631" w:type="dxa"/>
          </w:tcPr>
          <w:p w14:paraId="657625A9">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3×3, 5×5, 7×7 (Multiscale feature extraction layer of the MRSPAN block)</w:t>
            </w:r>
          </w:p>
        </w:tc>
      </w:tr>
      <w:tr w14:paraId="5069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5CEDB9D7">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The residual pyramid structure</w:t>
            </w:r>
          </w:p>
        </w:tc>
        <w:tc>
          <w:tcPr>
            <w:tcW w:w="5631" w:type="dxa"/>
          </w:tcPr>
          <w:p w14:paraId="22BF0DC9">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Number of channels was 64→128→256→512</w:t>
            </w:r>
          </w:p>
        </w:tc>
      </w:tr>
      <w:tr w14:paraId="716F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6940CC1C">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Regularization of regularization</w:t>
            </w:r>
          </w:p>
        </w:tc>
        <w:tc>
          <w:tcPr>
            <w:tcW w:w="5631" w:type="dxa"/>
          </w:tcPr>
          <w:p w14:paraId="62B8C0B2">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 xml:space="preserve">L2 regularization coefficient </w:t>
            </w:r>
            <w:r>
              <w:rPr>
                <w:rFonts w:hint="default" w:eastAsia="宋体" w:cs="Times New Roman" w:asciiTheme="minorAscii" w:hAnsiTheme="minorAscii"/>
                <w:i/>
                <w:color w:val="000000" w:themeColor="text1"/>
                <w:kern w:val="0"/>
                <w:sz w:val="22"/>
                <w:szCs w:val="22"/>
                <w:lang w:bidi="ar"/>
                <w14:textFill>
                  <w14:solidFill>
                    <w14:schemeClr w14:val="tx1"/>
                  </w14:solidFill>
                </w14:textFill>
              </w:rPr>
              <w:t xml:space="preserve">λ </w:t>
            </w: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 0.001</w:t>
            </w:r>
          </w:p>
        </w:tc>
      </w:tr>
      <w:tr w14:paraId="061E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3F283246">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Optimizer</w:t>
            </w:r>
          </w:p>
        </w:tc>
        <w:tc>
          <w:tcPr>
            <w:tcW w:w="5631" w:type="dxa"/>
          </w:tcPr>
          <w:p w14:paraId="4AC0FF19">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AdamW, weight attenuation coefficient = 0.01</w:t>
            </w:r>
          </w:p>
        </w:tc>
      </w:tr>
      <w:tr w14:paraId="262E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6B49455C">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Learning rate scheduling</w:t>
            </w:r>
          </w:p>
        </w:tc>
        <w:tc>
          <w:tcPr>
            <w:tcW w:w="5631" w:type="dxa"/>
          </w:tcPr>
          <w:p w14:paraId="4D08D88B">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The Initial learning rate was 0.001, with a decay of 0.1 times every 20 epochs</w:t>
            </w:r>
          </w:p>
        </w:tc>
      </w:tr>
      <w:tr w14:paraId="474D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70CA0322">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CNN convolutional layer (low frequency)</w:t>
            </w:r>
          </w:p>
        </w:tc>
        <w:tc>
          <w:tcPr>
            <w:tcW w:w="5631" w:type="dxa"/>
          </w:tcPr>
          <w:p w14:paraId="4095DD3C">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3 layers 3×1 convolution (step size 1) + BatchNorm + ReLU</w:t>
            </w:r>
          </w:p>
        </w:tc>
      </w:tr>
      <w:tr w14:paraId="3C30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76CE47D6">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CNN convolutional layer (high frequency)</w:t>
            </w:r>
          </w:p>
        </w:tc>
        <w:tc>
          <w:tcPr>
            <w:tcW w:w="5631" w:type="dxa"/>
          </w:tcPr>
          <w:p w14:paraId="7DC5EF61">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5 layers of 1×3 convolutions (step size 2) + GlobalAvgPool</w:t>
            </w:r>
          </w:p>
        </w:tc>
      </w:tr>
    </w:tbl>
    <w:p w14:paraId="5D489482">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Note</w:t>
      </w:r>
      <w:r>
        <w:rPr>
          <w:rFonts w:hint="default" w:eastAsia="宋体" w:cs="Times New Roman" w:asciiTheme="minorAscii" w:hAnsiTheme="minorAscii"/>
          <w:strike/>
          <w:dstrike w:val="0"/>
          <w:color w:val="1D41D5"/>
          <w:kern w:val="0"/>
          <w:sz w:val="22"/>
          <w:szCs w:val="22"/>
          <w:lang w:val="en-US" w:eastAsia="zh-CN" w:bidi="ar"/>
        </w:rPr>
        <w:t>.—</w:t>
      </w:r>
      <w:r>
        <w:rPr>
          <w:rFonts w:hint="eastAsia" w:eastAsia="宋体" w:cs="Times New Roman" w:asciiTheme="minorAscii" w:hAnsiTheme="minorAscii"/>
          <w:color w:val="1D41D5"/>
          <w:kern w:val="0"/>
          <w:sz w:val="22"/>
          <w:szCs w:val="22"/>
          <w:lang w:val="en-US" w:eastAsia="zh-CN" w:bidi="ar"/>
        </w:rPr>
        <w:t xml:space="preserve">: </w:t>
      </w: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CNN = Convolutional neural network;</w:t>
      </w:r>
      <w:r>
        <w:rPr>
          <w:rFonts w:hint="eastAsia" w:eastAsia="宋体" w:cs="Times New Roman" w:asciiTheme="minorAscii" w:hAnsiTheme="minorAscii"/>
          <w:color w:val="000000" w:themeColor="text1"/>
          <w:kern w:val="0"/>
          <w:sz w:val="22"/>
          <w:szCs w:val="22"/>
          <w:lang w:val="en-US" w:eastAsia="zh-CN" w:bidi="ar"/>
          <w14:textFill>
            <w14:solidFill>
              <w14:schemeClr w14:val="tx1"/>
            </w14:solidFill>
          </w14:textFill>
        </w:rPr>
        <w:t xml:space="preserve"> MRSPAN</w:t>
      </w:r>
      <w:r>
        <w:rPr>
          <w:rFonts w:hint="eastAsia" w:eastAsia="宋体" w:cs="Times New Roman" w:asciiTheme="minorAscii" w:hAnsiTheme="minorAscii"/>
          <w:strike/>
          <w:dstrike w:val="0"/>
          <w:color w:val="1D41D5"/>
          <w:kern w:val="0"/>
          <w:sz w:val="22"/>
          <w:szCs w:val="22"/>
          <w:lang w:val="en-US" w:eastAsia="zh-CN" w:bidi="ar"/>
        </w:rPr>
        <w:t>,</w:t>
      </w:r>
      <w:r>
        <w:rPr>
          <w:rFonts w:hint="eastAsia" w:eastAsia="宋体" w:cs="Times New Roman" w:asciiTheme="minorAscii" w:hAnsiTheme="minorAscii"/>
          <w:color w:val="1D41D5"/>
          <w:kern w:val="0"/>
          <w:sz w:val="22"/>
          <w:szCs w:val="22"/>
          <w:lang w:val="en-US" w:eastAsia="zh-CN" w:bidi="ar"/>
        </w:rPr>
        <w:t xml:space="preserve"> = </w:t>
      </w: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multiscale residual pyramid attention network</w:t>
      </w:r>
    </w:p>
    <w:p w14:paraId="1222B154">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1C9B75CE">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Table S3: Comparison table of key indicators for multimodal diagnosis and senior physician diagnosisBoth s</w:t>
      </w:r>
      <w:r>
        <w:rPr>
          <w:rFonts w:hint="default" w:cs="Times New Roman" w:asciiTheme="minorAscii" w:hAnsiTheme="minorAscii"/>
          <w:b w:val="0"/>
          <w:bCs w:val="0"/>
          <w:color w:val="1D41D5"/>
          <w:sz w:val="22"/>
          <w:szCs w:val="22"/>
          <w:lang w:val="en-US" w:eastAsia="zh-CN"/>
        </w:rPr>
        <w:t xml:space="preserve"> </w:t>
      </w:r>
      <w:r>
        <w:rPr>
          <w:rFonts w:hint="default" w:cs="Times New Roman" w:asciiTheme="minorAscii" w:hAnsiTheme="minorAscii"/>
          <w:b w:val="0"/>
          <w:bCs w:val="0"/>
          <w:color w:val="1D41D5"/>
          <w:sz w:val="21"/>
          <w:szCs w:val="21"/>
          <w:lang w:val="en-US" w:eastAsia="zh-CN"/>
        </w:rPr>
        <w:t>(enior physicians had access to all three modalities: CCTA images, 12-lead ECG, and comprehensive clinical/laboratory data.)</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3"/>
        <w:gridCol w:w="2092"/>
        <w:gridCol w:w="2131"/>
      </w:tblGrid>
      <w:tr w14:paraId="7D6B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5A7E1EC6">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I</w:t>
            </w:r>
            <w:r>
              <w:rPr>
                <w:rFonts w:hint="eastAsia"/>
                <w:color w:val="000000" w:themeColor="text1"/>
                <w14:textFill>
                  <w14:solidFill>
                    <w14:schemeClr w14:val="tx1"/>
                  </w14:solidFill>
                </w14:textFill>
              </w:rPr>
              <w:t>ndicators</w:t>
            </w:r>
          </w:p>
        </w:tc>
        <w:tc>
          <w:tcPr>
            <w:tcW w:w="2092" w:type="dxa"/>
          </w:tcPr>
          <w:p w14:paraId="75B75B9B">
            <w:pPr>
              <w:rPr>
                <w:rFonts w:hint="eastAsia"/>
                <w:color w:val="000000" w:themeColor="text1"/>
                <w14:textFill>
                  <w14:solidFill>
                    <w14:schemeClr w14:val="tx1"/>
                  </w14:solidFill>
                </w14:textFill>
              </w:rPr>
            </w:pPr>
            <w:r>
              <w:rPr>
                <w:color w:val="000000" w:themeColor="text1"/>
                <w14:textFill>
                  <w14:solidFill>
                    <w14:schemeClr w14:val="tx1"/>
                  </w14:solidFill>
                </w14:textFill>
              </w:rPr>
              <w:t>Multi-modal</w:t>
            </w:r>
          </w:p>
        </w:tc>
        <w:tc>
          <w:tcPr>
            <w:tcW w:w="2131" w:type="dxa"/>
          </w:tcPr>
          <w:p w14:paraId="4E4EDF20">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S</w:t>
            </w:r>
            <w:r>
              <w:rPr>
                <w:strike/>
                <w:dstrike w:val="0"/>
                <w:color w:val="1D41D5"/>
              </w:rPr>
              <w:t>c</w:t>
            </w:r>
            <w:r>
              <w:rPr>
                <w:color w:val="000000" w:themeColor="text1"/>
                <w14:textFill>
                  <w14:solidFill>
                    <w14:schemeClr w14:val="tx1"/>
                  </w14:solidFill>
                </w14:textFill>
              </w:rPr>
              <w:t>enior Physican</w:t>
            </w:r>
          </w:p>
        </w:tc>
      </w:tr>
      <w:tr w14:paraId="0E06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1153AC53">
            <w:pPr>
              <w:rPr>
                <w:color w:val="000000" w:themeColor="text1"/>
                <w14:textFill>
                  <w14:solidFill>
                    <w14:schemeClr w14:val="tx1"/>
                  </w14:solidFill>
                </w14:textFill>
              </w:rPr>
            </w:pPr>
            <w:r>
              <w:rPr>
                <w:rFonts w:hint="eastAsia"/>
                <w:color w:val="000000" w:themeColor="text1"/>
                <w14:textFill>
                  <w14:solidFill>
                    <w14:schemeClr w14:val="tx1"/>
                  </w14:solidFill>
                </w14:textFill>
              </w:rPr>
              <w:t>Average diagnostic processing time (seconds)</w:t>
            </w:r>
          </w:p>
        </w:tc>
        <w:tc>
          <w:tcPr>
            <w:tcW w:w="2092" w:type="dxa"/>
          </w:tcPr>
          <w:p w14:paraId="648D5DA3">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6</w:t>
            </w:r>
          </w:p>
        </w:tc>
        <w:tc>
          <w:tcPr>
            <w:tcW w:w="2131" w:type="dxa"/>
          </w:tcPr>
          <w:p w14:paraId="78D8271A">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80</w:t>
            </w:r>
          </w:p>
        </w:tc>
      </w:tr>
      <w:tr w14:paraId="2CE81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45F14D78">
            <w:pPr>
              <w:rPr>
                <w:rFonts w:hint="eastAsia" w:eastAsiaTheme="minor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 xml:space="preserve">Diagnostic </w:t>
            </w:r>
            <w:r>
              <w:rPr>
                <w:rFonts w:hint="eastAsia"/>
                <w:color w:val="000000" w:themeColor="text1"/>
                <w:lang w:val="en-US" w:eastAsia="zh-CN"/>
                <w14:textFill>
                  <w14:solidFill>
                    <w14:schemeClr w14:val="tx1"/>
                  </w14:solidFill>
                </w14:textFill>
              </w:rPr>
              <w:t>s</w:t>
            </w:r>
            <w:r>
              <w:rPr>
                <w:rFonts w:hint="eastAsia"/>
                <w:color w:val="000000" w:themeColor="text1"/>
                <w14:textFill>
                  <w14:solidFill>
                    <w14:schemeClr w14:val="tx1"/>
                  </w14:solidFill>
                </w14:textFill>
              </w:rPr>
              <w:t>ensitivity (</w:t>
            </w:r>
            <w:r>
              <w:rPr>
                <w:rFonts w:hint="eastAsia"/>
                <w:color w:val="000000" w:themeColor="text1"/>
                <w:lang w:val="en-US" w:eastAsia="zh-CN"/>
                <w14:textFill>
                  <w14:solidFill>
                    <w14:schemeClr w14:val="tx1"/>
                  </w14:solidFill>
                </w14:textFill>
              </w:rPr>
              <w:t>p</w:t>
            </w:r>
            <w:r>
              <w:rPr>
                <w:rFonts w:hint="eastAsia"/>
                <w:color w:val="000000" w:themeColor="text1"/>
                <w14:textFill>
                  <w14:solidFill>
                    <w14:schemeClr w14:val="tx1"/>
                  </w14:solidFill>
                </w14:textFill>
              </w:rPr>
              <w:t>ercentage)</w:t>
            </w:r>
          </w:p>
        </w:tc>
        <w:tc>
          <w:tcPr>
            <w:tcW w:w="2092" w:type="dxa"/>
          </w:tcPr>
          <w:p w14:paraId="0D30CF89">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8</w:t>
            </w:r>
          </w:p>
        </w:tc>
        <w:tc>
          <w:tcPr>
            <w:tcW w:w="2131" w:type="dxa"/>
          </w:tcPr>
          <w:p w14:paraId="03A2349F">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3</w:t>
            </w:r>
          </w:p>
        </w:tc>
      </w:tr>
      <w:tr w14:paraId="00A7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124F0A85">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Missed diagnosis rate (percentage)</w:t>
            </w:r>
          </w:p>
        </w:tc>
        <w:tc>
          <w:tcPr>
            <w:tcW w:w="2092" w:type="dxa"/>
          </w:tcPr>
          <w:p w14:paraId="24A6AC92">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c>
          <w:tcPr>
            <w:tcW w:w="2131" w:type="dxa"/>
          </w:tcPr>
          <w:p w14:paraId="547287E1">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3</w:t>
            </w:r>
          </w:p>
        </w:tc>
      </w:tr>
      <w:tr w14:paraId="20C2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19EA5C50">
            <w:pPr>
              <w:rPr>
                <w:rFonts w:hint="eastAsia" w:eastAsiaTheme="minor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A</w:t>
            </w:r>
            <w:r>
              <w:rPr>
                <w:color w:val="000000" w:themeColor="text1"/>
                <w14:textFill>
                  <w14:solidFill>
                    <w14:schemeClr w14:val="tx1"/>
                  </w14:solidFill>
                </w14:textFill>
              </w:rPr>
              <w:t>UC</w:t>
            </w:r>
            <w:r>
              <w:rPr>
                <w:rFonts w:hint="eastAsia"/>
                <w:color w:val="000000" w:themeColor="text1"/>
                <w:lang w:val="en-US" w:eastAsia="zh-CN"/>
                <w14:textFill>
                  <w14:solidFill>
                    <w14:schemeClr w14:val="tx1"/>
                  </w14:solidFill>
                </w14:textFill>
              </w:rPr>
              <w:t xml:space="preserve"> value</w:t>
            </w:r>
          </w:p>
        </w:tc>
        <w:tc>
          <w:tcPr>
            <w:tcW w:w="2092" w:type="dxa"/>
          </w:tcPr>
          <w:p w14:paraId="4FBFA85F">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.86</w:t>
            </w:r>
          </w:p>
        </w:tc>
        <w:tc>
          <w:tcPr>
            <w:tcW w:w="2131" w:type="dxa"/>
          </w:tcPr>
          <w:p w14:paraId="4800C68A">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.78</w:t>
            </w:r>
          </w:p>
        </w:tc>
      </w:tr>
      <w:tr w14:paraId="4A0E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34BC36C8">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Kapp</w:t>
            </w:r>
            <w:r>
              <w:rPr>
                <w:color w:val="000000" w:themeColor="text1"/>
                <w14:textFill>
                  <w14:solidFill>
                    <w14:schemeClr w14:val="tx1"/>
                  </w14:solidFill>
                </w14:textFill>
              </w:rPr>
              <w:t>a</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value</w:t>
            </w:r>
          </w:p>
        </w:tc>
        <w:tc>
          <w:tcPr>
            <w:tcW w:w="2092" w:type="dxa"/>
          </w:tcPr>
          <w:p w14:paraId="400FBE53">
            <w:pPr>
              <w:rPr>
                <w:color w:val="000000" w:themeColor="text1"/>
                <w14:textFill>
                  <w14:solidFill>
                    <w14:schemeClr w14:val="tx1"/>
                  </w14:solidFill>
                </w14:textFill>
              </w:rPr>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.89</w:t>
            </w:r>
          </w:p>
        </w:tc>
        <w:tc>
          <w:tcPr>
            <w:tcW w:w="2131" w:type="dxa"/>
          </w:tcPr>
          <w:p w14:paraId="0029A1C9">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0.92</w:t>
            </w:r>
          </w:p>
        </w:tc>
      </w:tr>
    </w:tbl>
    <w:p w14:paraId="1AD61466">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Note</w:t>
      </w:r>
      <w:r>
        <w:rPr>
          <w:rFonts w:hint="default" w:eastAsia="宋体" w:cs="Times New Roman" w:asciiTheme="minorAscii" w:hAnsiTheme="minorAscii"/>
          <w:strike/>
          <w:dstrike w:val="0"/>
          <w:color w:val="1D41D5"/>
          <w:kern w:val="0"/>
          <w:sz w:val="22"/>
          <w:szCs w:val="22"/>
          <w:lang w:val="en-US" w:eastAsia="zh-CN" w:bidi="ar"/>
        </w:rPr>
        <w:t>.—</w:t>
      </w:r>
      <w:r>
        <w:rPr>
          <w:rFonts w:hint="eastAsia" w:eastAsia="宋体" w:cs="Times New Roman" w:asciiTheme="minorAscii" w:hAnsiTheme="minorAscii"/>
          <w:color w:val="1D41D5"/>
          <w:kern w:val="0"/>
          <w:sz w:val="22"/>
          <w:szCs w:val="22"/>
          <w:lang w:val="en-US" w:eastAsia="zh-CN" w:bidi="ar"/>
        </w:rPr>
        <w:t xml:space="preserve">: </w:t>
      </w:r>
      <w:r>
        <w:rPr>
          <w:rFonts w:hint="eastAsia"/>
          <w:color w:val="000000" w:themeColor="text1"/>
          <w14:textFill>
            <w14:solidFill>
              <w14:schemeClr w14:val="tx1"/>
            </w14:solidFill>
          </w14:textFill>
        </w:rPr>
        <w:t>A</w:t>
      </w:r>
      <w:r>
        <w:rPr>
          <w:color w:val="000000" w:themeColor="text1"/>
          <w14:textFill>
            <w14:solidFill>
              <w14:schemeClr w14:val="tx1"/>
            </w14:solidFill>
          </w14:textFill>
        </w:rPr>
        <w:t>UC</w:t>
      </w:r>
      <w:r>
        <w:rPr>
          <w:rFonts w:hint="eastAsia"/>
          <w:color w:val="000000" w:themeColor="text1"/>
          <w:lang w:val="en-US" w:eastAsia="zh-CN"/>
          <w14:textFill>
            <w14:solidFill>
              <w14:schemeClr w14:val="tx1"/>
            </w14:solidFill>
          </w14:textFill>
        </w:rPr>
        <w:t xml:space="preserve"> </w:t>
      </w: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 xml:space="preserve">= </w:t>
      </w: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area under the curve</w:t>
      </w:r>
    </w:p>
    <w:p w14:paraId="40093E8C">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pPr>
    </w:p>
    <w:p w14:paraId="46673773">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69AD8300">
      <w:pPr>
        <w:keepNext w:val="0"/>
        <w:keepLines w:val="0"/>
        <w:widowControl/>
        <w:suppressLineNumbers w:val="0"/>
        <w:jc w:val="left"/>
        <w:rPr>
          <w:rFonts w:hint="default" w:ascii="Times New Roman" w:hAnsi="Times New Roman" w:cs="Times New Roman"/>
          <w:color w:val="000000" w:themeColor="text1"/>
          <w:sz w:val="22"/>
          <w:szCs w:val="22"/>
          <w:lang w:val="en-US" w:eastAsia="zh-CN"/>
          <w14:textFill>
            <w14:solidFill>
              <w14:schemeClr w14:val="tx1"/>
            </w14:solidFill>
          </w14:textFill>
        </w:rPr>
      </w:pPr>
    </w:p>
    <w:p w14:paraId="0DEBF12F">
      <w:pPr>
        <w:keepNext w:val="0"/>
        <w:keepLines w:val="0"/>
        <w:widowControl/>
        <w:suppressLineNumbers w:val="0"/>
        <w:jc w:val="left"/>
        <w:rPr>
          <w:rFonts w:hint="eastAsia" w:cs="Times New Roman" w:asciiTheme="minorAscii" w:hAnsiTheme="minorAscii"/>
          <w:b w:val="0"/>
          <w:bCs w:val="0"/>
          <w:color w:val="1D41D5"/>
          <w:sz w:val="22"/>
          <w:szCs w:val="22"/>
          <w:lang w:val="en-US" w:eastAsia="zh-CN"/>
        </w:rPr>
      </w:pPr>
      <w:r>
        <w:rPr>
          <w:rFonts w:hint="eastAsia" w:cs="Times New Roman" w:asciiTheme="minorAscii" w:hAnsiTheme="minorAscii"/>
          <w:b w:val="0"/>
          <w:bCs w:val="0"/>
          <w:color w:val="1D41D5"/>
          <w:sz w:val="22"/>
          <w:szCs w:val="22"/>
          <w:lang w:val="en-US" w:eastAsia="zh-CN"/>
        </w:rPr>
        <w:t>Table S4: Characteristics of the Real-World Missing Test Set</w:t>
      </w:r>
    </w:p>
    <w:p w14:paraId="4BB91920">
      <w:pPr>
        <w:keepNext w:val="0"/>
        <w:keepLines w:val="0"/>
        <w:widowControl/>
        <w:suppressLineNumbers w:val="0"/>
        <w:jc w:val="left"/>
        <w:rPr>
          <w:rFonts w:hint="eastAsia" w:cs="Times New Roman" w:asciiTheme="minorAscii" w:hAnsiTheme="minorAscii"/>
          <w:b w:val="0"/>
          <w:bCs w:val="0"/>
          <w:color w:val="1D41D5"/>
          <w:sz w:val="22"/>
          <w:szCs w:val="22"/>
          <w:lang w:val="en-US" w:eastAsia="zh-CN"/>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2392"/>
        <w:gridCol w:w="1832"/>
      </w:tblGrid>
      <w:tr w14:paraId="0E9A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single" w:color="auto" w:sz="4" w:space="0"/>
              <w:left w:val="nil"/>
              <w:bottom w:val="single" w:color="auto" w:sz="4" w:space="0"/>
              <w:right w:val="nil"/>
            </w:tcBorders>
          </w:tcPr>
          <w:p w14:paraId="710C9999">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Category</w:t>
            </w:r>
          </w:p>
        </w:tc>
        <w:tc>
          <w:tcPr>
            <w:tcW w:w="2392" w:type="dxa"/>
            <w:tcBorders>
              <w:top w:val="single" w:color="auto" w:sz="4" w:space="0"/>
              <w:left w:val="nil"/>
              <w:bottom w:val="single" w:color="auto" w:sz="4" w:space="0"/>
              <w:right w:val="nil"/>
            </w:tcBorders>
          </w:tcPr>
          <w:p w14:paraId="453FF3EA">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Item</w:t>
            </w:r>
          </w:p>
        </w:tc>
        <w:tc>
          <w:tcPr>
            <w:tcW w:w="1832" w:type="dxa"/>
            <w:tcBorders>
              <w:top w:val="single" w:color="auto" w:sz="4" w:space="0"/>
              <w:left w:val="nil"/>
              <w:bottom w:val="single" w:color="auto" w:sz="4" w:space="0"/>
              <w:right w:val="nil"/>
            </w:tcBorders>
          </w:tcPr>
          <w:p w14:paraId="010C4B76">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Value</w:t>
            </w:r>
          </w:p>
        </w:tc>
      </w:tr>
      <w:tr w14:paraId="2113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single" w:color="auto" w:sz="4" w:space="0"/>
              <w:left w:val="nil"/>
              <w:bottom w:val="nil"/>
              <w:right w:val="nil"/>
            </w:tcBorders>
          </w:tcPr>
          <w:p w14:paraId="4D831143">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Patient Characteristics</w:t>
            </w:r>
          </w:p>
        </w:tc>
        <w:tc>
          <w:tcPr>
            <w:tcW w:w="2392" w:type="dxa"/>
            <w:tcBorders>
              <w:top w:val="single" w:color="auto" w:sz="4" w:space="0"/>
              <w:left w:val="nil"/>
              <w:bottom w:val="nil"/>
              <w:right w:val="nil"/>
            </w:tcBorders>
          </w:tcPr>
          <w:p w14:paraId="7B419CD6">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Sample size</w:t>
            </w:r>
          </w:p>
        </w:tc>
        <w:tc>
          <w:tcPr>
            <w:tcW w:w="1832" w:type="dxa"/>
            <w:tcBorders>
              <w:top w:val="single" w:color="auto" w:sz="4" w:space="0"/>
              <w:left w:val="nil"/>
              <w:bottom w:val="nil"/>
              <w:right w:val="nil"/>
            </w:tcBorders>
          </w:tcPr>
          <w:p w14:paraId="1F52CB69">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203</w:t>
            </w:r>
          </w:p>
        </w:tc>
      </w:tr>
      <w:tr w14:paraId="5607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0EFD4DEA">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30730F2E">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 xml:space="preserve">Age (years, mean </w:t>
            </w:r>
            <w:r>
              <w:rPr>
                <w:rFonts w:hint="default" w:cs="Times New Roman" w:asciiTheme="minorAscii" w:hAnsiTheme="minorAscii"/>
                <w:b w:val="0"/>
                <w:bCs w:val="0"/>
                <w:color w:val="1D41D5"/>
                <w:kern w:val="2"/>
                <w:sz w:val="22"/>
                <w:szCs w:val="22"/>
                <w:lang w:val="en-US" w:eastAsia="zh-CN" w:bidi="ar-SA"/>
              </w:rPr>
              <w:t>±</w:t>
            </w:r>
            <w:bookmarkStart w:id="0" w:name="_GoBack"/>
            <w:bookmarkEnd w:id="0"/>
            <w:r>
              <w:rPr>
                <w:rFonts w:hint="default" w:cs="Times New Roman" w:asciiTheme="minorAscii" w:hAnsiTheme="minorAscii"/>
                <w:b w:val="0"/>
                <w:bCs w:val="0"/>
                <w:color w:val="1D41D5"/>
                <w:sz w:val="21"/>
                <w:szCs w:val="21"/>
                <w:lang w:val="en-US" w:eastAsia="zh-CN"/>
              </w:rPr>
              <w:t xml:space="preserve"> SD)</w:t>
            </w:r>
          </w:p>
        </w:tc>
        <w:tc>
          <w:tcPr>
            <w:tcW w:w="1832" w:type="dxa"/>
            <w:tcBorders>
              <w:top w:val="nil"/>
              <w:left w:val="nil"/>
              <w:bottom w:val="nil"/>
              <w:right w:val="nil"/>
            </w:tcBorders>
          </w:tcPr>
          <w:p w14:paraId="10F1FD8D">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 xml:space="preserve">65.8 </w:t>
            </w:r>
            <w:r>
              <w:rPr>
                <w:rFonts w:hint="default" w:cs="Times New Roman" w:asciiTheme="minorAscii" w:hAnsiTheme="minorAscii"/>
                <w:b w:val="0"/>
                <w:bCs w:val="0"/>
                <w:color w:val="1D41D5"/>
                <w:kern w:val="2"/>
                <w:sz w:val="22"/>
                <w:szCs w:val="22"/>
                <w:lang w:val="en-US" w:eastAsia="zh-CN" w:bidi="ar-SA"/>
              </w:rPr>
              <w:t>±</w:t>
            </w:r>
            <w:r>
              <w:rPr>
                <w:rFonts w:hint="default" w:cs="Times New Roman" w:asciiTheme="minorAscii" w:hAnsiTheme="minorAscii"/>
                <w:b w:val="0"/>
                <w:bCs w:val="0"/>
                <w:color w:val="1D41D5"/>
                <w:sz w:val="21"/>
                <w:szCs w:val="21"/>
                <w:lang w:val="en-US" w:eastAsia="zh-CN"/>
              </w:rPr>
              <w:t xml:space="preserve"> 11.4</w:t>
            </w:r>
          </w:p>
        </w:tc>
      </w:tr>
      <w:tr w14:paraId="4F14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2DF3807D">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3C5264D6">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Sex (male/female)</w:t>
            </w:r>
          </w:p>
        </w:tc>
        <w:tc>
          <w:tcPr>
            <w:tcW w:w="1832" w:type="dxa"/>
            <w:tcBorders>
              <w:top w:val="nil"/>
              <w:left w:val="nil"/>
              <w:bottom w:val="nil"/>
              <w:right w:val="nil"/>
            </w:tcBorders>
          </w:tcPr>
          <w:p w14:paraId="62AB8F4E">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108/95</w:t>
            </w:r>
          </w:p>
        </w:tc>
      </w:tr>
      <w:tr w14:paraId="5C38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06858955">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209A8D49">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Surgical records (PCI/CABG)</w:t>
            </w:r>
          </w:p>
        </w:tc>
        <w:tc>
          <w:tcPr>
            <w:tcW w:w="1832" w:type="dxa"/>
            <w:tcBorders>
              <w:top w:val="nil"/>
              <w:left w:val="nil"/>
              <w:bottom w:val="nil"/>
              <w:right w:val="nil"/>
            </w:tcBorders>
          </w:tcPr>
          <w:p w14:paraId="0353D875">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42 (20.7%)</w:t>
            </w:r>
          </w:p>
        </w:tc>
      </w:tr>
      <w:tr w14:paraId="0173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137E00D9">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Disease Distribution</w:t>
            </w:r>
          </w:p>
        </w:tc>
        <w:tc>
          <w:tcPr>
            <w:tcW w:w="2392" w:type="dxa"/>
            <w:tcBorders>
              <w:top w:val="nil"/>
              <w:left w:val="nil"/>
              <w:bottom w:val="nil"/>
              <w:right w:val="nil"/>
            </w:tcBorders>
          </w:tcPr>
          <w:p w14:paraId="0686257E">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Coronary atherosclerosis</w:t>
            </w:r>
          </w:p>
        </w:tc>
        <w:tc>
          <w:tcPr>
            <w:tcW w:w="1832" w:type="dxa"/>
            <w:tcBorders>
              <w:top w:val="nil"/>
              <w:left w:val="nil"/>
              <w:bottom w:val="nil"/>
              <w:right w:val="nil"/>
            </w:tcBorders>
          </w:tcPr>
          <w:p w14:paraId="5993D67A">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43 (21.2%)</w:t>
            </w:r>
          </w:p>
        </w:tc>
      </w:tr>
      <w:tr w14:paraId="3503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1F836603">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1CBD3B1D">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Coronary artery disease</w:t>
            </w:r>
          </w:p>
        </w:tc>
        <w:tc>
          <w:tcPr>
            <w:tcW w:w="1832" w:type="dxa"/>
            <w:tcBorders>
              <w:top w:val="nil"/>
              <w:left w:val="nil"/>
              <w:bottom w:val="nil"/>
              <w:right w:val="nil"/>
            </w:tcBorders>
          </w:tcPr>
          <w:p w14:paraId="492191F8">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61 (30.0%)</w:t>
            </w:r>
          </w:p>
        </w:tc>
      </w:tr>
      <w:tr w14:paraId="19BA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0D46BE0F">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0D99DC7C">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Heart failure</w:t>
            </w:r>
          </w:p>
        </w:tc>
        <w:tc>
          <w:tcPr>
            <w:tcW w:w="1832" w:type="dxa"/>
            <w:tcBorders>
              <w:top w:val="nil"/>
              <w:left w:val="nil"/>
              <w:bottom w:val="nil"/>
              <w:right w:val="nil"/>
            </w:tcBorders>
          </w:tcPr>
          <w:p w14:paraId="7786FA53">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31 (15.3%)</w:t>
            </w:r>
          </w:p>
        </w:tc>
      </w:tr>
      <w:tr w14:paraId="65D9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1017792C">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63D1290A">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Cardiac arrhythmia</w:t>
            </w:r>
          </w:p>
        </w:tc>
        <w:tc>
          <w:tcPr>
            <w:tcW w:w="1832" w:type="dxa"/>
            <w:tcBorders>
              <w:top w:val="nil"/>
              <w:left w:val="nil"/>
              <w:bottom w:val="nil"/>
              <w:right w:val="nil"/>
            </w:tcBorders>
          </w:tcPr>
          <w:p w14:paraId="23C30AD2">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42 (20.7%)</w:t>
            </w:r>
          </w:p>
        </w:tc>
      </w:tr>
      <w:tr w14:paraId="38AA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0A71BBCA">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5AD96389">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Myocardial ischemia</w:t>
            </w:r>
          </w:p>
        </w:tc>
        <w:tc>
          <w:tcPr>
            <w:tcW w:w="1832" w:type="dxa"/>
            <w:tcBorders>
              <w:top w:val="nil"/>
              <w:left w:val="nil"/>
              <w:bottom w:val="nil"/>
              <w:right w:val="nil"/>
            </w:tcBorders>
          </w:tcPr>
          <w:p w14:paraId="238CB53A">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26 (12.8%)</w:t>
            </w:r>
          </w:p>
        </w:tc>
      </w:tr>
      <w:tr w14:paraId="74B0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4F66477F">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Major Missing Patterns</w:t>
            </w:r>
          </w:p>
        </w:tc>
        <w:tc>
          <w:tcPr>
            <w:tcW w:w="2392" w:type="dxa"/>
            <w:tcBorders>
              <w:top w:val="nil"/>
              <w:left w:val="nil"/>
              <w:bottom w:val="nil"/>
              <w:right w:val="nil"/>
            </w:tcBorders>
          </w:tcPr>
          <w:p w14:paraId="2C20303D">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Complete cardiac enzyme panel missing</w:t>
            </w:r>
          </w:p>
        </w:tc>
        <w:tc>
          <w:tcPr>
            <w:tcW w:w="1832" w:type="dxa"/>
            <w:tcBorders>
              <w:top w:val="nil"/>
              <w:left w:val="nil"/>
              <w:bottom w:val="nil"/>
              <w:right w:val="nil"/>
            </w:tcBorders>
          </w:tcPr>
          <w:p w14:paraId="15FF0B98">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47 (23.2%)</w:t>
            </w:r>
          </w:p>
        </w:tc>
      </w:tr>
      <w:tr w14:paraId="482C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100B067F">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6163F0C5">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Partial cardiac enzyme panel missing</w:t>
            </w:r>
          </w:p>
        </w:tc>
        <w:tc>
          <w:tcPr>
            <w:tcW w:w="1832" w:type="dxa"/>
            <w:tcBorders>
              <w:top w:val="nil"/>
              <w:left w:val="nil"/>
              <w:bottom w:val="nil"/>
              <w:right w:val="nil"/>
            </w:tcBorders>
          </w:tcPr>
          <w:p w14:paraId="15DF23C3">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38 (18.7%)</w:t>
            </w:r>
          </w:p>
        </w:tc>
      </w:tr>
      <w:tr w14:paraId="30EA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47BE23CF">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4573E492">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NT-proBNP missing</w:t>
            </w:r>
          </w:p>
        </w:tc>
        <w:tc>
          <w:tcPr>
            <w:tcW w:w="1832" w:type="dxa"/>
            <w:tcBorders>
              <w:top w:val="nil"/>
              <w:left w:val="nil"/>
              <w:bottom w:val="nil"/>
              <w:right w:val="nil"/>
            </w:tcBorders>
          </w:tcPr>
          <w:p w14:paraId="5B695A31">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41 (20.2%)</w:t>
            </w:r>
          </w:p>
        </w:tc>
      </w:tr>
      <w:tr w14:paraId="7C7E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5F927517">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4370F898">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IMA missing</w:t>
            </w:r>
          </w:p>
        </w:tc>
        <w:tc>
          <w:tcPr>
            <w:tcW w:w="1832" w:type="dxa"/>
            <w:tcBorders>
              <w:top w:val="nil"/>
              <w:left w:val="nil"/>
              <w:bottom w:val="nil"/>
              <w:right w:val="nil"/>
            </w:tcBorders>
          </w:tcPr>
          <w:p w14:paraId="4012C5DF">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29 (14.3%)</w:t>
            </w:r>
          </w:p>
        </w:tc>
      </w:tr>
      <w:tr w14:paraId="1F51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2311" w:type="dxa"/>
            <w:tcBorders>
              <w:top w:val="nil"/>
              <w:left w:val="nil"/>
              <w:bottom w:val="nil"/>
              <w:right w:val="nil"/>
            </w:tcBorders>
          </w:tcPr>
          <w:p w14:paraId="0DBB71D8">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nil"/>
              <w:right w:val="nil"/>
            </w:tcBorders>
          </w:tcPr>
          <w:p w14:paraId="7E9EB10B">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CRP missing</w:t>
            </w:r>
          </w:p>
        </w:tc>
        <w:tc>
          <w:tcPr>
            <w:tcW w:w="1832" w:type="dxa"/>
            <w:tcBorders>
              <w:top w:val="nil"/>
              <w:left w:val="nil"/>
              <w:bottom w:val="nil"/>
              <w:right w:val="nil"/>
            </w:tcBorders>
          </w:tcPr>
          <w:p w14:paraId="7A589CEC">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23 (11.3%)</w:t>
            </w:r>
          </w:p>
        </w:tc>
      </w:tr>
      <w:tr w14:paraId="661F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single" w:color="auto" w:sz="4" w:space="0"/>
              <w:right w:val="nil"/>
            </w:tcBorders>
          </w:tcPr>
          <w:p w14:paraId="6F05275E">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2392" w:type="dxa"/>
            <w:tcBorders>
              <w:top w:val="nil"/>
              <w:left w:val="nil"/>
              <w:bottom w:val="single" w:color="auto" w:sz="4" w:space="0"/>
              <w:right w:val="nil"/>
            </w:tcBorders>
          </w:tcPr>
          <w:p w14:paraId="145F930B">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Multiple missing</w:t>
            </w:r>
          </w:p>
        </w:tc>
        <w:tc>
          <w:tcPr>
            <w:tcW w:w="1832" w:type="dxa"/>
            <w:tcBorders>
              <w:top w:val="nil"/>
              <w:left w:val="nil"/>
              <w:bottom w:val="single" w:color="auto" w:sz="4" w:space="0"/>
              <w:right w:val="nil"/>
            </w:tcBorders>
          </w:tcPr>
          <w:p w14:paraId="579B39B5">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25 (12.3%)</w:t>
            </w:r>
          </w:p>
        </w:tc>
      </w:tr>
    </w:tbl>
    <w:p w14:paraId="41C91AC0">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Note</w:t>
      </w:r>
      <w:r>
        <w:rPr>
          <w:rFonts w:hint="eastAsia" w:cs="Times New Roman" w:asciiTheme="minorAscii" w:hAnsiTheme="minorAscii"/>
          <w:b w:val="0"/>
          <w:bCs w:val="0"/>
          <w:color w:val="1D41D5"/>
          <w:sz w:val="21"/>
          <w:szCs w:val="21"/>
          <w:lang w:val="en-US" w:eastAsia="zh-CN"/>
        </w:rPr>
        <w:t>: SD = standard deviation; PCI = percutaneous coronary intervention; CABG = coronary artery bypass grafting; NT-proBNP = N-terminal pro-B-type natriuretic peptide; IMA = ischemia-modified albumin; CRP = C-reactive protein</w:t>
      </w:r>
    </w:p>
    <w:p w14:paraId="750758B9">
      <w:pPr>
        <w:keepNext w:val="0"/>
        <w:keepLines w:val="0"/>
        <w:widowControl/>
        <w:suppressLineNumbers w:val="0"/>
        <w:jc w:val="left"/>
        <w:rPr>
          <w:rFonts w:hint="eastAsia" w:cs="Times New Roman" w:asciiTheme="minorAscii" w:hAnsiTheme="minorAscii"/>
          <w:b w:val="0"/>
          <w:bCs w:val="0"/>
          <w:color w:val="1D41D5"/>
          <w:sz w:val="21"/>
          <w:szCs w:val="21"/>
          <w:lang w:val="en-US" w:eastAsia="zh-CN"/>
        </w:rPr>
      </w:pPr>
    </w:p>
    <w:p w14:paraId="6AD36F7C">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p w14:paraId="69AD63DF">
      <w:pPr>
        <w:keepNext w:val="0"/>
        <w:keepLines w:val="0"/>
        <w:widowControl/>
        <w:suppressLineNumbers w:val="0"/>
        <w:jc w:val="left"/>
        <w:rPr>
          <w:rFonts w:hint="default" w:cs="Times New Roman" w:asciiTheme="minorAscii" w:hAnsiTheme="minorAscii"/>
          <w:b w:val="0"/>
          <w:bCs w:val="0"/>
          <w:color w:val="1D41D5"/>
          <w:sz w:val="21"/>
          <w:szCs w:val="21"/>
          <w:lang w:val="en-US" w:eastAsia="zh-CN"/>
        </w:rPr>
        <w:sectPr>
          <w:pgSz w:w="11906" w:h="16838"/>
          <w:pgMar w:top="1440" w:right="1800" w:bottom="1440" w:left="1800" w:header="851" w:footer="992" w:gutter="0"/>
          <w:cols w:space="425" w:num="1"/>
          <w:docGrid w:type="lines" w:linePitch="312" w:charSpace="0"/>
        </w:sectPr>
      </w:pPr>
    </w:p>
    <w:p w14:paraId="2A97F05D">
      <w:pPr>
        <w:keepNext w:val="0"/>
        <w:keepLines w:val="0"/>
        <w:widowControl/>
        <w:suppressLineNumbers w:val="0"/>
        <w:jc w:val="left"/>
        <w:rPr>
          <w:rFonts w:hint="eastAsia" w:cs="Times New Roman" w:asciiTheme="minorAscii" w:hAnsiTheme="minorAscii"/>
          <w:b w:val="0"/>
          <w:bCs w:val="0"/>
          <w:color w:val="1D41D5"/>
          <w:sz w:val="22"/>
          <w:szCs w:val="22"/>
          <w:lang w:val="en-US" w:eastAsia="zh-CN"/>
        </w:rPr>
      </w:pPr>
    </w:p>
    <w:p w14:paraId="2B8016D3">
      <w:pPr>
        <w:keepNext w:val="0"/>
        <w:keepLines w:val="0"/>
        <w:widowControl/>
        <w:suppressLineNumbers w:val="0"/>
        <w:jc w:val="left"/>
        <w:rPr>
          <w:rFonts w:hint="eastAsia" w:cs="Times New Roman" w:asciiTheme="minorAscii" w:hAnsiTheme="minorAscii"/>
          <w:b w:val="0"/>
          <w:bCs w:val="0"/>
          <w:color w:val="1D41D5"/>
          <w:sz w:val="22"/>
          <w:szCs w:val="22"/>
          <w:lang w:val="en-US" w:eastAsia="zh-CN"/>
        </w:rPr>
      </w:pPr>
      <w:r>
        <w:rPr>
          <w:rFonts w:hint="eastAsia" w:cs="Times New Roman" w:asciiTheme="minorAscii" w:hAnsiTheme="minorAscii"/>
          <w:b w:val="0"/>
          <w:bCs w:val="0"/>
          <w:color w:val="1D41D5"/>
          <w:sz w:val="22"/>
          <w:szCs w:val="22"/>
          <w:lang w:val="en-US" w:eastAsia="zh-CN"/>
        </w:rPr>
        <w:t>Table S5: Sample Missing Variable Status</w:t>
      </w:r>
    </w:p>
    <w:p w14:paraId="5BBE4F8F">
      <w:pPr>
        <w:keepNext w:val="0"/>
        <w:keepLines w:val="0"/>
        <w:widowControl/>
        <w:suppressLineNumbers w:val="0"/>
        <w:jc w:val="left"/>
        <w:rPr>
          <w:rFonts w:hint="eastAsia" w:cs="Times New Roman" w:asciiTheme="minorAscii" w:hAnsiTheme="minorAscii"/>
          <w:b w:val="0"/>
          <w:bCs w:val="0"/>
          <w:color w:val="1D41D5"/>
          <w:sz w:val="21"/>
          <w:szCs w:val="21"/>
          <w:lang w:val="en-US" w:eastAsia="zh-CN"/>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2502"/>
        <w:gridCol w:w="1499"/>
        <w:gridCol w:w="1705"/>
      </w:tblGrid>
      <w:tr w14:paraId="05DB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4" w:type="dxa"/>
            <w:tcBorders>
              <w:top w:val="single" w:color="auto" w:sz="4" w:space="0"/>
              <w:left w:val="nil"/>
              <w:bottom w:val="single" w:color="auto" w:sz="4" w:space="0"/>
              <w:right w:val="nil"/>
            </w:tcBorders>
          </w:tcPr>
          <w:p w14:paraId="22BEF3DB">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Missing Degree</w:t>
            </w:r>
          </w:p>
        </w:tc>
        <w:tc>
          <w:tcPr>
            <w:tcW w:w="2502" w:type="dxa"/>
            <w:tcBorders>
              <w:top w:val="single" w:color="auto" w:sz="4" w:space="0"/>
              <w:left w:val="nil"/>
              <w:bottom w:val="single" w:color="auto" w:sz="4" w:space="0"/>
              <w:right w:val="nil"/>
            </w:tcBorders>
          </w:tcPr>
          <w:p w14:paraId="6143DDD5">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Definition</w:t>
            </w:r>
          </w:p>
        </w:tc>
        <w:tc>
          <w:tcPr>
            <w:tcW w:w="1499" w:type="dxa"/>
            <w:tcBorders>
              <w:top w:val="single" w:color="auto" w:sz="4" w:space="0"/>
              <w:left w:val="nil"/>
              <w:bottom w:val="single" w:color="auto" w:sz="4" w:space="0"/>
              <w:right w:val="nil"/>
            </w:tcBorders>
          </w:tcPr>
          <w:p w14:paraId="4BF0F82E">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Number of Cases</w:t>
            </w:r>
          </w:p>
        </w:tc>
        <w:tc>
          <w:tcPr>
            <w:tcW w:w="1705" w:type="dxa"/>
            <w:tcBorders>
              <w:top w:val="single" w:color="auto" w:sz="4" w:space="0"/>
              <w:left w:val="nil"/>
              <w:bottom w:val="single" w:color="auto" w:sz="4" w:space="0"/>
              <w:right w:val="nil"/>
            </w:tcBorders>
          </w:tcPr>
          <w:p w14:paraId="33801B10">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Percentage</w:t>
            </w:r>
          </w:p>
        </w:tc>
      </w:tr>
      <w:tr w14:paraId="10D1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4" w:type="dxa"/>
            <w:tcBorders>
              <w:top w:val="single" w:color="auto" w:sz="4" w:space="0"/>
              <w:left w:val="nil"/>
              <w:bottom w:val="nil"/>
              <w:right w:val="nil"/>
            </w:tcBorders>
          </w:tcPr>
          <w:p w14:paraId="720B8E2A">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Mild Missing</w:t>
            </w:r>
          </w:p>
        </w:tc>
        <w:tc>
          <w:tcPr>
            <w:tcW w:w="2502" w:type="dxa"/>
            <w:tcBorders>
              <w:top w:val="single" w:color="auto" w:sz="4" w:space="0"/>
              <w:left w:val="nil"/>
              <w:bottom w:val="nil"/>
              <w:right w:val="nil"/>
            </w:tcBorders>
          </w:tcPr>
          <w:p w14:paraId="65CEF783">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Missing 1-2 items of examination</w:t>
            </w:r>
          </w:p>
        </w:tc>
        <w:tc>
          <w:tcPr>
            <w:tcW w:w="1499" w:type="dxa"/>
            <w:tcBorders>
              <w:top w:val="single" w:color="auto" w:sz="4" w:space="0"/>
              <w:left w:val="nil"/>
              <w:bottom w:val="nil"/>
              <w:right w:val="nil"/>
            </w:tcBorders>
          </w:tcPr>
          <w:p w14:paraId="68669A2B">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54</w:t>
            </w:r>
          </w:p>
        </w:tc>
        <w:tc>
          <w:tcPr>
            <w:tcW w:w="1705" w:type="dxa"/>
            <w:tcBorders>
              <w:top w:val="single" w:color="auto" w:sz="4" w:space="0"/>
              <w:left w:val="nil"/>
              <w:bottom w:val="nil"/>
              <w:right w:val="nil"/>
            </w:tcBorders>
          </w:tcPr>
          <w:p w14:paraId="01A63FE0">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26.6%</w:t>
            </w:r>
          </w:p>
        </w:tc>
      </w:tr>
      <w:tr w14:paraId="0137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4" w:type="dxa"/>
            <w:tcBorders>
              <w:top w:val="nil"/>
              <w:left w:val="nil"/>
              <w:bottom w:val="nil"/>
              <w:right w:val="nil"/>
            </w:tcBorders>
          </w:tcPr>
          <w:p w14:paraId="0020170A">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Moderate Missing</w:t>
            </w:r>
          </w:p>
        </w:tc>
        <w:tc>
          <w:tcPr>
            <w:tcW w:w="2502" w:type="dxa"/>
            <w:tcBorders>
              <w:top w:val="nil"/>
              <w:left w:val="nil"/>
              <w:bottom w:val="nil"/>
              <w:right w:val="nil"/>
            </w:tcBorders>
          </w:tcPr>
          <w:p w14:paraId="22B27744">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Missing 3-5 items of examination</w:t>
            </w:r>
          </w:p>
        </w:tc>
        <w:tc>
          <w:tcPr>
            <w:tcW w:w="1499" w:type="dxa"/>
            <w:tcBorders>
              <w:top w:val="nil"/>
              <w:left w:val="nil"/>
              <w:bottom w:val="nil"/>
              <w:right w:val="nil"/>
            </w:tcBorders>
          </w:tcPr>
          <w:p w14:paraId="6C79BADE">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76</w:t>
            </w:r>
          </w:p>
        </w:tc>
        <w:tc>
          <w:tcPr>
            <w:tcW w:w="1705" w:type="dxa"/>
            <w:tcBorders>
              <w:top w:val="nil"/>
              <w:left w:val="nil"/>
              <w:bottom w:val="nil"/>
              <w:right w:val="nil"/>
            </w:tcBorders>
          </w:tcPr>
          <w:p w14:paraId="0687AC06">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37.4%</w:t>
            </w:r>
          </w:p>
        </w:tc>
      </w:tr>
      <w:tr w14:paraId="23C1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4" w:type="dxa"/>
            <w:tcBorders>
              <w:top w:val="nil"/>
              <w:left w:val="nil"/>
              <w:bottom w:val="nil"/>
              <w:right w:val="nil"/>
            </w:tcBorders>
          </w:tcPr>
          <w:p w14:paraId="257E0DD5">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Severe Missing</w:t>
            </w:r>
          </w:p>
        </w:tc>
        <w:tc>
          <w:tcPr>
            <w:tcW w:w="2502" w:type="dxa"/>
            <w:tcBorders>
              <w:top w:val="nil"/>
              <w:left w:val="nil"/>
              <w:bottom w:val="nil"/>
              <w:right w:val="nil"/>
            </w:tcBorders>
          </w:tcPr>
          <w:p w14:paraId="629C03E2">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Missing 6 or more items of examination</w:t>
            </w:r>
          </w:p>
        </w:tc>
        <w:tc>
          <w:tcPr>
            <w:tcW w:w="1499" w:type="dxa"/>
            <w:tcBorders>
              <w:top w:val="nil"/>
              <w:left w:val="nil"/>
              <w:bottom w:val="nil"/>
              <w:right w:val="nil"/>
            </w:tcBorders>
          </w:tcPr>
          <w:p w14:paraId="4CAB65C2">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73</w:t>
            </w:r>
          </w:p>
        </w:tc>
        <w:tc>
          <w:tcPr>
            <w:tcW w:w="1705" w:type="dxa"/>
            <w:tcBorders>
              <w:top w:val="nil"/>
              <w:left w:val="nil"/>
              <w:bottom w:val="nil"/>
              <w:right w:val="nil"/>
            </w:tcBorders>
          </w:tcPr>
          <w:p w14:paraId="58B73659">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36.0%</w:t>
            </w:r>
          </w:p>
        </w:tc>
      </w:tr>
      <w:tr w14:paraId="4DBD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4" w:type="dxa"/>
            <w:tcBorders>
              <w:top w:val="nil"/>
              <w:left w:val="nil"/>
              <w:bottom w:val="single" w:color="auto" w:sz="4" w:space="0"/>
              <w:right w:val="nil"/>
            </w:tcBorders>
          </w:tcPr>
          <w:p w14:paraId="52ABB144">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Total</w:t>
            </w:r>
          </w:p>
        </w:tc>
        <w:tc>
          <w:tcPr>
            <w:tcW w:w="2502" w:type="dxa"/>
            <w:tcBorders>
              <w:top w:val="nil"/>
              <w:left w:val="nil"/>
              <w:bottom w:val="single" w:color="auto" w:sz="4" w:space="0"/>
              <w:right w:val="nil"/>
            </w:tcBorders>
          </w:tcPr>
          <w:p w14:paraId="4B8428F1">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tc>
        <w:tc>
          <w:tcPr>
            <w:tcW w:w="1499" w:type="dxa"/>
            <w:tcBorders>
              <w:top w:val="nil"/>
              <w:left w:val="nil"/>
              <w:bottom w:val="single" w:color="auto" w:sz="4" w:space="0"/>
              <w:right w:val="nil"/>
            </w:tcBorders>
          </w:tcPr>
          <w:p w14:paraId="08CA903D">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203</w:t>
            </w:r>
          </w:p>
        </w:tc>
        <w:tc>
          <w:tcPr>
            <w:tcW w:w="1705" w:type="dxa"/>
            <w:tcBorders>
              <w:top w:val="nil"/>
              <w:left w:val="nil"/>
              <w:bottom w:val="single" w:color="auto" w:sz="4" w:space="0"/>
              <w:right w:val="nil"/>
            </w:tcBorders>
          </w:tcPr>
          <w:p w14:paraId="4CBDDCDF">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r>
              <w:rPr>
                <w:rFonts w:hint="default" w:cs="Times New Roman" w:asciiTheme="minorAscii" w:hAnsiTheme="minorAscii"/>
                <w:b w:val="0"/>
                <w:bCs w:val="0"/>
                <w:color w:val="1D41D5"/>
                <w:sz w:val="21"/>
                <w:szCs w:val="21"/>
                <w:lang w:val="en-US" w:eastAsia="zh-CN"/>
              </w:rPr>
              <w:t>100%</w:t>
            </w:r>
          </w:p>
        </w:tc>
      </w:tr>
    </w:tbl>
    <w:p w14:paraId="4A39ED93">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p w14:paraId="3FBF55C3">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0DC0A648">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6EA753FC">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BCDB00"/>
    <w:multiLevelType w:val="singleLevel"/>
    <w:tmpl w:val="B7BCDB00"/>
    <w:lvl w:ilvl="0" w:tentative="0">
      <w:start w:val="35"/>
      <w:numFmt w:val="decimal"/>
      <w:lvlText w:val="%1."/>
      <w:lvlJc w:val="left"/>
      <w:pPr>
        <w:tabs>
          <w:tab w:val="left" w:pos="312"/>
        </w:tabs>
      </w:pPr>
    </w:lvl>
  </w:abstractNum>
  <w:abstractNum w:abstractNumId="1">
    <w:nsid w:val="781B30B6"/>
    <w:multiLevelType w:val="singleLevel"/>
    <w:tmpl w:val="781B30B6"/>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743373"/>
    <w:rsid w:val="0A99282A"/>
    <w:rsid w:val="0AEA7F24"/>
    <w:rsid w:val="0B1A381C"/>
    <w:rsid w:val="0C0C3AEF"/>
    <w:rsid w:val="0FE00AFD"/>
    <w:rsid w:val="10AD7307"/>
    <w:rsid w:val="146752C6"/>
    <w:rsid w:val="16585CC2"/>
    <w:rsid w:val="171009EE"/>
    <w:rsid w:val="188E75F7"/>
    <w:rsid w:val="18A312F5"/>
    <w:rsid w:val="19201045"/>
    <w:rsid w:val="1E3A09A3"/>
    <w:rsid w:val="1F8B2894"/>
    <w:rsid w:val="244C331D"/>
    <w:rsid w:val="263B7010"/>
    <w:rsid w:val="274C1E96"/>
    <w:rsid w:val="2753469A"/>
    <w:rsid w:val="29F51709"/>
    <w:rsid w:val="2AD54AE0"/>
    <w:rsid w:val="2B321937"/>
    <w:rsid w:val="2C3861EA"/>
    <w:rsid w:val="2CB16F95"/>
    <w:rsid w:val="2D8D21DF"/>
    <w:rsid w:val="2DE014FE"/>
    <w:rsid w:val="31E10F22"/>
    <w:rsid w:val="364E5801"/>
    <w:rsid w:val="36712559"/>
    <w:rsid w:val="384F06F9"/>
    <w:rsid w:val="38ED182A"/>
    <w:rsid w:val="39F66ADA"/>
    <w:rsid w:val="3ADE4285"/>
    <w:rsid w:val="3BBB2749"/>
    <w:rsid w:val="3D677490"/>
    <w:rsid w:val="3F264703"/>
    <w:rsid w:val="3F3810FA"/>
    <w:rsid w:val="40743373"/>
    <w:rsid w:val="40C44FE1"/>
    <w:rsid w:val="40F12244"/>
    <w:rsid w:val="419F4C47"/>
    <w:rsid w:val="434347F6"/>
    <w:rsid w:val="44861C7C"/>
    <w:rsid w:val="466E1998"/>
    <w:rsid w:val="483F16DE"/>
    <w:rsid w:val="48F03833"/>
    <w:rsid w:val="4BCD00DB"/>
    <w:rsid w:val="4C50340A"/>
    <w:rsid w:val="4C857125"/>
    <w:rsid w:val="4EA546AD"/>
    <w:rsid w:val="4FB629B4"/>
    <w:rsid w:val="501E0C45"/>
    <w:rsid w:val="538F7AAE"/>
    <w:rsid w:val="557B4CB0"/>
    <w:rsid w:val="55F7732B"/>
    <w:rsid w:val="56DB3620"/>
    <w:rsid w:val="571E55B1"/>
    <w:rsid w:val="572334CD"/>
    <w:rsid w:val="57391730"/>
    <w:rsid w:val="62097F72"/>
    <w:rsid w:val="638B081F"/>
    <w:rsid w:val="654E3963"/>
    <w:rsid w:val="670C4175"/>
    <w:rsid w:val="674C2A34"/>
    <w:rsid w:val="6762655B"/>
    <w:rsid w:val="678C6643"/>
    <w:rsid w:val="67AD4C6F"/>
    <w:rsid w:val="682318DF"/>
    <w:rsid w:val="6C00528B"/>
    <w:rsid w:val="6DEE5F5E"/>
    <w:rsid w:val="70423FD9"/>
    <w:rsid w:val="70C94A83"/>
    <w:rsid w:val="71A8440F"/>
    <w:rsid w:val="71DC40A5"/>
    <w:rsid w:val="72DC0CC7"/>
    <w:rsid w:val="74F246FD"/>
    <w:rsid w:val="781E639C"/>
    <w:rsid w:val="7A1B3238"/>
    <w:rsid w:val="7C5B0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rPr>
      <w:sz w:val="20"/>
      <w:szCs w:val="20"/>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character" w:styleId="11">
    <w:name w:val="annotation reference"/>
    <w:basedOn w:val="7"/>
    <w:qFormat/>
    <w:uiPriority w:val="0"/>
    <w:rPr>
      <w:sz w:val="16"/>
      <w:szCs w:val="16"/>
    </w:rPr>
  </w:style>
  <w:style w:type="character" w:customStyle="1" w:styleId="12">
    <w:name w:val="fontstyle01"/>
    <w:basedOn w:val="7"/>
    <w:qFormat/>
    <w:uiPriority w:val="0"/>
    <w:rPr>
      <w:rFonts w:ascii="Arial-BoldMT" w:hAnsi="Arial-BoldMT" w:eastAsia="Arial-BoldMT" w:cs="Arial-BoldMT"/>
      <w:b/>
      <w:bCs/>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1792</Words>
  <Characters>10450</Characters>
  <Lines>0</Lines>
  <Paragraphs>0</Paragraphs>
  <TotalTime>0</TotalTime>
  <ScaleCrop>false</ScaleCrop>
  <LinksUpToDate>false</LinksUpToDate>
  <CharactersWithSpaces>12072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2025-03-09T07:27:00Z</dcterms:created>
  <dc:creator>Moon</dc:creator>
  <cp:lastModifiedBy>Moon</cp:lastModifiedBy>
  <dcterms:modified xsi:type="dcterms:W3CDTF">2026-02-25T14:15:05Z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1D684E2DEF23424F82D29F737C2AF0C2_11</vt:lpwstr>
  </property>
  <property fmtid="{D5CDD505-2E9C-101B-9397-08002B2CF9AE}" pid="4" name="KSOTemplateDocerSaveRecord">
    <vt:lpwstr>eyJoZGlkIjoiZGMwYWM3NzY1Y2Q5MDA0MjFjZjIxZmMxODJlOTI0ZDMiLCJ1c2VySWQiOiIxMTczNzM5Njc4In0=</vt:lpwstr>
  </property>
</Properties>
</file>