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686DA" w14:textId="77777777" w:rsidR="009F2A5C" w:rsidRPr="002D28AB" w:rsidRDefault="009F2A5C" w:rsidP="009F2A5C">
      <w:pPr>
        <w:rPr>
          <w:rFonts w:ascii="Times New Roman" w:hAnsi="Times New Roman" w:cs="Times New Roman"/>
          <w:b/>
          <w:bCs/>
          <w:sz w:val="22"/>
          <w:szCs w:val="22"/>
        </w:rPr>
      </w:pPr>
      <w:r w:rsidRPr="002D28AB">
        <w:rPr>
          <w:rFonts w:ascii="Times New Roman" w:hAnsi="Times New Roman" w:cs="Times New Roman"/>
          <w:b/>
          <w:bCs/>
          <w:sz w:val="22"/>
          <w:szCs w:val="22"/>
        </w:rPr>
        <w:t>Supplementary material</w:t>
      </w:r>
    </w:p>
    <w:p w14:paraId="36804385" w14:textId="77777777" w:rsidR="009F2A5C" w:rsidRPr="002D28AB" w:rsidRDefault="009F2A5C" w:rsidP="009F2A5C">
      <w:pPr>
        <w:rPr>
          <w:rFonts w:ascii="Times New Roman" w:eastAsia="Malgun Gothic" w:hAnsi="Times New Roman" w:cs="Times New Roman"/>
          <w:b/>
          <w:bCs/>
          <w:sz w:val="22"/>
          <w:szCs w:val="22"/>
          <w:lang w:eastAsia="ko-KR"/>
        </w:rPr>
      </w:pPr>
    </w:p>
    <w:p w14:paraId="71AB1590" w14:textId="77777777" w:rsidR="009F2A5C" w:rsidRPr="002D28AB" w:rsidRDefault="009F2A5C" w:rsidP="009F2A5C">
      <w:pPr>
        <w:rPr>
          <w:rFonts w:ascii="Times New Roman" w:eastAsia="Malgun Gothic" w:hAnsi="Times New Roman" w:cs="Times New Roman"/>
          <w:b/>
          <w:bCs/>
          <w:sz w:val="22"/>
          <w:szCs w:val="22"/>
          <w:lang w:eastAsia="ko-KR"/>
        </w:rPr>
      </w:pPr>
      <w:r w:rsidRPr="002D28AB">
        <w:rPr>
          <w:rFonts w:ascii="Times New Roman" w:eastAsia="Malgun Gothic" w:hAnsi="Times New Roman" w:cs="Times New Roman"/>
          <w:b/>
          <w:bCs/>
          <w:sz w:val="22"/>
          <w:szCs w:val="22"/>
          <w:lang w:eastAsia="ko-KR"/>
        </w:rPr>
        <w:t>Appendix A</w:t>
      </w:r>
    </w:p>
    <w:p w14:paraId="4B6723C2" w14:textId="77777777" w:rsidR="009F2A5C" w:rsidRPr="002D28AB" w:rsidRDefault="009F2A5C" w:rsidP="009F2A5C">
      <w:pPr>
        <w:pStyle w:val="NormalWeb"/>
        <w:spacing w:before="0" w:beforeAutospacing="0" w:after="0" w:afterAutospacing="0"/>
        <w:rPr>
          <w:rFonts w:eastAsia="Malgun Gothic" w:cs="Times New Roman"/>
          <w:sz w:val="22"/>
          <w:szCs w:val="22"/>
          <w:lang w:eastAsia="ko-KR"/>
        </w:rPr>
      </w:pPr>
    </w:p>
    <w:p w14:paraId="4ED3996D" w14:textId="77777777" w:rsidR="009F2A5C" w:rsidRPr="002D28AB" w:rsidRDefault="009F2A5C" w:rsidP="009F2A5C">
      <w:pPr>
        <w:pStyle w:val="NormalWeb"/>
        <w:spacing w:before="0" w:beforeAutospacing="0" w:after="0" w:afterAutospacing="0"/>
        <w:rPr>
          <w:rFonts w:cs="Times New Roman"/>
          <w:sz w:val="22"/>
          <w:szCs w:val="22"/>
        </w:rPr>
      </w:pPr>
      <w:r w:rsidRPr="002D28AB">
        <w:rPr>
          <w:rFonts w:cs="Times New Roman"/>
          <w:sz w:val="22"/>
          <w:szCs w:val="22"/>
        </w:rPr>
        <w:t>Appendix A contains supplementary tables that support the evidence extraction and the 4I synthesis. To illustrate the synthesis workflow, Table A1 maps the 29 variables to the five-part extraction legend (L1–L4-PRE/L4-POST) and indicates whether the underlying evidence is derived from traditional EHR contexts (Pre-EHR–AI) or from explicitly AI-linked EHR contexts (Post-EHR–AI). Table A2 provides worked examples demonstrating how first-order labels in the extraction matrix were consolidated into the final 4I variables. Table A3 presents the complete variable-to-layer mapping within the 4I framework. Table A4 summarizes each variable's role in adoption (driver/barrier/mixed) based on the synthesis of included studies to inform Part 2 modeling, while Table A5 offers study-level traceability by linking the included-study IDs that directly support the 29 variables. The full list of included studies (IS1–IS70) is provided in Table A6.</w:t>
      </w:r>
    </w:p>
    <w:p w14:paraId="26B1BD2C" w14:textId="77777777" w:rsidR="009F2A5C" w:rsidRPr="002D28AB" w:rsidRDefault="009F2A5C" w:rsidP="009F2A5C">
      <w:pPr>
        <w:pStyle w:val="NormalWeb"/>
        <w:spacing w:before="0" w:after="0" w:afterAutospacing="0"/>
        <w:rPr>
          <w:rFonts w:eastAsia="Malgun Gothic" w:cs="Times New Roman"/>
          <w:sz w:val="22"/>
          <w:szCs w:val="22"/>
          <w:lang w:eastAsia="ko-KR"/>
        </w:rPr>
      </w:pPr>
      <w:r w:rsidRPr="002D28AB">
        <w:rPr>
          <w:rFonts w:cs="Times New Roman"/>
          <w:b/>
          <w:bCs/>
          <w:sz w:val="22"/>
          <w:szCs w:val="22"/>
        </w:rPr>
        <w:t>Table A1.</w:t>
      </w:r>
      <w:r w:rsidRPr="002D28AB">
        <w:rPr>
          <w:rFonts w:cs="Times New Roman"/>
          <w:sz w:val="22"/>
          <w:szCs w:val="22"/>
        </w:rPr>
        <w:t xml:space="preserve"> Cross-label mapping of the 29 variables to the extraction legend (L1–L4-PRE/L4-POST) with context tags (Pre-/Post-EHR–AI)</w:t>
      </w: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9"/>
        <w:gridCol w:w="1596"/>
        <w:gridCol w:w="3060"/>
        <w:gridCol w:w="450"/>
        <w:gridCol w:w="450"/>
        <w:gridCol w:w="450"/>
        <w:gridCol w:w="630"/>
        <w:gridCol w:w="720"/>
        <w:gridCol w:w="829"/>
        <w:gridCol w:w="829"/>
      </w:tblGrid>
      <w:tr w:rsidR="009F2A5C" w:rsidRPr="002D28AB" w14:paraId="76E22C6B" w14:textId="77777777" w:rsidTr="004D13DE">
        <w:tc>
          <w:tcPr>
            <w:tcW w:w="829" w:type="dxa"/>
          </w:tcPr>
          <w:p w14:paraId="0BB2FAE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ID</w:t>
            </w:r>
          </w:p>
        </w:tc>
        <w:tc>
          <w:tcPr>
            <w:tcW w:w="1596" w:type="dxa"/>
          </w:tcPr>
          <w:p w14:paraId="6C50596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Variable (factor)</w:t>
            </w:r>
          </w:p>
        </w:tc>
        <w:tc>
          <w:tcPr>
            <w:tcW w:w="3060" w:type="dxa"/>
          </w:tcPr>
          <w:p w14:paraId="61832E1E" w14:textId="77777777" w:rsidR="009F2A5C" w:rsidRPr="002D28AB" w:rsidRDefault="009F2A5C" w:rsidP="004D13DE">
            <w:pPr>
              <w:rPr>
                <w:rFonts w:ascii="Times New Roman" w:eastAsia="Malgun Gothic" w:hAnsi="Times New Roman" w:cs="Times New Roman"/>
                <w:sz w:val="22"/>
                <w:szCs w:val="22"/>
                <w:lang w:eastAsia="ko-KR"/>
              </w:rPr>
            </w:pPr>
            <w:r w:rsidRPr="002D28AB">
              <w:rPr>
                <w:rFonts w:ascii="Times New Roman" w:hAnsi="Times New Roman" w:cs="Times New Roman"/>
                <w:b/>
                <w:sz w:val="22"/>
                <w:szCs w:val="22"/>
              </w:rPr>
              <w:t xml:space="preserve">Measurement </w:t>
            </w:r>
            <w:r w:rsidRPr="002D28AB">
              <w:rPr>
                <w:rFonts w:ascii="Times New Roman" w:eastAsia="Malgun Gothic" w:hAnsi="Times New Roman" w:cs="Times New Roman"/>
                <w:b/>
                <w:sz w:val="22"/>
                <w:szCs w:val="22"/>
                <w:lang w:eastAsia="ko-KR"/>
              </w:rPr>
              <w:t xml:space="preserve">examples </w:t>
            </w:r>
            <w:r w:rsidRPr="002D28AB">
              <w:rPr>
                <w:rFonts w:ascii="Times New Roman" w:hAnsi="Times New Roman" w:cs="Times New Roman"/>
                <w:b/>
                <w:sz w:val="22"/>
                <w:szCs w:val="22"/>
              </w:rPr>
              <w:t>(item wording)</w:t>
            </w:r>
          </w:p>
        </w:tc>
        <w:tc>
          <w:tcPr>
            <w:tcW w:w="450" w:type="dxa"/>
          </w:tcPr>
          <w:p w14:paraId="008D236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L1</w:t>
            </w:r>
          </w:p>
        </w:tc>
        <w:tc>
          <w:tcPr>
            <w:tcW w:w="450" w:type="dxa"/>
          </w:tcPr>
          <w:p w14:paraId="419496A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L2</w:t>
            </w:r>
          </w:p>
        </w:tc>
        <w:tc>
          <w:tcPr>
            <w:tcW w:w="450" w:type="dxa"/>
          </w:tcPr>
          <w:p w14:paraId="7C63D21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L3</w:t>
            </w:r>
          </w:p>
        </w:tc>
        <w:tc>
          <w:tcPr>
            <w:tcW w:w="630" w:type="dxa"/>
          </w:tcPr>
          <w:p w14:paraId="1C7FB0B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L4-PRE</w:t>
            </w:r>
          </w:p>
        </w:tc>
        <w:tc>
          <w:tcPr>
            <w:tcW w:w="720" w:type="dxa"/>
          </w:tcPr>
          <w:p w14:paraId="69AB602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L4-POST</w:t>
            </w:r>
          </w:p>
        </w:tc>
        <w:tc>
          <w:tcPr>
            <w:tcW w:w="829" w:type="dxa"/>
          </w:tcPr>
          <w:p w14:paraId="6E93B14B" w14:textId="77777777" w:rsidR="009F2A5C" w:rsidRPr="002D28AB" w:rsidRDefault="009F2A5C" w:rsidP="004D13DE">
            <w:pPr>
              <w:rPr>
                <w:rFonts w:ascii="Times New Roman" w:eastAsia="Malgun Gothic" w:hAnsi="Times New Roman" w:cs="Times New Roman"/>
                <w:sz w:val="22"/>
                <w:szCs w:val="22"/>
                <w:lang w:eastAsia="ko-KR"/>
              </w:rPr>
            </w:pPr>
            <w:r w:rsidRPr="002D28AB">
              <w:rPr>
                <w:rFonts w:ascii="Times New Roman" w:hAnsi="Times New Roman" w:cs="Times New Roman"/>
                <w:b/>
                <w:bCs/>
                <w:sz w:val="22"/>
                <w:szCs w:val="22"/>
              </w:rPr>
              <w:t>Pre-EHR–AI</w:t>
            </w:r>
          </w:p>
        </w:tc>
        <w:tc>
          <w:tcPr>
            <w:tcW w:w="829" w:type="dxa"/>
          </w:tcPr>
          <w:p w14:paraId="33058C3F" w14:textId="77777777" w:rsidR="009F2A5C" w:rsidRPr="002D28AB" w:rsidRDefault="009F2A5C" w:rsidP="004D13DE">
            <w:pPr>
              <w:rPr>
                <w:rFonts w:ascii="Times New Roman" w:eastAsia="Malgun Gothic" w:hAnsi="Times New Roman" w:cs="Times New Roman"/>
                <w:sz w:val="22"/>
                <w:szCs w:val="22"/>
                <w:lang w:eastAsia="ko-KR"/>
              </w:rPr>
            </w:pPr>
            <w:r w:rsidRPr="002D28AB">
              <w:rPr>
                <w:rFonts w:ascii="Times New Roman" w:hAnsi="Times New Roman" w:cs="Times New Roman"/>
                <w:b/>
                <w:bCs/>
                <w:sz w:val="22"/>
                <w:szCs w:val="22"/>
              </w:rPr>
              <w:t>Post-EHR–AI</w:t>
            </w:r>
          </w:p>
        </w:tc>
      </w:tr>
      <w:tr w:rsidR="009F2A5C" w:rsidRPr="002D28AB" w14:paraId="35D267A8" w14:textId="77777777" w:rsidTr="004D13DE">
        <w:tc>
          <w:tcPr>
            <w:tcW w:w="829" w:type="dxa"/>
          </w:tcPr>
          <w:p w14:paraId="5DCEF56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C10</w:t>
            </w:r>
          </w:p>
        </w:tc>
        <w:tc>
          <w:tcPr>
            <w:tcW w:w="1596" w:type="dxa"/>
          </w:tcPr>
          <w:p w14:paraId="67A9B6C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augmentation of decision-making</w:t>
            </w:r>
          </w:p>
        </w:tc>
        <w:tc>
          <w:tcPr>
            <w:tcW w:w="3060" w:type="dxa"/>
          </w:tcPr>
          <w:p w14:paraId="74D4DC6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assistive functions in the EHR significantly improve my decision-making efficiency.</w:t>
            </w:r>
          </w:p>
        </w:tc>
        <w:tc>
          <w:tcPr>
            <w:tcW w:w="450" w:type="dxa"/>
          </w:tcPr>
          <w:p w14:paraId="25178660" w14:textId="77777777" w:rsidR="009F2A5C" w:rsidRPr="002D28AB" w:rsidRDefault="009F2A5C" w:rsidP="004D13DE">
            <w:pPr>
              <w:rPr>
                <w:rFonts w:ascii="Times New Roman" w:hAnsi="Times New Roman" w:cs="Times New Roman"/>
                <w:sz w:val="22"/>
                <w:szCs w:val="22"/>
              </w:rPr>
            </w:pPr>
          </w:p>
        </w:tc>
        <w:tc>
          <w:tcPr>
            <w:tcW w:w="450" w:type="dxa"/>
          </w:tcPr>
          <w:p w14:paraId="128AE493" w14:textId="77777777" w:rsidR="009F2A5C" w:rsidRPr="002D28AB" w:rsidRDefault="009F2A5C" w:rsidP="004D13DE">
            <w:pPr>
              <w:rPr>
                <w:rFonts w:ascii="Times New Roman" w:hAnsi="Times New Roman" w:cs="Times New Roman"/>
                <w:sz w:val="22"/>
                <w:szCs w:val="22"/>
              </w:rPr>
            </w:pPr>
          </w:p>
        </w:tc>
        <w:tc>
          <w:tcPr>
            <w:tcW w:w="450" w:type="dxa"/>
          </w:tcPr>
          <w:p w14:paraId="756F8AC1" w14:textId="77777777" w:rsidR="009F2A5C" w:rsidRPr="002D28AB" w:rsidRDefault="009F2A5C" w:rsidP="004D13DE">
            <w:pPr>
              <w:rPr>
                <w:rFonts w:ascii="Times New Roman" w:hAnsi="Times New Roman" w:cs="Times New Roman"/>
                <w:sz w:val="22"/>
                <w:szCs w:val="22"/>
              </w:rPr>
            </w:pPr>
          </w:p>
        </w:tc>
        <w:tc>
          <w:tcPr>
            <w:tcW w:w="630" w:type="dxa"/>
          </w:tcPr>
          <w:p w14:paraId="532B0686" w14:textId="77777777" w:rsidR="009F2A5C" w:rsidRPr="002D28AB" w:rsidRDefault="009F2A5C" w:rsidP="004D13DE">
            <w:pPr>
              <w:rPr>
                <w:rFonts w:ascii="Times New Roman" w:hAnsi="Times New Roman" w:cs="Times New Roman"/>
                <w:sz w:val="22"/>
                <w:szCs w:val="22"/>
              </w:rPr>
            </w:pPr>
          </w:p>
        </w:tc>
        <w:tc>
          <w:tcPr>
            <w:tcW w:w="720" w:type="dxa"/>
          </w:tcPr>
          <w:p w14:paraId="34A618A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30B72B6" w14:textId="77777777" w:rsidR="009F2A5C" w:rsidRPr="002D28AB" w:rsidRDefault="009F2A5C" w:rsidP="004D13DE">
            <w:pPr>
              <w:rPr>
                <w:rFonts w:ascii="Times New Roman" w:hAnsi="Times New Roman" w:cs="Times New Roman"/>
                <w:sz w:val="22"/>
                <w:szCs w:val="22"/>
              </w:rPr>
            </w:pPr>
          </w:p>
        </w:tc>
        <w:tc>
          <w:tcPr>
            <w:tcW w:w="829" w:type="dxa"/>
          </w:tcPr>
          <w:p w14:paraId="493C9FFC"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681A61A3" w14:textId="77777777" w:rsidTr="004D13DE">
        <w:tc>
          <w:tcPr>
            <w:tcW w:w="829" w:type="dxa"/>
          </w:tcPr>
          <w:p w14:paraId="63DF5B1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C11</w:t>
            </w:r>
          </w:p>
        </w:tc>
        <w:tc>
          <w:tcPr>
            <w:tcW w:w="1596" w:type="dxa"/>
          </w:tcPr>
          <w:p w14:paraId="0AB6710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automation</w:t>
            </w:r>
          </w:p>
        </w:tc>
        <w:tc>
          <w:tcPr>
            <w:tcW w:w="3060" w:type="dxa"/>
          </w:tcPr>
          <w:p w14:paraId="1419D93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EHR can automatically complete many tasks, reducing manual operations.</w:t>
            </w:r>
          </w:p>
        </w:tc>
        <w:tc>
          <w:tcPr>
            <w:tcW w:w="450" w:type="dxa"/>
          </w:tcPr>
          <w:p w14:paraId="3EAE6F51" w14:textId="77777777" w:rsidR="009F2A5C" w:rsidRPr="002D28AB" w:rsidRDefault="009F2A5C" w:rsidP="004D13DE">
            <w:pPr>
              <w:rPr>
                <w:rFonts w:ascii="Times New Roman" w:hAnsi="Times New Roman" w:cs="Times New Roman"/>
                <w:sz w:val="22"/>
                <w:szCs w:val="22"/>
              </w:rPr>
            </w:pPr>
          </w:p>
        </w:tc>
        <w:tc>
          <w:tcPr>
            <w:tcW w:w="450" w:type="dxa"/>
          </w:tcPr>
          <w:p w14:paraId="44F13E95" w14:textId="77777777" w:rsidR="009F2A5C" w:rsidRPr="002D28AB" w:rsidRDefault="009F2A5C" w:rsidP="004D13DE">
            <w:pPr>
              <w:rPr>
                <w:rFonts w:ascii="Times New Roman" w:hAnsi="Times New Roman" w:cs="Times New Roman"/>
                <w:sz w:val="22"/>
                <w:szCs w:val="22"/>
              </w:rPr>
            </w:pPr>
          </w:p>
        </w:tc>
        <w:tc>
          <w:tcPr>
            <w:tcW w:w="450" w:type="dxa"/>
          </w:tcPr>
          <w:p w14:paraId="75FAB0E5" w14:textId="77777777" w:rsidR="009F2A5C" w:rsidRPr="002D28AB" w:rsidRDefault="009F2A5C" w:rsidP="004D13DE">
            <w:pPr>
              <w:rPr>
                <w:rFonts w:ascii="Times New Roman" w:hAnsi="Times New Roman" w:cs="Times New Roman"/>
                <w:sz w:val="22"/>
                <w:szCs w:val="22"/>
              </w:rPr>
            </w:pPr>
          </w:p>
        </w:tc>
        <w:tc>
          <w:tcPr>
            <w:tcW w:w="630" w:type="dxa"/>
          </w:tcPr>
          <w:p w14:paraId="2D612812" w14:textId="77777777" w:rsidR="009F2A5C" w:rsidRPr="002D28AB" w:rsidRDefault="009F2A5C" w:rsidP="004D13DE">
            <w:pPr>
              <w:rPr>
                <w:rFonts w:ascii="Times New Roman" w:hAnsi="Times New Roman" w:cs="Times New Roman"/>
                <w:sz w:val="22"/>
                <w:szCs w:val="22"/>
              </w:rPr>
            </w:pPr>
          </w:p>
        </w:tc>
        <w:tc>
          <w:tcPr>
            <w:tcW w:w="720" w:type="dxa"/>
          </w:tcPr>
          <w:p w14:paraId="034AFD28"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EDE8700" w14:textId="77777777" w:rsidR="009F2A5C" w:rsidRPr="002D28AB" w:rsidRDefault="009F2A5C" w:rsidP="004D13DE">
            <w:pPr>
              <w:rPr>
                <w:rFonts w:ascii="Times New Roman" w:hAnsi="Times New Roman" w:cs="Times New Roman"/>
                <w:sz w:val="22"/>
                <w:szCs w:val="22"/>
              </w:rPr>
            </w:pPr>
          </w:p>
        </w:tc>
        <w:tc>
          <w:tcPr>
            <w:tcW w:w="829" w:type="dxa"/>
          </w:tcPr>
          <w:p w14:paraId="69EDEFEE"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32CF1EF5" w14:textId="77777777" w:rsidTr="004D13DE">
        <w:tc>
          <w:tcPr>
            <w:tcW w:w="829" w:type="dxa"/>
          </w:tcPr>
          <w:p w14:paraId="5720A4C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C2</w:t>
            </w:r>
          </w:p>
        </w:tc>
        <w:tc>
          <w:tcPr>
            <w:tcW w:w="1596" w:type="dxa"/>
          </w:tcPr>
          <w:p w14:paraId="1A5F063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operational complexity</w:t>
            </w:r>
          </w:p>
        </w:tc>
        <w:tc>
          <w:tcPr>
            <w:tcW w:w="3060" w:type="dxa"/>
          </w:tcPr>
          <w:p w14:paraId="4A7F541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setup and workflow of AI functions in the EHR are overly complex. (reverse-labelled)</w:t>
            </w:r>
          </w:p>
        </w:tc>
        <w:tc>
          <w:tcPr>
            <w:tcW w:w="450" w:type="dxa"/>
          </w:tcPr>
          <w:p w14:paraId="11C9A87C" w14:textId="77777777" w:rsidR="009F2A5C" w:rsidRPr="002D28AB" w:rsidRDefault="009F2A5C" w:rsidP="004D13DE">
            <w:pPr>
              <w:rPr>
                <w:rFonts w:ascii="Times New Roman" w:hAnsi="Times New Roman" w:cs="Times New Roman"/>
                <w:sz w:val="22"/>
                <w:szCs w:val="22"/>
              </w:rPr>
            </w:pPr>
          </w:p>
        </w:tc>
        <w:tc>
          <w:tcPr>
            <w:tcW w:w="450" w:type="dxa"/>
          </w:tcPr>
          <w:p w14:paraId="00516462" w14:textId="77777777" w:rsidR="009F2A5C" w:rsidRPr="002D28AB" w:rsidRDefault="009F2A5C" w:rsidP="004D13DE">
            <w:pPr>
              <w:rPr>
                <w:rFonts w:ascii="Times New Roman" w:hAnsi="Times New Roman" w:cs="Times New Roman"/>
                <w:sz w:val="22"/>
                <w:szCs w:val="22"/>
              </w:rPr>
            </w:pPr>
          </w:p>
        </w:tc>
        <w:tc>
          <w:tcPr>
            <w:tcW w:w="450" w:type="dxa"/>
          </w:tcPr>
          <w:p w14:paraId="4D84B414" w14:textId="77777777" w:rsidR="009F2A5C" w:rsidRPr="002D28AB" w:rsidRDefault="009F2A5C" w:rsidP="004D13DE">
            <w:pPr>
              <w:rPr>
                <w:rFonts w:ascii="Times New Roman" w:hAnsi="Times New Roman" w:cs="Times New Roman"/>
                <w:sz w:val="22"/>
                <w:szCs w:val="22"/>
              </w:rPr>
            </w:pPr>
          </w:p>
        </w:tc>
        <w:tc>
          <w:tcPr>
            <w:tcW w:w="630" w:type="dxa"/>
          </w:tcPr>
          <w:p w14:paraId="76FD511C" w14:textId="77777777" w:rsidR="009F2A5C" w:rsidRPr="002D28AB" w:rsidRDefault="009F2A5C" w:rsidP="004D13DE">
            <w:pPr>
              <w:rPr>
                <w:rFonts w:ascii="Times New Roman" w:hAnsi="Times New Roman" w:cs="Times New Roman"/>
                <w:sz w:val="22"/>
                <w:szCs w:val="22"/>
              </w:rPr>
            </w:pPr>
          </w:p>
        </w:tc>
        <w:tc>
          <w:tcPr>
            <w:tcW w:w="720" w:type="dxa"/>
          </w:tcPr>
          <w:p w14:paraId="6F1D9256"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5C83CE20" w14:textId="77777777" w:rsidR="009F2A5C" w:rsidRPr="002D28AB" w:rsidRDefault="009F2A5C" w:rsidP="004D13DE">
            <w:pPr>
              <w:rPr>
                <w:rFonts w:ascii="Times New Roman" w:hAnsi="Times New Roman" w:cs="Times New Roman"/>
                <w:sz w:val="22"/>
                <w:szCs w:val="22"/>
              </w:rPr>
            </w:pPr>
          </w:p>
        </w:tc>
        <w:tc>
          <w:tcPr>
            <w:tcW w:w="829" w:type="dxa"/>
          </w:tcPr>
          <w:p w14:paraId="47877638"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03727409" w14:textId="77777777" w:rsidTr="004D13DE">
        <w:tc>
          <w:tcPr>
            <w:tcW w:w="829" w:type="dxa"/>
          </w:tcPr>
          <w:p w14:paraId="4EE363F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C3</w:t>
            </w:r>
          </w:p>
        </w:tc>
        <w:tc>
          <w:tcPr>
            <w:tcW w:w="1596" w:type="dxa"/>
          </w:tcPr>
          <w:p w14:paraId="047EAEB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training coverage</w:t>
            </w:r>
          </w:p>
        </w:tc>
        <w:tc>
          <w:tcPr>
            <w:tcW w:w="3060" w:type="dxa"/>
          </w:tcPr>
          <w:p w14:paraId="0B02180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AI/EHR training I received covers all scenarios required for daily work.</w:t>
            </w:r>
          </w:p>
        </w:tc>
        <w:tc>
          <w:tcPr>
            <w:tcW w:w="450" w:type="dxa"/>
          </w:tcPr>
          <w:p w14:paraId="6A605AB8" w14:textId="77777777" w:rsidR="009F2A5C" w:rsidRPr="002D28AB" w:rsidRDefault="009F2A5C" w:rsidP="004D13DE">
            <w:pPr>
              <w:rPr>
                <w:rFonts w:ascii="Times New Roman" w:hAnsi="Times New Roman" w:cs="Times New Roman"/>
                <w:sz w:val="22"/>
                <w:szCs w:val="22"/>
              </w:rPr>
            </w:pPr>
          </w:p>
        </w:tc>
        <w:tc>
          <w:tcPr>
            <w:tcW w:w="450" w:type="dxa"/>
          </w:tcPr>
          <w:p w14:paraId="0D853C0F" w14:textId="77777777" w:rsidR="009F2A5C" w:rsidRPr="002D28AB" w:rsidRDefault="009F2A5C" w:rsidP="004D13DE">
            <w:pPr>
              <w:rPr>
                <w:rFonts w:ascii="Times New Roman" w:hAnsi="Times New Roman" w:cs="Times New Roman"/>
                <w:sz w:val="22"/>
                <w:szCs w:val="22"/>
              </w:rPr>
            </w:pPr>
          </w:p>
        </w:tc>
        <w:tc>
          <w:tcPr>
            <w:tcW w:w="450" w:type="dxa"/>
          </w:tcPr>
          <w:p w14:paraId="4B5DBE8D" w14:textId="77777777" w:rsidR="009F2A5C" w:rsidRPr="002D28AB" w:rsidRDefault="009F2A5C" w:rsidP="004D13DE">
            <w:pPr>
              <w:rPr>
                <w:rFonts w:ascii="Times New Roman" w:hAnsi="Times New Roman" w:cs="Times New Roman"/>
                <w:sz w:val="22"/>
                <w:szCs w:val="22"/>
              </w:rPr>
            </w:pPr>
          </w:p>
        </w:tc>
        <w:tc>
          <w:tcPr>
            <w:tcW w:w="630" w:type="dxa"/>
          </w:tcPr>
          <w:p w14:paraId="6663FC6A" w14:textId="77777777" w:rsidR="009F2A5C" w:rsidRPr="002D28AB" w:rsidRDefault="009F2A5C" w:rsidP="004D13DE">
            <w:pPr>
              <w:rPr>
                <w:rFonts w:ascii="Times New Roman" w:hAnsi="Times New Roman" w:cs="Times New Roman"/>
                <w:sz w:val="22"/>
                <w:szCs w:val="22"/>
              </w:rPr>
            </w:pPr>
          </w:p>
        </w:tc>
        <w:tc>
          <w:tcPr>
            <w:tcW w:w="720" w:type="dxa"/>
          </w:tcPr>
          <w:p w14:paraId="24D75C81"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75048D36" w14:textId="77777777" w:rsidR="009F2A5C" w:rsidRPr="002D28AB" w:rsidRDefault="009F2A5C" w:rsidP="004D13DE">
            <w:pPr>
              <w:rPr>
                <w:rFonts w:ascii="Times New Roman" w:hAnsi="Times New Roman" w:cs="Times New Roman"/>
                <w:sz w:val="22"/>
                <w:szCs w:val="22"/>
              </w:rPr>
            </w:pPr>
          </w:p>
        </w:tc>
        <w:tc>
          <w:tcPr>
            <w:tcW w:w="829" w:type="dxa"/>
          </w:tcPr>
          <w:p w14:paraId="4AAA5457"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20E57A21" w14:textId="77777777" w:rsidTr="004D13DE">
        <w:tc>
          <w:tcPr>
            <w:tcW w:w="829" w:type="dxa"/>
          </w:tcPr>
          <w:p w14:paraId="58DA3C5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S2</w:t>
            </w:r>
          </w:p>
        </w:tc>
        <w:tc>
          <w:tcPr>
            <w:tcW w:w="1596" w:type="dxa"/>
          </w:tcPr>
          <w:p w14:paraId="474A6D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effectiveness</w:t>
            </w:r>
          </w:p>
        </w:tc>
        <w:tc>
          <w:tcPr>
            <w:tcW w:w="3060" w:type="dxa"/>
          </w:tcPr>
          <w:p w14:paraId="0D44F2E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proportion of false or redundant alerts in medication/allergy warnings is very low.</w:t>
            </w:r>
          </w:p>
        </w:tc>
        <w:tc>
          <w:tcPr>
            <w:tcW w:w="450" w:type="dxa"/>
          </w:tcPr>
          <w:p w14:paraId="2926F6C3"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56D559D3" w14:textId="77777777" w:rsidR="009F2A5C" w:rsidRPr="002D28AB" w:rsidRDefault="009F2A5C" w:rsidP="004D13DE">
            <w:pPr>
              <w:rPr>
                <w:rFonts w:ascii="Times New Roman" w:hAnsi="Times New Roman" w:cs="Times New Roman"/>
                <w:sz w:val="22"/>
                <w:szCs w:val="22"/>
              </w:rPr>
            </w:pPr>
          </w:p>
        </w:tc>
        <w:tc>
          <w:tcPr>
            <w:tcW w:w="450" w:type="dxa"/>
          </w:tcPr>
          <w:p w14:paraId="51E3DC54" w14:textId="77777777" w:rsidR="009F2A5C" w:rsidRPr="002D28AB" w:rsidRDefault="009F2A5C" w:rsidP="004D13DE">
            <w:pPr>
              <w:rPr>
                <w:rFonts w:ascii="Times New Roman" w:hAnsi="Times New Roman" w:cs="Times New Roman"/>
                <w:sz w:val="22"/>
                <w:szCs w:val="22"/>
              </w:rPr>
            </w:pPr>
          </w:p>
        </w:tc>
        <w:tc>
          <w:tcPr>
            <w:tcW w:w="630" w:type="dxa"/>
          </w:tcPr>
          <w:p w14:paraId="2D8852D7" w14:textId="77777777" w:rsidR="009F2A5C" w:rsidRPr="002D28AB" w:rsidRDefault="009F2A5C" w:rsidP="004D13DE">
            <w:pPr>
              <w:rPr>
                <w:rFonts w:ascii="Times New Roman" w:hAnsi="Times New Roman" w:cs="Times New Roman"/>
                <w:sz w:val="22"/>
                <w:szCs w:val="22"/>
              </w:rPr>
            </w:pPr>
          </w:p>
        </w:tc>
        <w:tc>
          <w:tcPr>
            <w:tcW w:w="720" w:type="dxa"/>
          </w:tcPr>
          <w:p w14:paraId="61DED127" w14:textId="77777777" w:rsidR="009F2A5C" w:rsidRPr="002D28AB" w:rsidRDefault="009F2A5C" w:rsidP="004D13DE">
            <w:pPr>
              <w:rPr>
                <w:rFonts w:ascii="Times New Roman" w:hAnsi="Times New Roman" w:cs="Times New Roman"/>
                <w:sz w:val="22"/>
                <w:szCs w:val="22"/>
              </w:rPr>
            </w:pPr>
          </w:p>
        </w:tc>
        <w:tc>
          <w:tcPr>
            <w:tcW w:w="829" w:type="dxa"/>
          </w:tcPr>
          <w:p w14:paraId="3C0AB736"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022357A1" w14:textId="77777777" w:rsidR="009F2A5C" w:rsidRPr="002D28AB" w:rsidRDefault="009F2A5C" w:rsidP="004D13DE">
            <w:pPr>
              <w:rPr>
                <w:rFonts w:ascii="Times New Roman" w:hAnsi="Times New Roman" w:cs="Times New Roman"/>
                <w:sz w:val="22"/>
                <w:szCs w:val="22"/>
              </w:rPr>
            </w:pPr>
          </w:p>
        </w:tc>
      </w:tr>
      <w:tr w:rsidR="009F2A5C" w:rsidRPr="002D28AB" w14:paraId="10404C05" w14:textId="77777777" w:rsidTr="004D13DE">
        <w:tc>
          <w:tcPr>
            <w:tcW w:w="829" w:type="dxa"/>
          </w:tcPr>
          <w:p w14:paraId="1E8B182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H3</w:t>
            </w:r>
          </w:p>
        </w:tc>
        <w:tc>
          <w:tcPr>
            <w:tcW w:w="1596" w:type="dxa"/>
          </w:tcPr>
          <w:p w14:paraId="5929C08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fatigue</w:t>
            </w:r>
          </w:p>
        </w:tc>
        <w:tc>
          <w:tcPr>
            <w:tcW w:w="3060" w:type="dxa"/>
          </w:tcPr>
          <w:p w14:paraId="31CB84E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Frequent alert pop-ups make me sometimes ignore truly important alerts. (reverse-labelled)</w:t>
            </w:r>
          </w:p>
        </w:tc>
        <w:tc>
          <w:tcPr>
            <w:tcW w:w="450" w:type="dxa"/>
          </w:tcPr>
          <w:p w14:paraId="67B79DC3" w14:textId="77777777" w:rsidR="009F2A5C" w:rsidRPr="002D28AB" w:rsidRDefault="009F2A5C" w:rsidP="004D13DE">
            <w:pPr>
              <w:rPr>
                <w:rFonts w:ascii="Times New Roman" w:hAnsi="Times New Roman" w:cs="Times New Roman"/>
                <w:sz w:val="22"/>
                <w:szCs w:val="22"/>
              </w:rPr>
            </w:pPr>
          </w:p>
        </w:tc>
        <w:tc>
          <w:tcPr>
            <w:tcW w:w="450" w:type="dxa"/>
          </w:tcPr>
          <w:p w14:paraId="0A2C32FC"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5CACABA9" w14:textId="77777777" w:rsidR="009F2A5C" w:rsidRPr="002D28AB" w:rsidRDefault="009F2A5C" w:rsidP="004D13DE">
            <w:pPr>
              <w:rPr>
                <w:rFonts w:ascii="Times New Roman" w:hAnsi="Times New Roman" w:cs="Times New Roman"/>
                <w:sz w:val="22"/>
                <w:szCs w:val="22"/>
              </w:rPr>
            </w:pPr>
          </w:p>
        </w:tc>
        <w:tc>
          <w:tcPr>
            <w:tcW w:w="630" w:type="dxa"/>
          </w:tcPr>
          <w:p w14:paraId="6742627C" w14:textId="77777777" w:rsidR="009F2A5C" w:rsidRPr="002D28AB" w:rsidRDefault="009F2A5C" w:rsidP="004D13DE">
            <w:pPr>
              <w:rPr>
                <w:rFonts w:ascii="Times New Roman" w:hAnsi="Times New Roman" w:cs="Times New Roman"/>
                <w:sz w:val="22"/>
                <w:szCs w:val="22"/>
              </w:rPr>
            </w:pPr>
          </w:p>
        </w:tc>
        <w:tc>
          <w:tcPr>
            <w:tcW w:w="720" w:type="dxa"/>
          </w:tcPr>
          <w:p w14:paraId="78C9250E" w14:textId="77777777" w:rsidR="009F2A5C" w:rsidRPr="002D28AB" w:rsidRDefault="009F2A5C" w:rsidP="004D13DE">
            <w:pPr>
              <w:rPr>
                <w:rFonts w:ascii="Times New Roman" w:hAnsi="Times New Roman" w:cs="Times New Roman"/>
                <w:sz w:val="22"/>
                <w:szCs w:val="22"/>
              </w:rPr>
            </w:pPr>
          </w:p>
        </w:tc>
        <w:tc>
          <w:tcPr>
            <w:tcW w:w="829" w:type="dxa"/>
          </w:tcPr>
          <w:p w14:paraId="579F8D82"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1F04A525" w14:textId="77777777" w:rsidR="009F2A5C" w:rsidRPr="002D28AB" w:rsidRDefault="009F2A5C" w:rsidP="004D13DE">
            <w:pPr>
              <w:rPr>
                <w:rFonts w:ascii="Times New Roman" w:hAnsi="Times New Roman" w:cs="Times New Roman"/>
                <w:sz w:val="22"/>
                <w:szCs w:val="22"/>
              </w:rPr>
            </w:pPr>
          </w:p>
        </w:tc>
      </w:tr>
      <w:tr w:rsidR="009F2A5C" w:rsidRPr="002D28AB" w14:paraId="15475F4B" w14:textId="77777777" w:rsidTr="004D13DE">
        <w:tc>
          <w:tcPr>
            <w:tcW w:w="829" w:type="dxa"/>
          </w:tcPr>
          <w:p w14:paraId="0DB10B8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H1</w:t>
            </w:r>
          </w:p>
        </w:tc>
        <w:tc>
          <w:tcPr>
            <w:tcW w:w="1596" w:type="dxa"/>
          </w:tcPr>
          <w:p w14:paraId="5C14C86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Cognitive load</w:t>
            </w:r>
          </w:p>
        </w:tc>
        <w:tc>
          <w:tcPr>
            <w:tcW w:w="3060" w:type="dxa"/>
          </w:tcPr>
          <w:p w14:paraId="24583F3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When using the EHR, I often need to handle multiple pop-up windows or processes simultaneously.</w:t>
            </w:r>
          </w:p>
        </w:tc>
        <w:tc>
          <w:tcPr>
            <w:tcW w:w="450" w:type="dxa"/>
          </w:tcPr>
          <w:p w14:paraId="687E75ED" w14:textId="77777777" w:rsidR="009F2A5C" w:rsidRPr="002D28AB" w:rsidRDefault="009F2A5C" w:rsidP="004D13DE">
            <w:pPr>
              <w:rPr>
                <w:rFonts w:ascii="Times New Roman" w:hAnsi="Times New Roman" w:cs="Times New Roman"/>
                <w:sz w:val="22"/>
                <w:szCs w:val="22"/>
              </w:rPr>
            </w:pPr>
          </w:p>
        </w:tc>
        <w:tc>
          <w:tcPr>
            <w:tcW w:w="450" w:type="dxa"/>
          </w:tcPr>
          <w:p w14:paraId="567EE77A"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5D83201D" w14:textId="77777777" w:rsidR="009F2A5C" w:rsidRPr="002D28AB" w:rsidRDefault="009F2A5C" w:rsidP="004D13DE">
            <w:pPr>
              <w:rPr>
                <w:rFonts w:ascii="Times New Roman" w:hAnsi="Times New Roman" w:cs="Times New Roman"/>
                <w:sz w:val="22"/>
                <w:szCs w:val="22"/>
              </w:rPr>
            </w:pPr>
          </w:p>
        </w:tc>
        <w:tc>
          <w:tcPr>
            <w:tcW w:w="630" w:type="dxa"/>
          </w:tcPr>
          <w:p w14:paraId="0A73EEDA" w14:textId="77777777" w:rsidR="009F2A5C" w:rsidRPr="002D28AB" w:rsidRDefault="009F2A5C" w:rsidP="004D13DE">
            <w:pPr>
              <w:rPr>
                <w:rFonts w:ascii="Times New Roman" w:hAnsi="Times New Roman" w:cs="Times New Roman"/>
                <w:sz w:val="22"/>
                <w:szCs w:val="22"/>
              </w:rPr>
            </w:pPr>
          </w:p>
        </w:tc>
        <w:tc>
          <w:tcPr>
            <w:tcW w:w="720" w:type="dxa"/>
          </w:tcPr>
          <w:p w14:paraId="1C9ECD68" w14:textId="77777777" w:rsidR="009F2A5C" w:rsidRPr="002D28AB" w:rsidRDefault="009F2A5C" w:rsidP="004D13DE">
            <w:pPr>
              <w:rPr>
                <w:rFonts w:ascii="Times New Roman" w:hAnsi="Times New Roman" w:cs="Times New Roman"/>
                <w:sz w:val="22"/>
                <w:szCs w:val="22"/>
              </w:rPr>
            </w:pPr>
          </w:p>
        </w:tc>
        <w:tc>
          <w:tcPr>
            <w:tcW w:w="829" w:type="dxa"/>
          </w:tcPr>
          <w:p w14:paraId="133AC8B4"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51326487" w14:textId="77777777" w:rsidR="009F2A5C" w:rsidRPr="002D28AB" w:rsidRDefault="009F2A5C" w:rsidP="004D13DE">
            <w:pPr>
              <w:rPr>
                <w:rFonts w:ascii="Times New Roman" w:hAnsi="Times New Roman" w:cs="Times New Roman"/>
                <w:sz w:val="22"/>
                <w:szCs w:val="22"/>
              </w:rPr>
            </w:pPr>
          </w:p>
        </w:tc>
      </w:tr>
      <w:tr w:rsidR="009F2A5C" w:rsidRPr="002D28AB" w14:paraId="0BC2BF14" w14:textId="77777777" w:rsidTr="004D13DE">
        <w:tc>
          <w:tcPr>
            <w:tcW w:w="829" w:type="dxa"/>
          </w:tcPr>
          <w:p w14:paraId="6E1F885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H6</w:t>
            </w:r>
          </w:p>
        </w:tc>
        <w:tc>
          <w:tcPr>
            <w:tcW w:w="1596" w:type="dxa"/>
          </w:tcPr>
          <w:p w14:paraId="4ABDCE5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Collaboration and communication support</w:t>
            </w:r>
          </w:p>
        </w:tc>
        <w:tc>
          <w:tcPr>
            <w:tcW w:w="3060" w:type="dxa"/>
          </w:tcPr>
          <w:p w14:paraId="6EA0BE2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way information is recorded in the EHR makes interprofessional communication easier.</w:t>
            </w:r>
          </w:p>
        </w:tc>
        <w:tc>
          <w:tcPr>
            <w:tcW w:w="450" w:type="dxa"/>
          </w:tcPr>
          <w:p w14:paraId="27AB0DD9" w14:textId="77777777" w:rsidR="009F2A5C" w:rsidRPr="002D28AB" w:rsidRDefault="009F2A5C" w:rsidP="004D13DE">
            <w:pPr>
              <w:rPr>
                <w:rFonts w:ascii="Times New Roman" w:hAnsi="Times New Roman" w:cs="Times New Roman"/>
                <w:sz w:val="22"/>
                <w:szCs w:val="22"/>
              </w:rPr>
            </w:pPr>
          </w:p>
        </w:tc>
        <w:tc>
          <w:tcPr>
            <w:tcW w:w="450" w:type="dxa"/>
          </w:tcPr>
          <w:p w14:paraId="683EFC18"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535A22BF" w14:textId="77777777" w:rsidR="009F2A5C" w:rsidRPr="002D28AB" w:rsidRDefault="009F2A5C" w:rsidP="004D13DE">
            <w:pPr>
              <w:rPr>
                <w:rFonts w:ascii="Times New Roman" w:hAnsi="Times New Roman" w:cs="Times New Roman"/>
                <w:sz w:val="22"/>
                <w:szCs w:val="22"/>
              </w:rPr>
            </w:pPr>
          </w:p>
        </w:tc>
        <w:tc>
          <w:tcPr>
            <w:tcW w:w="630" w:type="dxa"/>
          </w:tcPr>
          <w:p w14:paraId="43F3E728" w14:textId="77777777" w:rsidR="009F2A5C" w:rsidRPr="002D28AB" w:rsidRDefault="009F2A5C" w:rsidP="004D13DE">
            <w:pPr>
              <w:rPr>
                <w:rFonts w:ascii="Times New Roman" w:hAnsi="Times New Roman" w:cs="Times New Roman"/>
                <w:sz w:val="22"/>
                <w:szCs w:val="22"/>
              </w:rPr>
            </w:pPr>
          </w:p>
        </w:tc>
        <w:tc>
          <w:tcPr>
            <w:tcW w:w="720" w:type="dxa"/>
          </w:tcPr>
          <w:p w14:paraId="7EF7C757" w14:textId="77777777" w:rsidR="009F2A5C" w:rsidRPr="002D28AB" w:rsidRDefault="009F2A5C" w:rsidP="004D13DE">
            <w:pPr>
              <w:rPr>
                <w:rFonts w:ascii="Times New Roman" w:hAnsi="Times New Roman" w:cs="Times New Roman"/>
                <w:sz w:val="22"/>
                <w:szCs w:val="22"/>
              </w:rPr>
            </w:pPr>
          </w:p>
        </w:tc>
        <w:tc>
          <w:tcPr>
            <w:tcW w:w="829" w:type="dxa"/>
          </w:tcPr>
          <w:p w14:paraId="02A73E5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50F01BE" w14:textId="77777777" w:rsidR="009F2A5C" w:rsidRPr="002D28AB" w:rsidRDefault="009F2A5C" w:rsidP="004D13DE">
            <w:pPr>
              <w:rPr>
                <w:rFonts w:ascii="Times New Roman" w:hAnsi="Times New Roman" w:cs="Times New Roman"/>
                <w:sz w:val="22"/>
                <w:szCs w:val="22"/>
              </w:rPr>
            </w:pPr>
          </w:p>
        </w:tc>
      </w:tr>
      <w:tr w:rsidR="009F2A5C" w:rsidRPr="002D28AB" w14:paraId="769DCD94" w14:textId="77777777" w:rsidTr="004D13DE">
        <w:tc>
          <w:tcPr>
            <w:tcW w:w="829" w:type="dxa"/>
          </w:tcPr>
          <w:p w14:paraId="49291FB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O2</w:t>
            </w:r>
          </w:p>
        </w:tc>
        <w:tc>
          <w:tcPr>
            <w:tcW w:w="1596" w:type="dxa"/>
          </w:tcPr>
          <w:p w14:paraId="49B23A7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Cross-department collaboration mechanisms</w:t>
            </w:r>
          </w:p>
        </w:tc>
        <w:tc>
          <w:tcPr>
            <w:tcW w:w="3060" w:type="dxa"/>
          </w:tcPr>
          <w:p w14:paraId="557AE88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IT and clinical departments regularly work together to optimize EHR workflows.</w:t>
            </w:r>
          </w:p>
        </w:tc>
        <w:tc>
          <w:tcPr>
            <w:tcW w:w="450" w:type="dxa"/>
          </w:tcPr>
          <w:p w14:paraId="6736C347" w14:textId="77777777" w:rsidR="009F2A5C" w:rsidRPr="002D28AB" w:rsidRDefault="009F2A5C" w:rsidP="004D13DE">
            <w:pPr>
              <w:rPr>
                <w:rFonts w:ascii="Times New Roman" w:hAnsi="Times New Roman" w:cs="Times New Roman"/>
                <w:sz w:val="22"/>
                <w:szCs w:val="22"/>
              </w:rPr>
            </w:pPr>
          </w:p>
        </w:tc>
        <w:tc>
          <w:tcPr>
            <w:tcW w:w="450" w:type="dxa"/>
          </w:tcPr>
          <w:p w14:paraId="3AEE64E4" w14:textId="77777777" w:rsidR="009F2A5C" w:rsidRPr="002D28AB" w:rsidRDefault="009F2A5C" w:rsidP="004D13DE">
            <w:pPr>
              <w:rPr>
                <w:rFonts w:ascii="Times New Roman" w:hAnsi="Times New Roman" w:cs="Times New Roman"/>
                <w:sz w:val="22"/>
                <w:szCs w:val="22"/>
              </w:rPr>
            </w:pPr>
          </w:p>
        </w:tc>
        <w:tc>
          <w:tcPr>
            <w:tcW w:w="450" w:type="dxa"/>
          </w:tcPr>
          <w:p w14:paraId="66A1607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630" w:type="dxa"/>
          </w:tcPr>
          <w:p w14:paraId="57FE5C58" w14:textId="77777777" w:rsidR="009F2A5C" w:rsidRPr="002D28AB" w:rsidRDefault="009F2A5C" w:rsidP="004D13DE">
            <w:pPr>
              <w:rPr>
                <w:rFonts w:ascii="Times New Roman" w:hAnsi="Times New Roman" w:cs="Times New Roman"/>
                <w:sz w:val="22"/>
                <w:szCs w:val="22"/>
              </w:rPr>
            </w:pPr>
          </w:p>
        </w:tc>
        <w:tc>
          <w:tcPr>
            <w:tcW w:w="720" w:type="dxa"/>
          </w:tcPr>
          <w:p w14:paraId="54296EC3" w14:textId="77777777" w:rsidR="009F2A5C" w:rsidRPr="002D28AB" w:rsidRDefault="009F2A5C" w:rsidP="004D13DE">
            <w:pPr>
              <w:rPr>
                <w:rFonts w:ascii="Times New Roman" w:hAnsi="Times New Roman" w:cs="Times New Roman"/>
                <w:sz w:val="22"/>
                <w:szCs w:val="22"/>
              </w:rPr>
            </w:pPr>
          </w:p>
        </w:tc>
        <w:tc>
          <w:tcPr>
            <w:tcW w:w="829" w:type="dxa"/>
          </w:tcPr>
          <w:p w14:paraId="548B2407" w14:textId="77777777" w:rsidR="009F2A5C" w:rsidRPr="002D28AB" w:rsidRDefault="009F2A5C" w:rsidP="004D13DE">
            <w:pPr>
              <w:rPr>
                <w:rFonts w:ascii="Times New Roman" w:hAnsi="Times New Roman" w:cs="Times New Roman"/>
                <w:sz w:val="22"/>
                <w:szCs w:val="22"/>
              </w:rPr>
            </w:pPr>
          </w:p>
        </w:tc>
        <w:tc>
          <w:tcPr>
            <w:tcW w:w="829" w:type="dxa"/>
          </w:tcPr>
          <w:p w14:paraId="78F1FDAD"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7800BE5D" w14:textId="77777777" w:rsidTr="004D13DE">
        <w:tc>
          <w:tcPr>
            <w:tcW w:w="829" w:type="dxa"/>
          </w:tcPr>
          <w:p w14:paraId="1EE4B12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S6</w:t>
            </w:r>
          </w:p>
        </w:tc>
        <w:tc>
          <w:tcPr>
            <w:tcW w:w="1596" w:type="dxa"/>
          </w:tcPr>
          <w:p w14:paraId="466D384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Customizability</w:t>
            </w:r>
          </w:p>
        </w:tc>
        <w:tc>
          <w:tcPr>
            <w:tcW w:w="3060" w:type="dxa"/>
          </w:tcPr>
          <w:p w14:paraId="6713DE9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EHR allows me to customize templates or shortcuts according to my preferences.</w:t>
            </w:r>
          </w:p>
        </w:tc>
        <w:tc>
          <w:tcPr>
            <w:tcW w:w="450" w:type="dxa"/>
          </w:tcPr>
          <w:p w14:paraId="004F43EA"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7BED218D" w14:textId="77777777" w:rsidR="009F2A5C" w:rsidRPr="002D28AB" w:rsidRDefault="009F2A5C" w:rsidP="004D13DE">
            <w:pPr>
              <w:rPr>
                <w:rFonts w:ascii="Times New Roman" w:hAnsi="Times New Roman" w:cs="Times New Roman"/>
                <w:sz w:val="22"/>
                <w:szCs w:val="22"/>
              </w:rPr>
            </w:pPr>
          </w:p>
        </w:tc>
        <w:tc>
          <w:tcPr>
            <w:tcW w:w="450" w:type="dxa"/>
          </w:tcPr>
          <w:p w14:paraId="532D0B3E" w14:textId="77777777" w:rsidR="009F2A5C" w:rsidRPr="002D28AB" w:rsidRDefault="009F2A5C" w:rsidP="004D13DE">
            <w:pPr>
              <w:rPr>
                <w:rFonts w:ascii="Times New Roman" w:hAnsi="Times New Roman" w:cs="Times New Roman"/>
                <w:sz w:val="22"/>
                <w:szCs w:val="22"/>
              </w:rPr>
            </w:pPr>
          </w:p>
        </w:tc>
        <w:tc>
          <w:tcPr>
            <w:tcW w:w="630" w:type="dxa"/>
          </w:tcPr>
          <w:p w14:paraId="02153CD8" w14:textId="77777777" w:rsidR="009F2A5C" w:rsidRPr="002D28AB" w:rsidRDefault="009F2A5C" w:rsidP="004D13DE">
            <w:pPr>
              <w:rPr>
                <w:rFonts w:ascii="Times New Roman" w:hAnsi="Times New Roman" w:cs="Times New Roman"/>
                <w:sz w:val="22"/>
                <w:szCs w:val="22"/>
              </w:rPr>
            </w:pPr>
          </w:p>
        </w:tc>
        <w:tc>
          <w:tcPr>
            <w:tcW w:w="720" w:type="dxa"/>
          </w:tcPr>
          <w:p w14:paraId="03CBCC7D" w14:textId="77777777" w:rsidR="009F2A5C" w:rsidRPr="002D28AB" w:rsidRDefault="009F2A5C" w:rsidP="004D13DE">
            <w:pPr>
              <w:rPr>
                <w:rFonts w:ascii="Times New Roman" w:hAnsi="Times New Roman" w:cs="Times New Roman"/>
                <w:sz w:val="22"/>
                <w:szCs w:val="22"/>
              </w:rPr>
            </w:pPr>
          </w:p>
        </w:tc>
        <w:tc>
          <w:tcPr>
            <w:tcW w:w="829" w:type="dxa"/>
          </w:tcPr>
          <w:p w14:paraId="3C709CB9"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4739305A" w14:textId="77777777" w:rsidR="009F2A5C" w:rsidRPr="002D28AB" w:rsidRDefault="009F2A5C" w:rsidP="004D13DE">
            <w:pPr>
              <w:rPr>
                <w:rFonts w:ascii="Times New Roman" w:hAnsi="Times New Roman" w:cs="Times New Roman"/>
                <w:sz w:val="22"/>
                <w:szCs w:val="22"/>
              </w:rPr>
            </w:pPr>
          </w:p>
        </w:tc>
      </w:tr>
      <w:tr w:rsidR="009F2A5C" w:rsidRPr="002D28AB" w14:paraId="621A37AD" w14:textId="77777777" w:rsidTr="004D13DE">
        <w:tc>
          <w:tcPr>
            <w:tcW w:w="829" w:type="dxa"/>
          </w:tcPr>
          <w:p w14:paraId="4F93F58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S3</w:t>
            </w:r>
          </w:p>
        </w:tc>
        <w:tc>
          <w:tcPr>
            <w:tcW w:w="1596" w:type="dxa"/>
          </w:tcPr>
          <w:p w14:paraId="7A3F7D6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Data entry efficiency</w:t>
            </w:r>
          </w:p>
        </w:tc>
        <w:tc>
          <w:tcPr>
            <w:tcW w:w="3060" w:type="dxa"/>
          </w:tcPr>
          <w:p w14:paraId="70BBDE0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time I need to complete a single order entry has not increased compared with the paper era.</w:t>
            </w:r>
          </w:p>
        </w:tc>
        <w:tc>
          <w:tcPr>
            <w:tcW w:w="450" w:type="dxa"/>
          </w:tcPr>
          <w:p w14:paraId="72423A36"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71C0314F" w14:textId="77777777" w:rsidR="009F2A5C" w:rsidRPr="002D28AB" w:rsidRDefault="009F2A5C" w:rsidP="004D13DE">
            <w:pPr>
              <w:rPr>
                <w:rFonts w:ascii="Times New Roman" w:hAnsi="Times New Roman" w:cs="Times New Roman"/>
                <w:sz w:val="22"/>
                <w:szCs w:val="22"/>
              </w:rPr>
            </w:pPr>
          </w:p>
        </w:tc>
        <w:tc>
          <w:tcPr>
            <w:tcW w:w="450" w:type="dxa"/>
          </w:tcPr>
          <w:p w14:paraId="7530A21A" w14:textId="77777777" w:rsidR="009F2A5C" w:rsidRPr="002D28AB" w:rsidRDefault="009F2A5C" w:rsidP="004D13DE">
            <w:pPr>
              <w:rPr>
                <w:rFonts w:ascii="Times New Roman" w:hAnsi="Times New Roman" w:cs="Times New Roman"/>
                <w:sz w:val="22"/>
                <w:szCs w:val="22"/>
              </w:rPr>
            </w:pPr>
          </w:p>
        </w:tc>
        <w:tc>
          <w:tcPr>
            <w:tcW w:w="630" w:type="dxa"/>
          </w:tcPr>
          <w:p w14:paraId="65C7A9C4" w14:textId="77777777" w:rsidR="009F2A5C" w:rsidRPr="002D28AB" w:rsidRDefault="009F2A5C" w:rsidP="004D13DE">
            <w:pPr>
              <w:rPr>
                <w:rFonts w:ascii="Times New Roman" w:hAnsi="Times New Roman" w:cs="Times New Roman"/>
                <w:sz w:val="22"/>
                <w:szCs w:val="22"/>
              </w:rPr>
            </w:pPr>
          </w:p>
        </w:tc>
        <w:tc>
          <w:tcPr>
            <w:tcW w:w="720" w:type="dxa"/>
          </w:tcPr>
          <w:p w14:paraId="37C8BAD1" w14:textId="77777777" w:rsidR="009F2A5C" w:rsidRPr="002D28AB" w:rsidRDefault="009F2A5C" w:rsidP="004D13DE">
            <w:pPr>
              <w:rPr>
                <w:rFonts w:ascii="Times New Roman" w:hAnsi="Times New Roman" w:cs="Times New Roman"/>
                <w:sz w:val="22"/>
                <w:szCs w:val="22"/>
              </w:rPr>
            </w:pPr>
          </w:p>
        </w:tc>
        <w:tc>
          <w:tcPr>
            <w:tcW w:w="829" w:type="dxa"/>
          </w:tcPr>
          <w:p w14:paraId="2AB3AC02"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49DA9886" w14:textId="77777777" w:rsidR="009F2A5C" w:rsidRPr="002D28AB" w:rsidRDefault="009F2A5C" w:rsidP="004D13DE">
            <w:pPr>
              <w:rPr>
                <w:rFonts w:ascii="Times New Roman" w:hAnsi="Times New Roman" w:cs="Times New Roman"/>
                <w:sz w:val="22"/>
                <w:szCs w:val="22"/>
              </w:rPr>
            </w:pPr>
          </w:p>
        </w:tc>
      </w:tr>
      <w:tr w:rsidR="009F2A5C" w:rsidRPr="002D28AB" w14:paraId="5465D119" w14:textId="77777777" w:rsidTr="004D13DE">
        <w:tc>
          <w:tcPr>
            <w:tcW w:w="829" w:type="dxa"/>
          </w:tcPr>
          <w:p w14:paraId="22D6D06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C8</w:t>
            </w:r>
          </w:p>
        </w:tc>
        <w:tc>
          <w:tcPr>
            <w:tcW w:w="1596" w:type="dxa"/>
          </w:tcPr>
          <w:p w14:paraId="2604B54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Error frequency</w:t>
            </w:r>
          </w:p>
        </w:tc>
        <w:tc>
          <w:tcPr>
            <w:tcW w:w="3060" w:type="dxa"/>
          </w:tcPr>
          <w:p w14:paraId="1DAAA2A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frequency of medical record errors has decreased after using the EHR.</w:t>
            </w:r>
          </w:p>
        </w:tc>
        <w:tc>
          <w:tcPr>
            <w:tcW w:w="450" w:type="dxa"/>
          </w:tcPr>
          <w:p w14:paraId="362DEBC8" w14:textId="77777777" w:rsidR="009F2A5C" w:rsidRPr="002D28AB" w:rsidRDefault="009F2A5C" w:rsidP="004D13DE">
            <w:pPr>
              <w:rPr>
                <w:rFonts w:ascii="Times New Roman" w:hAnsi="Times New Roman" w:cs="Times New Roman"/>
                <w:sz w:val="22"/>
                <w:szCs w:val="22"/>
              </w:rPr>
            </w:pPr>
          </w:p>
        </w:tc>
        <w:tc>
          <w:tcPr>
            <w:tcW w:w="450" w:type="dxa"/>
          </w:tcPr>
          <w:p w14:paraId="1ABB23B6" w14:textId="77777777" w:rsidR="009F2A5C" w:rsidRPr="002D28AB" w:rsidRDefault="009F2A5C" w:rsidP="004D13DE">
            <w:pPr>
              <w:rPr>
                <w:rFonts w:ascii="Times New Roman" w:hAnsi="Times New Roman" w:cs="Times New Roman"/>
                <w:sz w:val="22"/>
                <w:szCs w:val="22"/>
              </w:rPr>
            </w:pPr>
          </w:p>
        </w:tc>
        <w:tc>
          <w:tcPr>
            <w:tcW w:w="450" w:type="dxa"/>
          </w:tcPr>
          <w:p w14:paraId="1855BE9B" w14:textId="77777777" w:rsidR="009F2A5C" w:rsidRPr="002D28AB" w:rsidRDefault="009F2A5C" w:rsidP="004D13DE">
            <w:pPr>
              <w:rPr>
                <w:rFonts w:ascii="Times New Roman" w:hAnsi="Times New Roman" w:cs="Times New Roman"/>
                <w:sz w:val="22"/>
                <w:szCs w:val="22"/>
              </w:rPr>
            </w:pPr>
          </w:p>
        </w:tc>
        <w:tc>
          <w:tcPr>
            <w:tcW w:w="630" w:type="dxa"/>
          </w:tcPr>
          <w:p w14:paraId="2C7E10B5" w14:textId="77777777" w:rsidR="009F2A5C" w:rsidRPr="002D28AB" w:rsidRDefault="009F2A5C" w:rsidP="004D13DE">
            <w:pPr>
              <w:rPr>
                <w:rFonts w:ascii="Times New Roman" w:hAnsi="Times New Roman" w:cs="Times New Roman"/>
                <w:sz w:val="22"/>
                <w:szCs w:val="22"/>
              </w:rPr>
            </w:pPr>
          </w:p>
        </w:tc>
        <w:tc>
          <w:tcPr>
            <w:tcW w:w="720" w:type="dxa"/>
          </w:tcPr>
          <w:p w14:paraId="7B53C5C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57D7047C"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ED3F4DE"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778DC94B" w14:textId="77777777" w:rsidTr="004D13DE">
        <w:tc>
          <w:tcPr>
            <w:tcW w:w="829" w:type="dxa"/>
          </w:tcPr>
          <w:p w14:paraId="61138E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O3</w:t>
            </w:r>
          </w:p>
        </w:tc>
        <w:tc>
          <w:tcPr>
            <w:tcW w:w="1596" w:type="dxa"/>
          </w:tcPr>
          <w:p w14:paraId="463BF27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Management support level</w:t>
            </w:r>
          </w:p>
        </w:tc>
        <w:tc>
          <w:tcPr>
            <w:tcW w:w="3060" w:type="dxa"/>
          </w:tcPr>
          <w:p w14:paraId="04D09B5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Hospital management actively invests in and promotes EHR functional improvements.</w:t>
            </w:r>
          </w:p>
        </w:tc>
        <w:tc>
          <w:tcPr>
            <w:tcW w:w="450" w:type="dxa"/>
          </w:tcPr>
          <w:p w14:paraId="51E50F1C" w14:textId="77777777" w:rsidR="009F2A5C" w:rsidRPr="002D28AB" w:rsidRDefault="009F2A5C" w:rsidP="004D13DE">
            <w:pPr>
              <w:rPr>
                <w:rFonts w:ascii="Times New Roman" w:hAnsi="Times New Roman" w:cs="Times New Roman"/>
                <w:sz w:val="22"/>
                <w:szCs w:val="22"/>
              </w:rPr>
            </w:pPr>
          </w:p>
        </w:tc>
        <w:tc>
          <w:tcPr>
            <w:tcW w:w="450" w:type="dxa"/>
          </w:tcPr>
          <w:p w14:paraId="5B817438" w14:textId="77777777" w:rsidR="009F2A5C" w:rsidRPr="002D28AB" w:rsidRDefault="009F2A5C" w:rsidP="004D13DE">
            <w:pPr>
              <w:rPr>
                <w:rFonts w:ascii="Times New Roman" w:hAnsi="Times New Roman" w:cs="Times New Roman"/>
                <w:sz w:val="22"/>
                <w:szCs w:val="22"/>
              </w:rPr>
            </w:pPr>
          </w:p>
        </w:tc>
        <w:tc>
          <w:tcPr>
            <w:tcW w:w="450" w:type="dxa"/>
          </w:tcPr>
          <w:p w14:paraId="10547A63"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630" w:type="dxa"/>
          </w:tcPr>
          <w:p w14:paraId="13E7ECFA" w14:textId="77777777" w:rsidR="009F2A5C" w:rsidRPr="002D28AB" w:rsidRDefault="009F2A5C" w:rsidP="004D13DE">
            <w:pPr>
              <w:rPr>
                <w:rFonts w:ascii="Times New Roman" w:hAnsi="Times New Roman" w:cs="Times New Roman"/>
                <w:sz w:val="22"/>
                <w:szCs w:val="22"/>
              </w:rPr>
            </w:pPr>
          </w:p>
        </w:tc>
        <w:tc>
          <w:tcPr>
            <w:tcW w:w="720" w:type="dxa"/>
          </w:tcPr>
          <w:p w14:paraId="437AF176" w14:textId="77777777" w:rsidR="009F2A5C" w:rsidRPr="002D28AB" w:rsidRDefault="009F2A5C" w:rsidP="004D13DE">
            <w:pPr>
              <w:rPr>
                <w:rFonts w:ascii="Times New Roman" w:hAnsi="Times New Roman" w:cs="Times New Roman"/>
                <w:sz w:val="22"/>
                <w:szCs w:val="22"/>
              </w:rPr>
            </w:pPr>
          </w:p>
        </w:tc>
        <w:tc>
          <w:tcPr>
            <w:tcW w:w="829" w:type="dxa"/>
          </w:tcPr>
          <w:p w14:paraId="5E8E1003" w14:textId="77777777" w:rsidR="009F2A5C" w:rsidRPr="002D28AB" w:rsidRDefault="009F2A5C" w:rsidP="004D13DE">
            <w:pPr>
              <w:rPr>
                <w:rFonts w:ascii="Times New Roman" w:hAnsi="Times New Roman" w:cs="Times New Roman"/>
                <w:sz w:val="22"/>
                <w:szCs w:val="22"/>
              </w:rPr>
            </w:pPr>
          </w:p>
        </w:tc>
        <w:tc>
          <w:tcPr>
            <w:tcW w:w="829" w:type="dxa"/>
          </w:tcPr>
          <w:p w14:paraId="0B091C42"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6543858B" w14:textId="77777777" w:rsidTr="004D13DE">
        <w:tc>
          <w:tcPr>
            <w:tcW w:w="829" w:type="dxa"/>
          </w:tcPr>
          <w:p w14:paraId="157040B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S5</w:t>
            </w:r>
          </w:p>
        </w:tc>
        <w:tc>
          <w:tcPr>
            <w:tcW w:w="1596" w:type="dxa"/>
          </w:tcPr>
          <w:p w14:paraId="0E6FEA6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Mobile friendliness</w:t>
            </w:r>
          </w:p>
        </w:tc>
        <w:tc>
          <w:tcPr>
            <w:tcW w:w="3060" w:type="dxa"/>
          </w:tcPr>
          <w:p w14:paraId="76811CA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Using the EHR on mobile devices (tablet/phone) is as smooth as on desktop.</w:t>
            </w:r>
          </w:p>
        </w:tc>
        <w:tc>
          <w:tcPr>
            <w:tcW w:w="450" w:type="dxa"/>
          </w:tcPr>
          <w:p w14:paraId="52362B2F"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03237A2D" w14:textId="77777777" w:rsidR="009F2A5C" w:rsidRPr="002D28AB" w:rsidRDefault="009F2A5C" w:rsidP="004D13DE">
            <w:pPr>
              <w:rPr>
                <w:rFonts w:ascii="Times New Roman" w:hAnsi="Times New Roman" w:cs="Times New Roman"/>
                <w:sz w:val="22"/>
                <w:szCs w:val="22"/>
              </w:rPr>
            </w:pPr>
          </w:p>
        </w:tc>
        <w:tc>
          <w:tcPr>
            <w:tcW w:w="450" w:type="dxa"/>
          </w:tcPr>
          <w:p w14:paraId="0312CA7F" w14:textId="77777777" w:rsidR="009F2A5C" w:rsidRPr="002D28AB" w:rsidRDefault="009F2A5C" w:rsidP="004D13DE">
            <w:pPr>
              <w:rPr>
                <w:rFonts w:ascii="Times New Roman" w:hAnsi="Times New Roman" w:cs="Times New Roman"/>
                <w:sz w:val="22"/>
                <w:szCs w:val="22"/>
              </w:rPr>
            </w:pPr>
          </w:p>
        </w:tc>
        <w:tc>
          <w:tcPr>
            <w:tcW w:w="630" w:type="dxa"/>
          </w:tcPr>
          <w:p w14:paraId="02EF1BD2" w14:textId="77777777" w:rsidR="009F2A5C" w:rsidRPr="002D28AB" w:rsidRDefault="009F2A5C" w:rsidP="004D13DE">
            <w:pPr>
              <w:rPr>
                <w:rFonts w:ascii="Times New Roman" w:hAnsi="Times New Roman" w:cs="Times New Roman"/>
                <w:sz w:val="22"/>
                <w:szCs w:val="22"/>
              </w:rPr>
            </w:pPr>
          </w:p>
        </w:tc>
        <w:tc>
          <w:tcPr>
            <w:tcW w:w="720" w:type="dxa"/>
          </w:tcPr>
          <w:p w14:paraId="2A0AFBD0" w14:textId="77777777" w:rsidR="009F2A5C" w:rsidRPr="002D28AB" w:rsidRDefault="009F2A5C" w:rsidP="004D13DE">
            <w:pPr>
              <w:rPr>
                <w:rFonts w:ascii="Times New Roman" w:hAnsi="Times New Roman" w:cs="Times New Roman"/>
                <w:sz w:val="22"/>
                <w:szCs w:val="22"/>
              </w:rPr>
            </w:pPr>
          </w:p>
        </w:tc>
        <w:tc>
          <w:tcPr>
            <w:tcW w:w="829" w:type="dxa"/>
          </w:tcPr>
          <w:p w14:paraId="026B1314"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0C79F9F" w14:textId="77777777" w:rsidR="009F2A5C" w:rsidRPr="002D28AB" w:rsidRDefault="009F2A5C" w:rsidP="004D13DE">
            <w:pPr>
              <w:rPr>
                <w:rFonts w:ascii="Times New Roman" w:hAnsi="Times New Roman" w:cs="Times New Roman"/>
                <w:sz w:val="22"/>
                <w:szCs w:val="22"/>
              </w:rPr>
            </w:pPr>
          </w:p>
        </w:tc>
      </w:tr>
      <w:tr w:rsidR="009F2A5C" w:rsidRPr="002D28AB" w14:paraId="14C88A10" w14:textId="77777777" w:rsidTr="004D13DE">
        <w:tc>
          <w:tcPr>
            <w:tcW w:w="829" w:type="dxa"/>
          </w:tcPr>
          <w:p w14:paraId="6A67186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C12</w:t>
            </w:r>
          </w:p>
        </w:tc>
        <w:tc>
          <w:tcPr>
            <w:tcW w:w="1596" w:type="dxa"/>
          </w:tcPr>
          <w:p w14:paraId="10214C9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Model type and fit</w:t>
            </w:r>
          </w:p>
        </w:tc>
        <w:tc>
          <w:tcPr>
            <w:tcW w:w="3060" w:type="dxa"/>
          </w:tcPr>
          <w:p w14:paraId="688416C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AI capability embedded in the EHR matches clinical tasks and decision needs (task–function fit).</w:t>
            </w:r>
          </w:p>
        </w:tc>
        <w:tc>
          <w:tcPr>
            <w:tcW w:w="450" w:type="dxa"/>
          </w:tcPr>
          <w:p w14:paraId="2E6A5C35" w14:textId="77777777" w:rsidR="009F2A5C" w:rsidRPr="002D28AB" w:rsidRDefault="009F2A5C" w:rsidP="004D13DE">
            <w:pPr>
              <w:rPr>
                <w:rFonts w:ascii="Times New Roman" w:hAnsi="Times New Roman" w:cs="Times New Roman"/>
                <w:sz w:val="22"/>
                <w:szCs w:val="22"/>
              </w:rPr>
            </w:pPr>
          </w:p>
        </w:tc>
        <w:tc>
          <w:tcPr>
            <w:tcW w:w="450" w:type="dxa"/>
          </w:tcPr>
          <w:p w14:paraId="41603286" w14:textId="77777777" w:rsidR="009F2A5C" w:rsidRPr="002D28AB" w:rsidRDefault="009F2A5C" w:rsidP="004D13DE">
            <w:pPr>
              <w:rPr>
                <w:rFonts w:ascii="Times New Roman" w:hAnsi="Times New Roman" w:cs="Times New Roman"/>
                <w:sz w:val="22"/>
                <w:szCs w:val="22"/>
              </w:rPr>
            </w:pPr>
          </w:p>
        </w:tc>
        <w:tc>
          <w:tcPr>
            <w:tcW w:w="450" w:type="dxa"/>
          </w:tcPr>
          <w:p w14:paraId="227F0D48" w14:textId="77777777" w:rsidR="009F2A5C" w:rsidRPr="002D28AB" w:rsidRDefault="009F2A5C" w:rsidP="004D13DE">
            <w:pPr>
              <w:rPr>
                <w:rFonts w:ascii="Times New Roman" w:hAnsi="Times New Roman" w:cs="Times New Roman"/>
                <w:sz w:val="22"/>
                <w:szCs w:val="22"/>
              </w:rPr>
            </w:pPr>
          </w:p>
        </w:tc>
        <w:tc>
          <w:tcPr>
            <w:tcW w:w="630" w:type="dxa"/>
          </w:tcPr>
          <w:p w14:paraId="7F2D4B62" w14:textId="77777777" w:rsidR="009F2A5C" w:rsidRPr="002D28AB" w:rsidRDefault="009F2A5C" w:rsidP="004D13DE">
            <w:pPr>
              <w:rPr>
                <w:rFonts w:ascii="Times New Roman" w:hAnsi="Times New Roman" w:cs="Times New Roman"/>
                <w:sz w:val="22"/>
                <w:szCs w:val="22"/>
              </w:rPr>
            </w:pPr>
          </w:p>
        </w:tc>
        <w:tc>
          <w:tcPr>
            <w:tcW w:w="720" w:type="dxa"/>
          </w:tcPr>
          <w:p w14:paraId="07B1F2B4"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50B89FDB" w14:textId="77777777" w:rsidR="009F2A5C" w:rsidRPr="002D28AB" w:rsidRDefault="009F2A5C" w:rsidP="004D13DE">
            <w:pPr>
              <w:rPr>
                <w:rFonts w:ascii="Times New Roman" w:hAnsi="Times New Roman" w:cs="Times New Roman"/>
                <w:sz w:val="22"/>
                <w:szCs w:val="22"/>
              </w:rPr>
            </w:pPr>
          </w:p>
        </w:tc>
        <w:tc>
          <w:tcPr>
            <w:tcW w:w="829" w:type="dxa"/>
          </w:tcPr>
          <w:p w14:paraId="55D984CD"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6E43A425" w14:textId="77777777" w:rsidTr="004D13DE">
        <w:tc>
          <w:tcPr>
            <w:tcW w:w="829" w:type="dxa"/>
          </w:tcPr>
          <w:p w14:paraId="6C65364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C9</w:t>
            </w:r>
          </w:p>
        </w:tc>
        <w:tc>
          <w:tcPr>
            <w:tcW w:w="1596" w:type="dxa"/>
          </w:tcPr>
          <w:p w14:paraId="01DFC03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Occupational burnout</w:t>
            </w:r>
          </w:p>
        </w:tc>
        <w:tc>
          <w:tcPr>
            <w:tcW w:w="3060" w:type="dxa"/>
          </w:tcPr>
          <w:p w14:paraId="7FDE055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Using </w:t>
            </w:r>
            <w:proofErr w:type="gramStart"/>
            <w:r w:rsidRPr="002D28AB">
              <w:rPr>
                <w:rFonts w:ascii="Times New Roman" w:hAnsi="Times New Roman" w:cs="Times New Roman"/>
                <w:sz w:val="22"/>
                <w:szCs w:val="22"/>
              </w:rPr>
              <w:t>the EHR</w:t>
            </w:r>
            <w:proofErr w:type="gramEnd"/>
            <w:r w:rsidRPr="002D28AB">
              <w:rPr>
                <w:rFonts w:ascii="Times New Roman" w:hAnsi="Times New Roman" w:cs="Times New Roman"/>
                <w:sz w:val="22"/>
                <w:szCs w:val="22"/>
              </w:rPr>
              <w:t xml:space="preserve"> increases my fatigue and burnout. (reverse-labelled)</w:t>
            </w:r>
          </w:p>
        </w:tc>
        <w:tc>
          <w:tcPr>
            <w:tcW w:w="450" w:type="dxa"/>
          </w:tcPr>
          <w:p w14:paraId="03811656" w14:textId="77777777" w:rsidR="009F2A5C" w:rsidRPr="002D28AB" w:rsidRDefault="009F2A5C" w:rsidP="004D13DE">
            <w:pPr>
              <w:rPr>
                <w:rFonts w:ascii="Times New Roman" w:hAnsi="Times New Roman" w:cs="Times New Roman"/>
                <w:sz w:val="22"/>
                <w:szCs w:val="22"/>
              </w:rPr>
            </w:pPr>
          </w:p>
        </w:tc>
        <w:tc>
          <w:tcPr>
            <w:tcW w:w="450" w:type="dxa"/>
          </w:tcPr>
          <w:p w14:paraId="0A429F5D" w14:textId="77777777" w:rsidR="009F2A5C" w:rsidRPr="002D28AB" w:rsidRDefault="009F2A5C" w:rsidP="004D13DE">
            <w:pPr>
              <w:rPr>
                <w:rFonts w:ascii="Times New Roman" w:hAnsi="Times New Roman" w:cs="Times New Roman"/>
                <w:sz w:val="22"/>
                <w:szCs w:val="22"/>
              </w:rPr>
            </w:pPr>
          </w:p>
        </w:tc>
        <w:tc>
          <w:tcPr>
            <w:tcW w:w="450" w:type="dxa"/>
          </w:tcPr>
          <w:p w14:paraId="38E85627" w14:textId="77777777" w:rsidR="009F2A5C" w:rsidRPr="002D28AB" w:rsidRDefault="009F2A5C" w:rsidP="004D13DE">
            <w:pPr>
              <w:rPr>
                <w:rFonts w:ascii="Times New Roman" w:hAnsi="Times New Roman" w:cs="Times New Roman"/>
                <w:sz w:val="22"/>
                <w:szCs w:val="22"/>
              </w:rPr>
            </w:pPr>
          </w:p>
        </w:tc>
        <w:tc>
          <w:tcPr>
            <w:tcW w:w="630" w:type="dxa"/>
          </w:tcPr>
          <w:p w14:paraId="443DE5D1" w14:textId="77777777" w:rsidR="009F2A5C" w:rsidRPr="002D28AB" w:rsidRDefault="009F2A5C" w:rsidP="004D13DE">
            <w:pPr>
              <w:rPr>
                <w:rFonts w:ascii="Times New Roman" w:hAnsi="Times New Roman" w:cs="Times New Roman"/>
                <w:sz w:val="22"/>
                <w:szCs w:val="22"/>
              </w:rPr>
            </w:pPr>
          </w:p>
        </w:tc>
        <w:tc>
          <w:tcPr>
            <w:tcW w:w="720" w:type="dxa"/>
          </w:tcPr>
          <w:p w14:paraId="15A65FFD"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2ABD3751" w14:textId="77777777" w:rsidR="009F2A5C" w:rsidRPr="002D28AB" w:rsidRDefault="009F2A5C" w:rsidP="004D13DE">
            <w:pPr>
              <w:rPr>
                <w:rFonts w:ascii="Times New Roman" w:hAnsi="Times New Roman" w:cs="Times New Roman"/>
                <w:sz w:val="22"/>
                <w:szCs w:val="22"/>
              </w:rPr>
            </w:pPr>
          </w:p>
        </w:tc>
        <w:tc>
          <w:tcPr>
            <w:tcW w:w="829" w:type="dxa"/>
          </w:tcPr>
          <w:p w14:paraId="37FFE01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27F8380D" w14:textId="77777777" w:rsidTr="004D13DE">
        <w:tc>
          <w:tcPr>
            <w:tcW w:w="829" w:type="dxa"/>
          </w:tcPr>
          <w:p w14:paraId="33FD139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C4</w:t>
            </w:r>
          </w:p>
        </w:tc>
        <w:tc>
          <w:tcPr>
            <w:tcW w:w="1596" w:type="dxa"/>
          </w:tcPr>
          <w:p w14:paraId="0EE5039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Perceived ease of use</w:t>
            </w:r>
          </w:p>
        </w:tc>
        <w:tc>
          <w:tcPr>
            <w:tcW w:w="3060" w:type="dxa"/>
          </w:tcPr>
          <w:p w14:paraId="02C75DC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It is effortless for me to learn and become proficient in using the EHR.</w:t>
            </w:r>
          </w:p>
        </w:tc>
        <w:tc>
          <w:tcPr>
            <w:tcW w:w="450" w:type="dxa"/>
          </w:tcPr>
          <w:p w14:paraId="356524F6" w14:textId="77777777" w:rsidR="009F2A5C" w:rsidRPr="002D28AB" w:rsidRDefault="009F2A5C" w:rsidP="004D13DE">
            <w:pPr>
              <w:rPr>
                <w:rFonts w:ascii="Times New Roman" w:hAnsi="Times New Roman" w:cs="Times New Roman"/>
                <w:sz w:val="22"/>
                <w:szCs w:val="22"/>
              </w:rPr>
            </w:pPr>
          </w:p>
        </w:tc>
        <w:tc>
          <w:tcPr>
            <w:tcW w:w="450" w:type="dxa"/>
          </w:tcPr>
          <w:p w14:paraId="0447B569" w14:textId="77777777" w:rsidR="009F2A5C" w:rsidRPr="002D28AB" w:rsidRDefault="009F2A5C" w:rsidP="004D13DE">
            <w:pPr>
              <w:rPr>
                <w:rFonts w:ascii="Times New Roman" w:hAnsi="Times New Roman" w:cs="Times New Roman"/>
                <w:sz w:val="22"/>
                <w:szCs w:val="22"/>
              </w:rPr>
            </w:pPr>
          </w:p>
        </w:tc>
        <w:tc>
          <w:tcPr>
            <w:tcW w:w="450" w:type="dxa"/>
          </w:tcPr>
          <w:p w14:paraId="4E071E90" w14:textId="77777777" w:rsidR="009F2A5C" w:rsidRPr="002D28AB" w:rsidRDefault="009F2A5C" w:rsidP="004D13DE">
            <w:pPr>
              <w:rPr>
                <w:rFonts w:ascii="Times New Roman" w:hAnsi="Times New Roman" w:cs="Times New Roman"/>
                <w:sz w:val="22"/>
                <w:szCs w:val="22"/>
              </w:rPr>
            </w:pPr>
          </w:p>
        </w:tc>
        <w:tc>
          <w:tcPr>
            <w:tcW w:w="630" w:type="dxa"/>
          </w:tcPr>
          <w:p w14:paraId="022C549B" w14:textId="77777777" w:rsidR="009F2A5C" w:rsidRPr="002D28AB" w:rsidRDefault="009F2A5C" w:rsidP="004D13DE">
            <w:pPr>
              <w:rPr>
                <w:rFonts w:ascii="Times New Roman" w:hAnsi="Times New Roman" w:cs="Times New Roman"/>
                <w:sz w:val="22"/>
                <w:szCs w:val="22"/>
              </w:rPr>
            </w:pPr>
          </w:p>
        </w:tc>
        <w:tc>
          <w:tcPr>
            <w:tcW w:w="720" w:type="dxa"/>
          </w:tcPr>
          <w:p w14:paraId="79B66D1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682E5D7" w14:textId="77777777" w:rsidR="009F2A5C" w:rsidRPr="002D28AB" w:rsidRDefault="009F2A5C" w:rsidP="004D13DE">
            <w:pPr>
              <w:rPr>
                <w:rFonts w:ascii="Times New Roman" w:hAnsi="Times New Roman" w:cs="Times New Roman"/>
                <w:sz w:val="22"/>
                <w:szCs w:val="22"/>
              </w:rPr>
            </w:pPr>
          </w:p>
        </w:tc>
        <w:tc>
          <w:tcPr>
            <w:tcW w:w="829" w:type="dxa"/>
          </w:tcPr>
          <w:p w14:paraId="46B8509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1DDFA3BA" w14:textId="77777777" w:rsidTr="004D13DE">
        <w:tc>
          <w:tcPr>
            <w:tcW w:w="829" w:type="dxa"/>
          </w:tcPr>
          <w:p w14:paraId="788B0EF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O1</w:t>
            </w:r>
          </w:p>
        </w:tc>
        <w:tc>
          <w:tcPr>
            <w:tcW w:w="1596" w:type="dxa"/>
          </w:tcPr>
          <w:p w14:paraId="09CA9F3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Safety culture support</w:t>
            </w:r>
          </w:p>
        </w:tc>
        <w:tc>
          <w:tcPr>
            <w:tcW w:w="3060" w:type="dxa"/>
          </w:tcPr>
          <w:p w14:paraId="3D4B719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hospital encourages reporting of potential EHR-related errors without punishment.</w:t>
            </w:r>
          </w:p>
        </w:tc>
        <w:tc>
          <w:tcPr>
            <w:tcW w:w="450" w:type="dxa"/>
          </w:tcPr>
          <w:p w14:paraId="1250F7C3" w14:textId="77777777" w:rsidR="009F2A5C" w:rsidRPr="002D28AB" w:rsidRDefault="009F2A5C" w:rsidP="004D13DE">
            <w:pPr>
              <w:rPr>
                <w:rFonts w:ascii="Times New Roman" w:hAnsi="Times New Roman" w:cs="Times New Roman"/>
                <w:sz w:val="22"/>
                <w:szCs w:val="22"/>
              </w:rPr>
            </w:pPr>
          </w:p>
        </w:tc>
        <w:tc>
          <w:tcPr>
            <w:tcW w:w="450" w:type="dxa"/>
          </w:tcPr>
          <w:p w14:paraId="473DA1C5" w14:textId="77777777" w:rsidR="009F2A5C" w:rsidRPr="002D28AB" w:rsidRDefault="009F2A5C" w:rsidP="004D13DE">
            <w:pPr>
              <w:rPr>
                <w:rFonts w:ascii="Times New Roman" w:hAnsi="Times New Roman" w:cs="Times New Roman"/>
                <w:sz w:val="22"/>
                <w:szCs w:val="22"/>
              </w:rPr>
            </w:pPr>
          </w:p>
        </w:tc>
        <w:tc>
          <w:tcPr>
            <w:tcW w:w="450" w:type="dxa"/>
          </w:tcPr>
          <w:p w14:paraId="2273E9AB"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630" w:type="dxa"/>
          </w:tcPr>
          <w:p w14:paraId="53D81C90" w14:textId="77777777" w:rsidR="009F2A5C" w:rsidRPr="002D28AB" w:rsidRDefault="009F2A5C" w:rsidP="004D13DE">
            <w:pPr>
              <w:rPr>
                <w:rFonts w:ascii="Times New Roman" w:hAnsi="Times New Roman" w:cs="Times New Roman"/>
                <w:sz w:val="22"/>
                <w:szCs w:val="22"/>
              </w:rPr>
            </w:pPr>
          </w:p>
        </w:tc>
        <w:tc>
          <w:tcPr>
            <w:tcW w:w="720" w:type="dxa"/>
          </w:tcPr>
          <w:p w14:paraId="24CC992E" w14:textId="77777777" w:rsidR="009F2A5C" w:rsidRPr="002D28AB" w:rsidRDefault="009F2A5C" w:rsidP="004D13DE">
            <w:pPr>
              <w:rPr>
                <w:rFonts w:ascii="Times New Roman" w:hAnsi="Times New Roman" w:cs="Times New Roman"/>
                <w:sz w:val="22"/>
                <w:szCs w:val="22"/>
              </w:rPr>
            </w:pPr>
          </w:p>
        </w:tc>
        <w:tc>
          <w:tcPr>
            <w:tcW w:w="829" w:type="dxa"/>
          </w:tcPr>
          <w:p w14:paraId="581D3D85" w14:textId="77777777" w:rsidR="009F2A5C" w:rsidRPr="002D28AB" w:rsidRDefault="009F2A5C" w:rsidP="004D13DE">
            <w:pPr>
              <w:rPr>
                <w:rFonts w:ascii="Times New Roman" w:hAnsi="Times New Roman" w:cs="Times New Roman"/>
                <w:sz w:val="22"/>
                <w:szCs w:val="22"/>
              </w:rPr>
            </w:pPr>
          </w:p>
        </w:tc>
        <w:tc>
          <w:tcPr>
            <w:tcW w:w="829" w:type="dxa"/>
          </w:tcPr>
          <w:p w14:paraId="74CDFFEA"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1A42F85D" w14:textId="77777777" w:rsidTr="004D13DE">
        <w:tc>
          <w:tcPr>
            <w:tcW w:w="829" w:type="dxa"/>
          </w:tcPr>
          <w:p w14:paraId="2798E9D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C7</w:t>
            </w:r>
          </w:p>
        </w:tc>
        <w:tc>
          <w:tcPr>
            <w:tcW w:w="1596" w:type="dxa"/>
          </w:tcPr>
          <w:p w14:paraId="304EC93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Satisfaction with information quality</w:t>
            </w:r>
          </w:p>
        </w:tc>
        <w:tc>
          <w:tcPr>
            <w:tcW w:w="3060" w:type="dxa"/>
          </w:tcPr>
          <w:p w14:paraId="59896DF0" w14:textId="77777777" w:rsidR="009F2A5C" w:rsidRPr="002D28AB" w:rsidRDefault="009F2A5C" w:rsidP="004D13DE">
            <w:pPr>
              <w:rPr>
                <w:rFonts w:ascii="Times New Roman" w:hAnsi="Times New Roman" w:cs="Times New Roman"/>
                <w:sz w:val="22"/>
                <w:szCs w:val="22"/>
              </w:rPr>
            </w:pPr>
            <w:proofErr w:type="gramStart"/>
            <w:r w:rsidRPr="002D28AB">
              <w:rPr>
                <w:rFonts w:ascii="Times New Roman" w:hAnsi="Times New Roman" w:cs="Times New Roman"/>
                <w:sz w:val="22"/>
                <w:szCs w:val="22"/>
              </w:rPr>
              <w:t>The EHR</w:t>
            </w:r>
            <w:proofErr w:type="gramEnd"/>
            <w:r w:rsidRPr="002D28AB">
              <w:rPr>
                <w:rFonts w:ascii="Times New Roman" w:hAnsi="Times New Roman" w:cs="Times New Roman"/>
                <w:sz w:val="22"/>
                <w:szCs w:val="22"/>
              </w:rPr>
              <w:t xml:space="preserve"> provides clear, accurate, and timely information that improves care coordination.</w:t>
            </w:r>
          </w:p>
        </w:tc>
        <w:tc>
          <w:tcPr>
            <w:tcW w:w="450" w:type="dxa"/>
          </w:tcPr>
          <w:p w14:paraId="084B63D0" w14:textId="77777777" w:rsidR="009F2A5C" w:rsidRPr="002D28AB" w:rsidRDefault="009F2A5C" w:rsidP="004D13DE">
            <w:pPr>
              <w:rPr>
                <w:rFonts w:ascii="Times New Roman" w:hAnsi="Times New Roman" w:cs="Times New Roman"/>
                <w:sz w:val="22"/>
                <w:szCs w:val="22"/>
              </w:rPr>
            </w:pPr>
          </w:p>
        </w:tc>
        <w:tc>
          <w:tcPr>
            <w:tcW w:w="450" w:type="dxa"/>
          </w:tcPr>
          <w:p w14:paraId="4F40CAF3" w14:textId="77777777" w:rsidR="009F2A5C" w:rsidRPr="002D28AB" w:rsidRDefault="009F2A5C" w:rsidP="004D13DE">
            <w:pPr>
              <w:rPr>
                <w:rFonts w:ascii="Times New Roman" w:hAnsi="Times New Roman" w:cs="Times New Roman"/>
                <w:sz w:val="22"/>
                <w:szCs w:val="22"/>
              </w:rPr>
            </w:pPr>
          </w:p>
        </w:tc>
        <w:tc>
          <w:tcPr>
            <w:tcW w:w="450" w:type="dxa"/>
          </w:tcPr>
          <w:p w14:paraId="03B6A273" w14:textId="77777777" w:rsidR="009F2A5C" w:rsidRPr="002D28AB" w:rsidRDefault="009F2A5C" w:rsidP="004D13DE">
            <w:pPr>
              <w:rPr>
                <w:rFonts w:ascii="Times New Roman" w:hAnsi="Times New Roman" w:cs="Times New Roman"/>
                <w:sz w:val="22"/>
                <w:szCs w:val="22"/>
              </w:rPr>
            </w:pPr>
          </w:p>
        </w:tc>
        <w:tc>
          <w:tcPr>
            <w:tcW w:w="630" w:type="dxa"/>
          </w:tcPr>
          <w:p w14:paraId="1082C4E9" w14:textId="77777777" w:rsidR="009F2A5C" w:rsidRPr="002D28AB" w:rsidRDefault="009F2A5C" w:rsidP="004D13DE">
            <w:pPr>
              <w:rPr>
                <w:rFonts w:ascii="Times New Roman" w:hAnsi="Times New Roman" w:cs="Times New Roman"/>
                <w:sz w:val="22"/>
                <w:szCs w:val="22"/>
              </w:rPr>
            </w:pPr>
          </w:p>
        </w:tc>
        <w:tc>
          <w:tcPr>
            <w:tcW w:w="720" w:type="dxa"/>
          </w:tcPr>
          <w:p w14:paraId="03C8DBCA"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4BA49040" w14:textId="77777777" w:rsidR="009F2A5C" w:rsidRPr="002D28AB" w:rsidRDefault="009F2A5C" w:rsidP="004D13DE">
            <w:pPr>
              <w:rPr>
                <w:rFonts w:ascii="Times New Roman" w:hAnsi="Times New Roman" w:cs="Times New Roman"/>
                <w:sz w:val="22"/>
                <w:szCs w:val="22"/>
              </w:rPr>
            </w:pPr>
          </w:p>
        </w:tc>
        <w:tc>
          <w:tcPr>
            <w:tcW w:w="829" w:type="dxa"/>
          </w:tcPr>
          <w:p w14:paraId="033EC61D"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21B8B7C2" w14:textId="77777777" w:rsidTr="004D13DE">
        <w:tc>
          <w:tcPr>
            <w:tcW w:w="829" w:type="dxa"/>
          </w:tcPr>
          <w:p w14:paraId="163ED99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w:t>
            </w:r>
          </w:p>
        </w:tc>
        <w:tc>
          <w:tcPr>
            <w:tcW w:w="1596" w:type="dxa"/>
          </w:tcPr>
          <w:p w14:paraId="042F0DA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interface friendliness</w:t>
            </w:r>
          </w:p>
        </w:tc>
        <w:tc>
          <w:tcPr>
            <w:tcW w:w="3060" w:type="dxa"/>
          </w:tcPr>
          <w:p w14:paraId="1C2B097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layout of the EHR interface is clear, and the information hierarchy is easy to understand.</w:t>
            </w:r>
          </w:p>
        </w:tc>
        <w:tc>
          <w:tcPr>
            <w:tcW w:w="450" w:type="dxa"/>
          </w:tcPr>
          <w:p w14:paraId="3A181A77" w14:textId="77777777" w:rsidR="009F2A5C" w:rsidRPr="002D28AB" w:rsidRDefault="009F2A5C" w:rsidP="004D13DE">
            <w:pPr>
              <w:rPr>
                <w:rFonts w:ascii="Times New Roman" w:hAnsi="Times New Roman" w:cs="Times New Roman"/>
                <w:sz w:val="22"/>
                <w:szCs w:val="22"/>
              </w:rPr>
            </w:pPr>
          </w:p>
        </w:tc>
        <w:tc>
          <w:tcPr>
            <w:tcW w:w="450" w:type="dxa"/>
          </w:tcPr>
          <w:p w14:paraId="49BC0C17" w14:textId="77777777" w:rsidR="009F2A5C" w:rsidRPr="002D28AB" w:rsidRDefault="009F2A5C" w:rsidP="004D13DE">
            <w:pPr>
              <w:rPr>
                <w:rFonts w:ascii="Times New Roman" w:hAnsi="Times New Roman" w:cs="Times New Roman"/>
                <w:sz w:val="22"/>
                <w:szCs w:val="22"/>
              </w:rPr>
            </w:pPr>
          </w:p>
        </w:tc>
        <w:tc>
          <w:tcPr>
            <w:tcW w:w="450" w:type="dxa"/>
          </w:tcPr>
          <w:p w14:paraId="4E28A56C" w14:textId="77777777" w:rsidR="009F2A5C" w:rsidRPr="002D28AB" w:rsidRDefault="009F2A5C" w:rsidP="004D13DE">
            <w:pPr>
              <w:rPr>
                <w:rFonts w:ascii="Times New Roman" w:hAnsi="Times New Roman" w:cs="Times New Roman"/>
                <w:sz w:val="22"/>
                <w:szCs w:val="22"/>
              </w:rPr>
            </w:pPr>
          </w:p>
        </w:tc>
        <w:tc>
          <w:tcPr>
            <w:tcW w:w="630" w:type="dxa"/>
          </w:tcPr>
          <w:p w14:paraId="085EFCA0" w14:textId="77777777" w:rsidR="009F2A5C" w:rsidRPr="002D28AB" w:rsidRDefault="009F2A5C" w:rsidP="004D13DE">
            <w:pPr>
              <w:rPr>
                <w:rFonts w:ascii="Times New Roman" w:hAnsi="Times New Roman" w:cs="Times New Roman"/>
                <w:sz w:val="22"/>
                <w:szCs w:val="22"/>
              </w:rPr>
            </w:pPr>
          </w:p>
        </w:tc>
        <w:tc>
          <w:tcPr>
            <w:tcW w:w="720" w:type="dxa"/>
          </w:tcPr>
          <w:p w14:paraId="3F0E382D"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1F8DFD14" w14:textId="77777777" w:rsidR="009F2A5C" w:rsidRPr="002D28AB" w:rsidRDefault="009F2A5C" w:rsidP="004D13DE">
            <w:pPr>
              <w:rPr>
                <w:rFonts w:ascii="Times New Roman" w:hAnsi="Times New Roman" w:cs="Times New Roman"/>
                <w:sz w:val="22"/>
                <w:szCs w:val="22"/>
              </w:rPr>
            </w:pPr>
          </w:p>
        </w:tc>
        <w:tc>
          <w:tcPr>
            <w:tcW w:w="829" w:type="dxa"/>
          </w:tcPr>
          <w:p w14:paraId="25329CDE"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78BA7C77" w14:textId="77777777" w:rsidTr="004D13DE">
        <w:tc>
          <w:tcPr>
            <w:tcW w:w="829" w:type="dxa"/>
          </w:tcPr>
          <w:p w14:paraId="466E4F6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S1</w:t>
            </w:r>
          </w:p>
        </w:tc>
        <w:tc>
          <w:tcPr>
            <w:tcW w:w="1596" w:type="dxa"/>
          </w:tcPr>
          <w:p w14:paraId="10E9695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interoperability</w:t>
            </w:r>
          </w:p>
        </w:tc>
        <w:tc>
          <w:tcPr>
            <w:tcW w:w="3060" w:type="dxa"/>
          </w:tcPr>
          <w:p w14:paraId="657B855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Data exchange between the EHR and other clinical systems (e.g., pharmacy, lab) is smooth.</w:t>
            </w:r>
          </w:p>
        </w:tc>
        <w:tc>
          <w:tcPr>
            <w:tcW w:w="450" w:type="dxa"/>
          </w:tcPr>
          <w:p w14:paraId="4EB7978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743BE01D" w14:textId="77777777" w:rsidR="009F2A5C" w:rsidRPr="002D28AB" w:rsidRDefault="009F2A5C" w:rsidP="004D13DE">
            <w:pPr>
              <w:rPr>
                <w:rFonts w:ascii="Times New Roman" w:hAnsi="Times New Roman" w:cs="Times New Roman"/>
                <w:sz w:val="22"/>
                <w:szCs w:val="22"/>
              </w:rPr>
            </w:pPr>
          </w:p>
        </w:tc>
        <w:tc>
          <w:tcPr>
            <w:tcW w:w="450" w:type="dxa"/>
          </w:tcPr>
          <w:p w14:paraId="3811B7D7" w14:textId="77777777" w:rsidR="009F2A5C" w:rsidRPr="002D28AB" w:rsidRDefault="009F2A5C" w:rsidP="004D13DE">
            <w:pPr>
              <w:rPr>
                <w:rFonts w:ascii="Times New Roman" w:hAnsi="Times New Roman" w:cs="Times New Roman"/>
                <w:sz w:val="22"/>
                <w:szCs w:val="22"/>
              </w:rPr>
            </w:pPr>
          </w:p>
        </w:tc>
        <w:tc>
          <w:tcPr>
            <w:tcW w:w="630" w:type="dxa"/>
          </w:tcPr>
          <w:p w14:paraId="1AC67DF6" w14:textId="77777777" w:rsidR="009F2A5C" w:rsidRPr="002D28AB" w:rsidRDefault="009F2A5C" w:rsidP="004D13DE">
            <w:pPr>
              <w:rPr>
                <w:rFonts w:ascii="Times New Roman" w:hAnsi="Times New Roman" w:cs="Times New Roman"/>
                <w:sz w:val="22"/>
                <w:szCs w:val="22"/>
              </w:rPr>
            </w:pPr>
          </w:p>
        </w:tc>
        <w:tc>
          <w:tcPr>
            <w:tcW w:w="720" w:type="dxa"/>
          </w:tcPr>
          <w:p w14:paraId="4BDB0B73" w14:textId="77777777" w:rsidR="009F2A5C" w:rsidRPr="002D28AB" w:rsidRDefault="009F2A5C" w:rsidP="004D13DE">
            <w:pPr>
              <w:rPr>
                <w:rFonts w:ascii="Times New Roman" w:hAnsi="Times New Roman" w:cs="Times New Roman"/>
                <w:sz w:val="22"/>
                <w:szCs w:val="22"/>
              </w:rPr>
            </w:pPr>
          </w:p>
        </w:tc>
        <w:tc>
          <w:tcPr>
            <w:tcW w:w="829" w:type="dxa"/>
          </w:tcPr>
          <w:p w14:paraId="2D5326C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A0263C5" w14:textId="77777777" w:rsidR="009F2A5C" w:rsidRPr="002D28AB" w:rsidRDefault="009F2A5C" w:rsidP="004D13DE">
            <w:pPr>
              <w:rPr>
                <w:rFonts w:ascii="Times New Roman" w:hAnsi="Times New Roman" w:cs="Times New Roman"/>
                <w:sz w:val="22"/>
                <w:szCs w:val="22"/>
              </w:rPr>
            </w:pPr>
          </w:p>
        </w:tc>
      </w:tr>
      <w:tr w:rsidR="009F2A5C" w:rsidRPr="002D28AB" w14:paraId="35207E82" w14:textId="77777777" w:rsidTr="004D13DE">
        <w:tc>
          <w:tcPr>
            <w:tcW w:w="829" w:type="dxa"/>
          </w:tcPr>
          <w:p w14:paraId="2545E3C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S4</w:t>
            </w:r>
          </w:p>
        </w:tc>
        <w:tc>
          <w:tcPr>
            <w:tcW w:w="1596" w:type="dxa"/>
          </w:tcPr>
          <w:p w14:paraId="053F4D2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response speed</w:t>
            </w:r>
          </w:p>
        </w:tc>
        <w:tc>
          <w:tcPr>
            <w:tcW w:w="3060" w:type="dxa"/>
          </w:tcPr>
          <w:p w14:paraId="687F126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EHR pages load and save without noticeable lag or freezing during routine use.</w:t>
            </w:r>
          </w:p>
        </w:tc>
        <w:tc>
          <w:tcPr>
            <w:tcW w:w="450" w:type="dxa"/>
          </w:tcPr>
          <w:p w14:paraId="6DF0E4D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4D87B82A" w14:textId="77777777" w:rsidR="009F2A5C" w:rsidRPr="002D28AB" w:rsidRDefault="009F2A5C" w:rsidP="004D13DE">
            <w:pPr>
              <w:rPr>
                <w:rFonts w:ascii="Times New Roman" w:hAnsi="Times New Roman" w:cs="Times New Roman"/>
                <w:sz w:val="22"/>
                <w:szCs w:val="22"/>
              </w:rPr>
            </w:pPr>
          </w:p>
        </w:tc>
        <w:tc>
          <w:tcPr>
            <w:tcW w:w="450" w:type="dxa"/>
          </w:tcPr>
          <w:p w14:paraId="6AB0F59A" w14:textId="77777777" w:rsidR="009F2A5C" w:rsidRPr="002D28AB" w:rsidRDefault="009F2A5C" w:rsidP="004D13DE">
            <w:pPr>
              <w:rPr>
                <w:rFonts w:ascii="Times New Roman" w:hAnsi="Times New Roman" w:cs="Times New Roman"/>
                <w:sz w:val="22"/>
                <w:szCs w:val="22"/>
              </w:rPr>
            </w:pPr>
          </w:p>
        </w:tc>
        <w:tc>
          <w:tcPr>
            <w:tcW w:w="630" w:type="dxa"/>
          </w:tcPr>
          <w:p w14:paraId="21CB06B0" w14:textId="77777777" w:rsidR="009F2A5C" w:rsidRPr="002D28AB" w:rsidRDefault="009F2A5C" w:rsidP="004D13DE">
            <w:pPr>
              <w:rPr>
                <w:rFonts w:ascii="Times New Roman" w:hAnsi="Times New Roman" w:cs="Times New Roman"/>
                <w:sz w:val="22"/>
                <w:szCs w:val="22"/>
              </w:rPr>
            </w:pPr>
          </w:p>
        </w:tc>
        <w:tc>
          <w:tcPr>
            <w:tcW w:w="720" w:type="dxa"/>
          </w:tcPr>
          <w:p w14:paraId="04CC5D71" w14:textId="77777777" w:rsidR="009F2A5C" w:rsidRPr="002D28AB" w:rsidRDefault="009F2A5C" w:rsidP="004D13DE">
            <w:pPr>
              <w:rPr>
                <w:rFonts w:ascii="Times New Roman" w:hAnsi="Times New Roman" w:cs="Times New Roman"/>
                <w:sz w:val="22"/>
                <w:szCs w:val="22"/>
              </w:rPr>
            </w:pPr>
          </w:p>
        </w:tc>
        <w:tc>
          <w:tcPr>
            <w:tcW w:w="829" w:type="dxa"/>
          </w:tcPr>
          <w:p w14:paraId="2F2960D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6173DE35" w14:textId="77777777" w:rsidR="009F2A5C" w:rsidRPr="002D28AB" w:rsidRDefault="009F2A5C" w:rsidP="004D13DE">
            <w:pPr>
              <w:rPr>
                <w:rFonts w:ascii="Times New Roman" w:hAnsi="Times New Roman" w:cs="Times New Roman"/>
                <w:sz w:val="22"/>
                <w:szCs w:val="22"/>
              </w:rPr>
            </w:pPr>
          </w:p>
        </w:tc>
      </w:tr>
      <w:tr w:rsidR="009F2A5C" w:rsidRPr="002D28AB" w14:paraId="01CE73C7" w14:textId="77777777" w:rsidTr="004D13DE">
        <w:tc>
          <w:tcPr>
            <w:tcW w:w="829" w:type="dxa"/>
          </w:tcPr>
          <w:p w14:paraId="3AA2003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O4</w:t>
            </w:r>
          </w:p>
        </w:tc>
        <w:tc>
          <w:tcPr>
            <w:tcW w:w="1596" w:type="dxa"/>
          </w:tcPr>
          <w:p w14:paraId="73F01B2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Technical support quality</w:t>
            </w:r>
          </w:p>
        </w:tc>
        <w:tc>
          <w:tcPr>
            <w:tcW w:w="3060" w:type="dxa"/>
          </w:tcPr>
          <w:p w14:paraId="5D4E455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When system failures occur, IT support can resolve the problem within an acceptable time.</w:t>
            </w:r>
          </w:p>
        </w:tc>
        <w:tc>
          <w:tcPr>
            <w:tcW w:w="450" w:type="dxa"/>
          </w:tcPr>
          <w:p w14:paraId="1EC7E26B" w14:textId="77777777" w:rsidR="009F2A5C" w:rsidRPr="002D28AB" w:rsidRDefault="009F2A5C" w:rsidP="004D13DE">
            <w:pPr>
              <w:rPr>
                <w:rFonts w:ascii="Times New Roman" w:hAnsi="Times New Roman" w:cs="Times New Roman"/>
                <w:sz w:val="22"/>
                <w:szCs w:val="22"/>
              </w:rPr>
            </w:pPr>
          </w:p>
        </w:tc>
        <w:tc>
          <w:tcPr>
            <w:tcW w:w="450" w:type="dxa"/>
          </w:tcPr>
          <w:p w14:paraId="7545F058" w14:textId="77777777" w:rsidR="009F2A5C" w:rsidRPr="002D28AB" w:rsidRDefault="009F2A5C" w:rsidP="004D13DE">
            <w:pPr>
              <w:rPr>
                <w:rFonts w:ascii="Times New Roman" w:hAnsi="Times New Roman" w:cs="Times New Roman"/>
                <w:sz w:val="22"/>
                <w:szCs w:val="22"/>
              </w:rPr>
            </w:pPr>
          </w:p>
        </w:tc>
        <w:tc>
          <w:tcPr>
            <w:tcW w:w="450" w:type="dxa"/>
          </w:tcPr>
          <w:p w14:paraId="17225921"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630" w:type="dxa"/>
          </w:tcPr>
          <w:p w14:paraId="1BC215E4" w14:textId="77777777" w:rsidR="009F2A5C" w:rsidRPr="002D28AB" w:rsidRDefault="009F2A5C" w:rsidP="004D13DE">
            <w:pPr>
              <w:rPr>
                <w:rFonts w:ascii="Times New Roman" w:hAnsi="Times New Roman" w:cs="Times New Roman"/>
                <w:sz w:val="22"/>
                <w:szCs w:val="22"/>
              </w:rPr>
            </w:pPr>
          </w:p>
        </w:tc>
        <w:tc>
          <w:tcPr>
            <w:tcW w:w="720" w:type="dxa"/>
          </w:tcPr>
          <w:p w14:paraId="7FCE8991" w14:textId="77777777" w:rsidR="009F2A5C" w:rsidRPr="002D28AB" w:rsidRDefault="009F2A5C" w:rsidP="004D13DE">
            <w:pPr>
              <w:rPr>
                <w:rFonts w:ascii="Times New Roman" w:hAnsi="Times New Roman" w:cs="Times New Roman"/>
                <w:sz w:val="22"/>
                <w:szCs w:val="22"/>
              </w:rPr>
            </w:pPr>
          </w:p>
        </w:tc>
        <w:tc>
          <w:tcPr>
            <w:tcW w:w="829" w:type="dxa"/>
          </w:tcPr>
          <w:p w14:paraId="3180734B" w14:textId="77777777" w:rsidR="009F2A5C" w:rsidRPr="002D28AB" w:rsidRDefault="009F2A5C" w:rsidP="004D13DE">
            <w:pPr>
              <w:rPr>
                <w:rFonts w:ascii="Times New Roman" w:hAnsi="Times New Roman" w:cs="Times New Roman"/>
                <w:sz w:val="22"/>
                <w:szCs w:val="22"/>
              </w:rPr>
            </w:pPr>
          </w:p>
        </w:tc>
        <w:tc>
          <w:tcPr>
            <w:tcW w:w="829" w:type="dxa"/>
          </w:tcPr>
          <w:p w14:paraId="27D3C237"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0909D883" w14:textId="77777777" w:rsidTr="004D13DE">
        <w:tc>
          <w:tcPr>
            <w:tcW w:w="829" w:type="dxa"/>
          </w:tcPr>
          <w:p w14:paraId="683C4A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H4</w:t>
            </w:r>
          </w:p>
        </w:tc>
        <w:tc>
          <w:tcPr>
            <w:tcW w:w="1596" w:type="dxa"/>
          </w:tcPr>
          <w:p w14:paraId="6C0F369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Technological self-efficacy</w:t>
            </w:r>
          </w:p>
        </w:tc>
        <w:tc>
          <w:tcPr>
            <w:tcW w:w="3060" w:type="dxa"/>
          </w:tcPr>
          <w:p w14:paraId="1EAE9A6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 am confident in my ability to solve EHR technical problems.</w:t>
            </w:r>
          </w:p>
        </w:tc>
        <w:tc>
          <w:tcPr>
            <w:tcW w:w="450" w:type="dxa"/>
          </w:tcPr>
          <w:p w14:paraId="2B65F6A0" w14:textId="77777777" w:rsidR="009F2A5C" w:rsidRPr="002D28AB" w:rsidRDefault="009F2A5C" w:rsidP="004D13DE">
            <w:pPr>
              <w:rPr>
                <w:rFonts w:ascii="Times New Roman" w:hAnsi="Times New Roman" w:cs="Times New Roman"/>
                <w:sz w:val="22"/>
                <w:szCs w:val="22"/>
              </w:rPr>
            </w:pPr>
          </w:p>
        </w:tc>
        <w:tc>
          <w:tcPr>
            <w:tcW w:w="450" w:type="dxa"/>
          </w:tcPr>
          <w:p w14:paraId="01B31B1D"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4F23E9D9" w14:textId="77777777" w:rsidR="009F2A5C" w:rsidRPr="002D28AB" w:rsidRDefault="009F2A5C" w:rsidP="004D13DE">
            <w:pPr>
              <w:rPr>
                <w:rFonts w:ascii="Times New Roman" w:hAnsi="Times New Roman" w:cs="Times New Roman"/>
                <w:sz w:val="22"/>
                <w:szCs w:val="22"/>
              </w:rPr>
            </w:pPr>
          </w:p>
        </w:tc>
        <w:tc>
          <w:tcPr>
            <w:tcW w:w="630" w:type="dxa"/>
          </w:tcPr>
          <w:p w14:paraId="2FCEFA29" w14:textId="77777777" w:rsidR="009F2A5C" w:rsidRPr="002D28AB" w:rsidRDefault="009F2A5C" w:rsidP="004D13DE">
            <w:pPr>
              <w:rPr>
                <w:rFonts w:ascii="Times New Roman" w:hAnsi="Times New Roman" w:cs="Times New Roman"/>
                <w:sz w:val="22"/>
                <w:szCs w:val="22"/>
              </w:rPr>
            </w:pPr>
          </w:p>
        </w:tc>
        <w:tc>
          <w:tcPr>
            <w:tcW w:w="720" w:type="dxa"/>
          </w:tcPr>
          <w:p w14:paraId="325FB696" w14:textId="77777777" w:rsidR="009F2A5C" w:rsidRPr="002D28AB" w:rsidRDefault="009F2A5C" w:rsidP="004D13DE">
            <w:pPr>
              <w:rPr>
                <w:rFonts w:ascii="Times New Roman" w:hAnsi="Times New Roman" w:cs="Times New Roman"/>
                <w:sz w:val="22"/>
                <w:szCs w:val="22"/>
              </w:rPr>
            </w:pPr>
          </w:p>
        </w:tc>
        <w:tc>
          <w:tcPr>
            <w:tcW w:w="829" w:type="dxa"/>
          </w:tcPr>
          <w:p w14:paraId="1CEC5B1B"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326FE0A5" w14:textId="77777777" w:rsidR="009F2A5C" w:rsidRPr="002D28AB" w:rsidRDefault="009F2A5C" w:rsidP="004D13DE">
            <w:pPr>
              <w:rPr>
                <w:rFonts w:ascii="Times New Roman" w:hAnsi="Times New Roman" w:cs="Times New Roman"/>
                <w:sz w:val="22"/>
                <w:szCs w:val="22"/>
              </w:rPr>
            </w:pPr>
          </w:p>
        </w:tc>
      </w:tr>
      <w:tr w:rsidR="009F2A5C" w:rsidRPr="002D28AB" w14:paraId="11CBC7C6" w14:textId="77777777" w:rsidTr="004D13DE">
        <w:tc>
          <w:tcPr>
            <w:tcW w:w="829" w:type="dxa"/>
          </w:tcPr>
          <w:p w14:paraId="59C3C06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C5</w:t>
            </w:r>
          </w:p>
        </w:tc>
        <w:tc>
          <w:tcPr>
            <w:tcW w:w="1596" w:type="dxa"/>
          </w:tcPr>
          <w:p w14:paraId="45B90CB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Technology acceptance</w:t>
            </w:r>
          </w:p>
        </w:tc>
        <w:tc>
          <w:tcPr>
            <w:tcW w:w="3060" w:type="dxa"/>
          </w:tcPr>
          <w:p w14:paraId="672934B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If given a choice, I would still actively use the EHR AI system in my work.</w:t>
            </w:r>
          </w:p>
        </w:tc>
        <w:tc>
          <w:tcPr>
            <w:tcW w:w="450" w:type="dxa"/>
          </w:tcPr>
          <w:p w14:paraId="32D792AA" w14:textId="77777777" w:rsidR="009F2A5C" w:rsidRPr="002D28AB" w:rsidRDefault="009F2A5C" w:rsidP="004D13DE">
            <w:pPr>
              <w:rPr>
                <w:rFonts w:ascii="Times New Roman" w:hAnsi="Times New Roman" w:cs="Times New Roman"/>
                <w:sz w:val="22"/>
                <w:szCs w:val="22"/>
              </w:rPr>
            </w:pPr>
          </w:p>
        </w:tc>
        <w:tc>
          <w:tcPr>
            <w:tcW w:w="450" w:type="dxa"/>
          </w:tcPr>
          <w:p w14:paraId="13226338" w14:textId="77777777" w:rsidR="009F2A5C" w:rsidRPr="002D28AB" w:rsidRDefault="009F2A5C" w:rsidP="004D13DE">
            <w:pPr>
              <w:rPr>
                <w:rFonts w:ascii="Times New Roman" w:hAnsi="Times New Roman" w:cs="Times New Roman"/>
                <w:sz w:val="22"/>
                <w:szCs w:val="22"/>
              </w:rPr>
            </w:pPr>
          </w:p>
        </w:tc>
        <w:tc>
          <w:tcPr>
            <w:tcW w:w="450" w:type="dxa"/>
          </w:tcPr>
          <w:p w14:paraId="29451E8E" w14:textId="77777777" w:rsidR="009F2A5C" w:rsidRPr="002D28AB" w:rsidRDefault="009F2A5C" w:rsidP="004D13DE">
            <w:pPr>
              <w:rPr>
                <w:rFonts w:ascii="Times New Roman" w:hAnsi="Times New Roman" w:cs="Times New Roman"/>
                <w:sz w:val="22"/>
                <w:szCs w:val="22"/>
              </w:rPr>
            </w:pPr>
          </w:p>
        </w:tc>
        <w:tc>
          <w:tcPr>
            <w:tcW w:w="630" w:type="dxa"/>
          </w:tcPr>
          <w:p w14:paraId="5BB204CD" w14:textId="77777777" w:rsidR="009F2A5C" w:rsidRPr="002D28AB" w:rsidRDefault="009F2A5C" w:rsidP="004D13DE">
            <w:pPr>
              <w:rPr>
                <w:rFonts w:ascii="Times New Roman" w:hAnsi="Times New Roman" w:cs="Times New Roman"/>
                <w:sz w:val="22"/>
                <w:szCs w:val="22"/>
              </w:rPr>
            </w:pPr>
          </w:p>
        </w:tc>
        <w:tc>
          <w:tcPr>
            <w:tcW w:w="720" w:type="dxa"/>
          </w:tcPr>
          <w:p w14:paraId="576F16CB"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5BCA6048" w14:textId="77777777" w:rsidR="009F2A5C" w:rsidRPr="002D28AB" w:rsidRDefault="009F2A5C" w:rsidP="004D13DE">
            <w:pPr>
              <w:rPr>
                <w:rFonts w:ascii="Times New Roman" w:hAnsi="Times New Roman" w:cs="Times New Roman"/>
                <w:sz w:val="22"/>
                <w:szCs w:val="22"/>
              </w:rPr>
            </w:pPr>
          </w:p>
        </w:tc>
        <w:tc>
          <w:tcPr>
            <w:tcW w:w="829" w:type="dxa"/>
          </w:tcPr>
          <w:p w14:paraId="7DDC91A1"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5B572489" w14:textId="77777777" w:rsidTr="004D13DE">
        <w:tc>
          <w:tcPr>
            <w:tcW w:w="829" w:type="dxa"/>
          </w:tcPr>
          <w:p w14:paraId="51BBBB3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H2</w:t>
            </w:r>
          </w:p>
        </w:tc>
        <w:tc>
          <w:tcPr>
            <w:tcW w:w="1596" w:type="dxa"/>
          </w:tcPr>
          <w:p w14:paraId="2A090C7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adequacy</w:t>
            </w:r>
          </w:p>
        </w:tc>
        <w:tc>
          <w:tcPr>
            <w:tcW w:w="3060" w:type="dxa"/>
          </w:tcPr>
          <w:p w14:paraId="3830C80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EHR training I received is sufficient to handle complex clinical scenarios.</w:t>
            </w:r>
          </w:p>
        </w:tc>
        <w:tc>
          <w:tcPr>
            <w:tcW w:w="450" w:type="dxa"/>
          </w:tcPr>
          <w:p w14:paraId="4276FD0D" w14:textId="77777777" w:rsidR="009F2A5C" w:rsidRPr="002D28AB" w:rsidRDefault="009F2A5C" w:rsidP="004D13DE">
            <w:pPr>
              <w:rPr>
                <w:rFonts w:ascii="Times New Roman" w:hAnsi="Times New Roman" w:cs="Times New Roman"/>
                <w:sz w:val="22"/>
                <w:szCs w:val="22"/>
              </w:rPr>
            </w:pPr>
          </w:p>
        </w:tc>
        <w:tc>
          <w:tcPr>
            <w:tcW w:w="450" w:type="dxa"/>
          </w:tcPr>
          <w:p w14:paraId="69D6B842"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6D67A253" w14:textId="77777777" w:rsidR="009F2A5C" w:rsidRPr="002D28AB" w:rsidRDefault="009F2A5C" w:rsidP="004D13DE">
            <w:pPr>
              <w:rPr>
                <w:rFonts w:ascii="Times New Roman" w:hAnsi="Times New Roman" w:cs="Times New Roman"/>
                <w:sz w:val="22"/>
                <w:szCs w:val="22"/>
              </w:rPr>
            </w:pPr>
          </w:p>
        </w:tc>
        <w:tc>
          <w:tcPr>
            <w:tcW w:w="630" w:type="dxa"/>
          </w:tcPr>
          <w:p w14:paraId="3BCB4F00" w14:textId="77777777" w:rsidR="009F2A5C" w:rsidRPr="002D28AB" w:rsidRDefault="009F2A5C" w:rsidP="004D13DE">
            <w:pPr>
              <w:rPr>
                <w:rFonts w:ascii="Times New Roman" w:hAnsi="Times New Roman" w:cs="Times New Roman"/>
                <w:sz w:val="22"/>
                <w:szCs w:val="22"/>
              </w:rPr>
            </w:pPr>
          </w:p>
        </w:tc>
        <w:tc>
          <w:tcPr>
            <w:tcW w:w="720" w:type="dxa"/>
          </w:tcPr>
          <w:p w14:paraId="01A28ECB" w14:textId="77777777" w:rsidR="009F2A5C" w:rsidRPr="002D28AB" w:rsidRDefault="009F2A5C" w:rsidP="004D13DE">
            <w:pPr>
              <w:rPr>
                <w:rFonts w:ascii="Times New Roman" w:hAnsi="Times New Roman" w:cs="Times New Roman"/>
                <w:sz w:val="22"/>
                <w:szCs w:val="22"/>
              </w:rPr>
            </w:pPr>
          </w:p>
        </w:tc>
        <w:tc>
          <w:tcPr>
            <w:tcW w:w="829" w:type="dxa"/>
          </w:tcPr>
          <w:p w14:paraId="544CA26A"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1AFF9DD8" w14:textId="77777777" w:rsidR="009F2A5C" w:rsidRPr="002D28AB" w:rsidRDefault="009F2A5C" w:rsidP="004D13DE">
            <w:pPr>
              <w:rPr>
                <w:rFonts w:ascii="Times New Roman" w:hAnsi="Times New Roman" w:cs="Times New Roman"/>
                <w:sz w:val="22"/>
                <w:szCs w:val="22"/>
              </w:rPr>
            </w:pPr>
          </w:p>
        </w:tc>
      </w:tr>
      <w:tr w:rsidR="009F2A5C" w:rsidRPr="002D28AB" w14:paraId="3DB5A0D4" w14:textId="77777777" w:rsidTr="004D13DE">
        <w:tc>
          <w:tcPr>
            <w:tcW w:w="829" w:type="dxa"/>
          </w:tcPr>
          <w:p w14:paraId="3921770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C6</w:t>
            </w:r>
          </w:p>
        </w:tc>
        <w:tc>
          <w:tcPr>
            <w:tcW w:w="1596" w:type="dxa"/>
          </w:tcPr>
          <w:p w14:paraId="53E050E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Trust in system outputs</w:t>
            </w:r>
          </w:p>
        </w:tc>
        <w:tc>
          <w:tcPr>
            <w:tcW w:w="3060" w:type="dxa"/>
          </w:tcPr>
          <w:p w14:paraId="5F8BEC4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 trust that the data provided by the EHR system </w:t>
            </w:r>
            <w:proofErr w:type="gramStart"/>
            <w:r w:rsidRPr="002D28AB">
              <w:rPr>
                <w:rFonts w:ascii="Times New Roman" w:hAnsi="Times New Roman" w:cs="Times New Roman"/>
                <w:sz w:val="22"/>
                <w:szCs w:val="22"/>
              </w:rPr>
              <w:t>are</w:t>
            </w:r>
            <w:proofErr w:type="gramEnd"/>
            <w:r w:rsidRPr="002D28AB">
              <w:rPr>
                <w:rFonts w:ascii="Times New Roman" w:hAnsi="Times New Roman" w:cs="Times New Roman"/>
                <w:sz w:val="22"/>
                <w:szCs w:val="22"/>
              </w:rPr>
              <w:t xml:space="preserve"> accurate and reliable.</w:t>
            </w:r>
          </w:p>
        </w:tc>
        <w:tc>
          <w:tcPr>
            <w:tcW w:w="450" w:type="dxa"/>
          </w:tcPr>
          <w:p w14:paraId="15F45B81" w14:textId="77777777" w:rsidR="009F2A5C" w:rsidRPr="002D28AB" w:rsidRDefault="009F2A5C" w:rsidP="004D13DE">
            <w:pPr>
              <w:rPr>
                <w:rFonts w:ascii="Times New Roman" w:hAnsi="Times New Roman" w:cs="Times New Roman"/>
                <w:sz w:val="22"/>
                <w:szCs w:val="22"/>
              </w:rPr>
            </w:pPr>
          </w:p>
        </w:tc>
        <w:tc>
          <w:tcPr>
            <w:tcW w:w="450" w:type="dxa"/>
          </w:tcPr>
          <w:p w14:paraId="5A671311" w14:textId="77777777" w:rsidR="009F2A5C" w:rsidRPr="002D28AB" w:rsidRDefault="009F2A5C" w:rsidP="004D13DE">
            <w:pPr>
              <w:rPr>
                <w:rFonts w:ascii="Times New Roman" w:hAnsi="Times New Roman" w:cs="Times New Roman"/>
                <w:sz w:val="22"/>
                <w:szCs w:val="22"/>
              </w:rPr>
            </w:pPr>
          </w:p>
        </w:tc>
        <w:tc>
          <w:tcPr>
            <w:tcW w:w="450" w:type="dxa"/>
          </w:tcPr>
          <w:p w14:paraId="3F535DA6" w14:textId="77777777" w:rsidR="009F2A5C" w:rsidRPr="002D28AB" w:rsidRDefault="009F2A5C" w:rsidP="004D13DE">
            <w:pPr>
              <w:rPr>
                <w:rFonts w:ascii="Times New Roman" w:hAnsi="Times New Roman" w:cs="Times New Roman"/>
                <w:sz w:val="22"/>
                <w:szCs w:val="22"/>
              </w:rPr>
            </w:pPr>
          </w:p>
        </w:tc>
        <w:tc>
          <w:tcPr>
            <w:tcW w:w="630" w:type="dxa"/>
          </w:tcPr>
          <w:p w14:paraId="7C3C8769" w14:textId="77777777" w:rsidR="009F2A5C" w:rsidRPr="002D28AB" w:rsidRDefault="009F2A5C" w:rsidP="004D13DE">
            <w:pPr>
              <w:rPr>
                <w:rFonts w:ascii="Times New Roman" w:hAnsi="Times New Roman" w:cs="Times New Roman"/>
                <w:sz w:val="22"/>
                <w:szCs w:val="22"/>
              </w:rPr>
            </w:pPr>
          </w:p>
        </w:tc>
        <w:tc>
          <w:tcPr>
            <w:tcW w:w="720" w:type="dxa"/>
          </w:tcPr>
          <w:p w14:paraId="3923CCBE"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2D7269C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19506EC1"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r w:rsidR="009F2A5C" w:rsidRPr="002D28AB" w14:paraId="17351659" w14:textId="77777777" w:rsidTr="004D13DE">
        <w:tc>
          <w:tcPr>
            <w:tcW w:w="829" w:type="dxa"/>
          </w:tcPr>
          <w:p w14:paraId="7BE7C02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H5</w:t>
            </w:r>
          </w:p>
        </w:tc>
        <w:tc>
          <w:tcPr>
            <w:tcW w:w="1596" w:type="dxa"/>
          </w:tcPr>
          <w:p w14:paraId="04C2870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User satisfaction</w:t>
            </w:r>
          </w:p>
        </w:tc>
        <w:tc>
          <w:tcPr>
            <w:tcW w:w="3060" w:type="dxa"/>
          </w:tcPr>
          <w:p w14:paraId="35C31E0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Overall, I am satisfied with the EHR experience.</w:t>
            </w:r>
          </w:p>
        </w:tc>
        <w:tc>
          <w:tcPr>
            <w:tcW w:w="450" w:type="dxa"/>
          </w:tcPr>
          <w:p w14:paraId="19644133" w14:textId="77777777" w:rsidR="009F2A5C" w:rsidRPr="002D28AB" w:rsidRDefault="009F2A5C" w:rsidP="004D13DE">
            <w:pPr>
              <w:rPr>
                <w:rFonts w:ascii="Times New Roman" w:hAnsi="Times New Roman" w:cs="Times New Roman"/>
                <w:sz w:val="22"/>
                <w:szCs w:val="22"/>
              </w:rPr>
            </w:pPr>
          </w:p>
        </w:tc>
        <w:tc>
          <w:tcPr>
            <w:tcW w:w="450" w:type="dxa"/>
          </w:tcPr>
          <w:p w14:paraId="3625F3A8"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450" w:type="dxa"/>
          </w:tcPr>
          <w:p w14:paraId="69013B5C" w14:textId="77777777" w:rsidR="009F2A5C" w:rsidRPr="002D28AB" w:rsidRDefault="009F2A5C" w:rsidP="004D13DE">
            <w:pPr>
              <w:rPr>
                <w:rFonts w:ascii="Times New Roman" w:hAnsi="Times New Roman" w:cs="Times New Roman"/>
                <w:sz w:val="22"/>
                <w:szCs w:val="22"/>
              </w:rPr>
            </w:pPr>
          </w:p>
        </w:tc>
        <w:tc>
          <w:tcPr>
            <w:tcW w:w="630" w:type="dxa"/>
          </w:tcPr>
          <w:p w14:paraId="6F4F35A0" w14:textId="77777777" w:rsidR="009F2A5C" w:rsidRPr="002D28AB" w:rsidRDefault="009F2A5C" w:rsidP="004D13DE">
            <w:pPr>
              <w:rPr>
                <w:rFonts w:ascii="Times New Roman" w:hAnsi="Times New Roman" w:cs="Times New Roman"/>
                <w:sz w:val="22"/>
                <w:szCs w:val="22"/>
              </w:rPr>
            </w:pPr>
          </w:p>
        </w:tc>
        <w:tc>
          <w:tcPr>
            <w:tcW w:w="720" w:type="dxa"/>
          </w:tcPr>
          <w:p w14:paraId="4CC928F8" w14:textId="77777777" w:rsidR="009F2A5C" w:rsidRPr="002D28AB" w:rsidRDefault="009F2A5C" w:rsidP="004D13DE">
            <w:pPr>
              <w:rPr>
                <w:rFonts w:ascii="Times New Roman" w:hAnsi="Times New Roman" w:cs="Times New Roman"/>
                <w:sz w:val="22"/>
                <w:szCs w:val="22"/>
              </w:rPr>
            </w:pPr>
          </w:p>
        </w:tc>
        <w:tc>
          <w:tcPr>
            <w:tcW w:w="829" w:type="dxa"/>
          </w:tcPr>
          <w:p w14:paraId="5C359705"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829" w:type="dxa"/>
          </w:tcPr>
          <w:p w14:paraId="0EEF8E5C" w14:textId="77777777" w:rsidR="009F2A5C" w:rsidRPr="002D28AB" w:rsidRDefault="009F2A5C" w:rsidP="004D13DE">
            <w:pPr>
              <w:rPr>
                <w:rFonts w:ascii="Times New Roman" w:hAnsi="Times New Roman" w:cs="Times New Roman"/>
                <w:sz w:val="22"/>
                <w:szCs w:val="22"/>
              </w:rPr>
            </w:pPr>
          </w:p>
        </w:tc>
      </w:tr>
      <w:tr w:rsidR="009F2A5C" w:rsidRPr="002D28AB" w14:paraId="711B5D2F" w14:textId="77777777" w:rsidTr="004D13DE">
        <w:tc>
          <w:tcPr>
            <w:tcW w:w="829" w:type="dxa"/>
          </w:tcPr>
          <w:p w14:paraId="6AA70D4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O5</w:t>
            </w:r>
          </w:p>
        </w:tc>
        <w:tc>
          <w:tcPr>
            <w:tcW w:w="1596" w:type="dxa"/>
          </w:tcPr>
          <w:p w14:paraId="25B5386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Workflow standardization</w:t>
            </w:r>
          </w:p>
        </w:tc>
        <w:tc>
          <w:tcPr>
            <w:tcW w:w="3060" w:type="dxa"/>
          </w:tcPr>
          <w:p w14:paraId="3442B36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The hospital has formulated clear standard processes for EHR entry and review.</w:t>
            </w:r>
          </w:p>
        </w:tc>
        <w:tc>
          <w:tcPr>
            <w:tcW w:w="450" w:type="dxa"/>
          </w:tcPr>
          <w:p w14:paraId="7DE9F971" w14:textId="77777777" w:rsidR="009F2A5C" w:rsidRPr="002D28AB" w:rsidRDefault="009F2A5C" w:rsidP="004D13DE">
            <w:pPr>
              <w:rPr>
                <w:rFonts w:ascii="Times New Roman" w:hAnsi="Times New Roman" w:cs="Times New Roman"/>
                <w:sz w:val="22"/>
                <w:szCs w:val="22"/>
              </w:rPr>
            </w:pPr>
          </w:p>
        </w:tc>
        <w:tc>
          <w:tcPr>
            <w:tcW w:w="450" w:type="dxa"/>
          </w:tcPr>
          <w:p w14:paraId="141361A2" w14:textId="77777777" w:rsidR="009F2A5C" w:rsidRPr="002D28AB" w:rsidRDefault="009F2A5C" w:rsidP="004D13DE">
            <w:pPr>
              <w:rPr>
                <w:rFonts w:ascii="Times New Roman" w:hAnsi="Times New Roman" w:cs="Times New Roman"/>
                <w:sz w:val="22"/>
                <w:szCs w:val="22"/>
              </w:rPr>
            </w:pPr>
          </w:p>
        </w:tc>
        <w:tc>
          <w:tcPr>
            <w:tcW w:w="450" w:type="dxa"/>
          </w:tcPr>
          <w:p w14:paraId="469547D0"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c>
          <w:tcPr>
            <w:tcW w:w="630" w:type="dxa"/>
          </w:tcPr>
          <w:p w14:paraId="67F0C6BC" w14:textId="77777777" w:rsidR="009F2A5C" w:rsidRPr="002D28AB" w:rsidRDefault="009F2A5C" w:rsidP="004D13DE">
            <w:pPr>
              <w:rPr>
                <w:rFonts w:ascii="Times New Roman" w:hAnsi="Times New Roman" w:cs="Times New Roman"/>
                <w:sz w:val="22"/>
                <w:szCs w:val="22"/>
              </w:rPr>
            </w:pPr>
          </w:p>
        </w:tc>
        <w:tc>
          <w:tcPr>
            <w:tcW w:w="720" w:type="dxa"/>
          </w:tcPr>
          <w:p w14:paraId="1B0501C7" w14:textId="77777777" w:rsidR="009F2A5C" w:rsidRPr="002D28AB" w:rsidRDefault="009F2A5C" w:rsidP="004D13DE">
            <w:pPr>
              <w:rPr>
                <w:rFonts w:ascii="Times New Roman" w:hAnsi="Times New Roman" w:cs="Times New Roman"/>
                <w:sz w:val="22"/>
                <w:szCs w:val="22"/>
              </w:rPr>
            </w:pPr>
          </w:p>
        </w:tc>
        <w:tc>
          <w:tcPr>
            <w:tcW w:w="829" w:type="dxa"/>
          </w:tcPr>
          <w:p w14:paraId="2A21DCDA" w14:textId="77777777" w:rsidR="009F2A5C" w:rsidRPr="002D28AB" w:rsidRDefault="009F2A5C" w:rsidP="004D13DE">
            <w:pPr>
              <w:rPr>
                <w:rFonts w:ascii="Times New Roman" w:hAnsi="Times New Roman" w:cs="Times New Roman"/>
                <w:sz w:val="22"/>
                <w:szCs w:val="22"/>
              </w:rPr>
            </w:pPr>
          </w:p>
        </w:tc>
        <w:tc>
          <w:tcPr>
            <w:tcW w:w="829" w:type="dxa"/>
          </w:tcPr>
          <w:p w14:paraId="70225B74" w14:textId="77777777" w:rsidR="009F2A5C" w:rsidRPr="002D28AB" w:rsidRDefault="009F2A5C" w:rsidP="004D13DE">
            <w:pPr>
              <w:rPr>
                <w:rFonts w:ascii="Times New Roman" w:hAnsi="Times New Roman" w:cs="Times New Roman"/>
                <w:sz w:val="22"/>
                <w:szCs w:val="22"/>
              </w:rPr>
            </w:pPr>
            <w:r w:rsidRPr="002D28AB">
              <w:rPr>
                <w:rFonts w:ascii="Segoe UI Symbol" w:hAnsi="Segoe UI Symbol" w:cs="Segoe UI Symbol"/>
                <w:sz w:val="22"/>
                <w:szCs w:val="22"/>
              </w:rPr>
              <w:t>✓</w:t>
            </w:r>
          </w:p>
        </w:tc>
      </w:tr>
    </w:tbl>
    <w:p w14:paraId="41D2D194" w14:textId="77777777" w:rsidR="009F2A5C" w:rsidRPr="002D28AB" w:rsidRDefault="009F2A5C" w:rsidP="009F2A5C">
      <w:pPr>
        <w:pStyle w:val="NormalWeb"/>
        <w:spacing w:before="0" w:beforeAutospacing="0" w:after="0" w:afterAutospacing="0"/>
        <w:rPr>
          <w:rFonts w:cs="Times New Roman"/>
          <w:i/>
          <w:iCs/>
          <w:sz w:val="22"/>
          <w:szCs w:val="22"/>
        </w:rPr>
      </w:pPr>
      <w:bookmarkStart w:id="0" w:name="OLE_LINK103"/>
      <w:r w:rsidRPr="002D28AB">
        <w:rPr>
          <w:rFonts w:eastAsia="Malgun Gothic" w:cs="Times New Roman"/>
          <w:b/>
          <w:bCs/>
          <w:i/>
          <w:iCs/>
          <w:sz w:val="22"/>
          <w:szCs w:val="22"/>
          <w:lang w:eastAsia="ko-KR"/>
        </w:rPr>
        <w:t>Note.</w:t>
      </w:r>
      <w:r w:rsidRPr="002D28AB">
        <w:rPr>
          <w:rFonts w:eastAsia="Malgun Gothic" w:cs="Times New Roman"/>
          <w:i/>
          <w:iCs/>
          <w:sz w:val="22"/>
          <w:szCs w:val="22"/>
          <w:lang w:eastAsia="ko-KR"/>
        </w:rPr>
        <w:t xml:space="preserve"> </w:t>
      </w:r>
      <w:r w:rsidRPr="002D28AB">
        <w:rPr>
          <w:rFonts w:cs="Times New Roman"/>
          <w:i/>
          <w:iCs/>
          <w:sz w:val="22"/>
          <w:szCs w:val="22"/>
        </w:rPr>
        <w:t>Abbreviations and legend. L1=Medical IT function; L2 = User experience and behavior; L3=Organizational support and governance; L4-PRE=Healthcare operations process evidence; L4-POST=Healthcare operations outcome evidence. </w:t>
      </w:r>
      <w:r w:rsidRPr="002D28AB">
        <w:rPr>
          <w:rFonts w:ascii="Segoe UI Symbol" w:hAnsi="Segoe UI Symbol" w:cs="Segoe UI Symbol"/>
          <w:i/>
          <w:iCs/>
          <w:sz w:val="22"/>
          <w:szCs w:val="22"/>
        </w:rPr>
        <w:t>✓</w:t>
      </w:r>
      <w:r w:rsidRPr="002D28AB">
        <w:rPr>
          <w:rFonts w:cs="Times New Roman"/>
          <w:i/>
          <w:iCs/>
          <w:sz w:val="22"/>
          <w:szCs w:val="22"/>
        </w:rPr>
        <w:t> indicates that the variable was assigned to the corresponding label based on explicit evidence reported in the 70 included studies. Pre-EHR-AI and Post-EHR-AI are study-context tags indicating whether evidence was reported in a traditional EHR setting or an explicitly AI-linked EHR setting; they are descriptive only and do not imply a temporal pre-post comparison, intervention effect, or causal inference. L1–L4 indicate evidence-extraction locations in the coding legend and do not correspond to, or determine, 4I layer assignment</w:t>
      </w:r>
      <w:bookmarkEnd w:id="0"/>
      <w:r w:rsidRPr="002D28AB">
        <w:rPr>
          <w:rFonts w:cs="Times New Roman"/>
          <w:i/>
          <w:iCs/>
          <w:sz w:val="22"/>
          <w:szCs w:val="22"/>
        </w:rPr>
        <w:t>.</w:t>
      </w:r>
    </w:p>
    <w:p w14:paraId="4FBEFE32" w14:textId="77777777" w:rsidR="009F2A5C" w:rsidRPr="002D28AB" w:rsidRDefault="009F2A5C" w:rsidP="009F2A5C">
      <w:pPr>
        <w:pStyle w:val="NormalWeb"/>
        <w:spacing w:before="0" w:beforeAutospacing="0" w:after="0" w:afterAutospacing="0" w:line="480" w:lineRule="auto"/>
        <w:rPr>
          <w:rFonts w:cs="Times New Roman"/>
          <w:sz w:val="22"/>
          <w:szCs w:val="22"/>
        </w:rPr>
      </w:pPr>
    </w:p>
    <w:p w14:paraId="6D2A9F6D" w14:textId="77777777" w:rsidR="009F2A5C" w:rsidRPr="002D28AB" w:rsidRDefault="009F2A5C" w:rsidP="009F2A5C">
      <w:pPr>
        <w:rPr>
          <w:rFonts w:ascii="Times New Roman" w:hAnsi="Times New Roman" w:cs="Times New Roman"/>
          <w:b/>
          <w:bCs/>
          <w:sz w:val="22"/>
          <w:szCs w:val="22"/>
        </w:rPr>
      </w:pPr>
      <w:r w:rsidRPr="002D28AB">
        <w:rPr>
          <w:rFonts w:ascii="Times New Roman" w:hAnsi="Times New Roman" w:cs="Times New Roman"/>
          <w:b/>
          <w:bCs/>
          <w:sz w:val="22"/>
          <w:szCs w:val="22"/>
        </w:rPr>
        <w:br w:type="page"/>
      </w:r>
    </w:p>
    <w:p w14:paraId="1732FB95" w14:textId="77777777" w:rsidR="009F2A5C" w:rsidRPr="002D28AB" w:rsidRDefault="009F2A5C" w:rsidP="009F2A5C">
      <w:pPr>
        <w:pStyle w:val="NormalWeb"/>
        <w:spacing w:before="0" w:beforeAutospacing="0" w:after="0" w:afterAutospacing="0"/>
        <w:rPr>
          <w:rFonts w:eastAsia="Malgun Gothic" w:cs="Times New Roman"/>
          <w:sz w:val="22"/>
          <w:szCs w:val="22"/>
          <w:lang w:eastAsia="ko-KR"/>
        </w:rPr>
      </w:pPr>
      <w:r w:rsidRPr="002D28AB">
        <w:rPr>
          <w:rFonts w:cs="Times New Roman"/>
          <w:b/>
          <w:bCs/>
          <w:sz w:val="22"/>
          <w:szCs w:val="22"/>
        </w:rPr>
        <w:lastRenderedPageBreak/>
        <w:t>Table A2.</w:t>
      </w:r>
      <w:r w:rsidRPr="002D28AB">
        <w:rPr>
          <w:rFonts w:cs="Times New Roman"/>
          <w:sz w:val="22"/>
          <w:szCs w:val="22"/>
        </w:rPr>
        <w:t xml:space="preserve"> Worked examples illustrating the labelling pathway from extracted concepts to the final 4I variables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2"/>
        <w:gridCol w:w="1806"/>
        <w:gridCol w:w="1775"/>
        <w:gridCol w:w="1514"/>
        <w:gridCol w:w="2438"/>
      </w:tblGrid>
      <w:tr w:rsidR="009F2A5C" w:rsidRPr="002D28AB" w14:paraId="79418AEE" w14:textId="77777777" w:rsidTr="004D13DE">
        <w:tc>
          <w:tcPr>
            <w:tcW w:w="1462" w:type="dxa"/>
          </w:tcPr>
          <w:p w14:paraId="19EA34A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bCs/>
                <w:sz w:val="22"/>
                <w:szCs w:val="22"/>
              </w:rPr>
              <w:t>Reference (short APA)</w:t>
            </w:r>
          </w:p>
        </w:tc>
        <w:tc>
          <w:tcPr>
            <w:tcW w:w="1806" w:type="dxa"/>
          </w:tcPr>
          <w:p w14:paraId="48F2ED5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bCs/>
                <w:sz w:val="22"/>
                <w:szCs w:val="22"/>
              </w:rPr>
              <w:t>First-order labels in extraction matrix</w:t>
            </w:r>
          </w:p>
        </w:tc>
        <w:tc>
          <w:tcPr>
            <w:tcW w:w="1775" w:type="dxa"/>
          </w:tcPr>
          <w:p w14:paraId="2A881A6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bCs/>
                <w:sz w:val="22"/>
                <w:szCs w:val="22"/>
              </w:rPr>
              <w:t>Derived 4I variable(s) (ID – name)</w:t>
            </w:r>
          </w:p>
        </w:tc>
        <w:tc>
          <w:tcPr>
            <w:tcW w:w="1514" w:type="dxa"/>
          </w:tcPr>
          <w:p w14:paraId="426A3F5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bCs/>
                <w:sz w:val="22"/>
                <w:szCs w:val="22"/>
              </w:rPr>
              <w:t>4I layer(s)</w:t>
            </w:r>
          </w:p>
        </w:tc>
        <w:tc>
          <w:tcPr>
            <w:tcW w:w="2438" w:type="dxa"/>
          </w:tcPr>
          <w:p w14:paraId="010D60A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bCs/>
                <w:sz w:val="22"/>
                <w:szCs w:val="22"/>
              </w:rPr>
              <w:t>Rationale for mapping</w:t>
            </w:r>
          </w:p>
        </w:tc>
      </w:tr>
      <w:tr w:rsidR="009F2A5C" w:rsidRPr="002D28AB" w14:paraId="4BA02CB3" w14:textId="77777777" w:rsidTr="004D13DE">
        <w:tc>
          <w:tcPr>
            <w:tcW w:w="1462" w:type="dxa"/>
          </w:tcPr>
          <w:p w14:paraId="627BC95E"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2018 (JAMIA)</w:t>
            </w:r>
          </w:p>
        </w:tc>
        <w:tc>
          <w:tcPr>
            <w:tcW w:w="1806" w:type="dxa"/>
          </w:tcPr>
          <w:p w14:paraId="41E8F8B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lag; slow loading/saving; confusing screen layout; usability-related safety risks; local reporting/learning around EHR-related incidents</w:t>
            </w:r>
          </w:p>
        </w:tc>
        <w:tc>
          <w:tcPr>
            <w:tcW w:w="1775" w:type="dxa"/>
          </w:tcPr>
          <w:p w14:paraId="219B191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S4 – System response speed; C1 – System interface friendliness; O1 – Safety culture support</w:t>
            </w:r>
          </w:p>
        </w:tc>
        <w:tc>
          <w:tcPr>
            <w:tcW w:w="1514" w:type="dxa"/>
          </w:tcPr>
          <w:p w14:paraId="561F5F0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 Outcome</w:t>
            </w:r>
          </w:p>
        </w:tc>
        <w:tc>
          <w:tcPr>
            <w:tcW w:w="2438" w:type="dxa"/>
          </w:tcPr>
          <w:p w14:paraId="0C8E56A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Performance constraints and instability were consolidated under system response speed (S4). Reports of interface layout and visibility problems were mapped to interface friendliness (C1). Discussions of safety concerns and organizational practices for reporting/learning informed safety culture support (O1).</w:t>
            </w:r>
          </w:p>
        </w:tc>
      </w:tr>
      <w:tr w:rsidR="009F2A5C" w:rsidRPr="002D28AB" w14:paraId="7EFB4FE9" w14:textId="77777777" w:rsidTr="004D13DE">
        <w:tc>
          <w:tcPr>
            <w:tcW w:w="1462" w:type="dxa"/>
          </w:tcPr>
          <w:p w14:paraId="5ADFA08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Saleem et al., 2009 (Int J Med Inform)</w:t>
            </w:r>
          </w:p>
        </w:tc>
        <w:tc>
          <w:tcPr>
            <w:tcW w:w="1806" w:type="dxa"/>
          </w:tcPr>
          <w:p w14:paraId="501F0CA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Order entry takes longer; documentation work persists; workflow workarounds; standard procedures for ordering/review</w:t>
            </w:r>
          </w:p>
        </w:tc>
        <w:tc>
          <w:tcPr>
            <w:tcW w:w="1775" w:type="dxa"/>
          </w:tcPr>
          <w:p w14:paraId="52361F5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S3 – Data entry efficiency; O5 – Workflow standardization</w:t>
            </w:r>
          </w:p>
        </w:tc>
        <w:tc>
          <w:tcPr>
            <w:tcW w:w="1514" w:type="dxa"/>
          </w:tcPr>
          <w:p w14:paraId="015C316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 Outcome</w:t>
            </w:r>
          </w:p>
        </w:tc>
        <w:tc>
          <w:tcPr>
            <w:tcW w:w="2438" w:type="dxa"/>
          </w:tcPr>
          <w:p w14:paraId="48E11BF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Descriptions of time/effort required for order entry were consolidated as data entry efficiency (S3). Evidence describing standardized ordering/review processes and persistence of workflow routines informed workflow standardization (O5).</w:t>
            </w:r>
          </w:p>
        </w:tc>
      </w:tr>
      <w:tr w:rsidR="009F2A5C" w:rsidRPr="002D28AB" w14:paraId="26D1A747" w14:textId="77777777" w:rsidTr="004D13DE">
        <w:tc>
          <w:tcPr>
            <w:tcW w:w="1462" w:type="dxa"/>
          </w:tcPr>
          <w:p w14:paraId="0A35A04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Ancker et al., 2017 (BMC Med Inform </w:t>
            </w:r>
            <w:proofErr w:type="spellStart"/>
            <w:r w:rsidRPr="002D28AB">
              <w:rPr>
                <w:rFonts w:ascii="Times New Roman" w:hAnsi="Times New Roman" w:cs="Times New Roman"/>
                <w:sz w:val="22"/>
                <w:szCs w:val="22"/>
              </w:rPr>
              <w:t>Decis</w:t>
            </w:r>
            <w:proofErr w:type="spellEnd"/>
            <w:r w:rsidRPr="002D28AB">
              <w:rPr>
                <w:rFonts w:ascii="Times New Roman" w:hAnsi="Times New Roman" w:cs="Times New Roman"/>
                <w:sz w:val="22"/>
                <w:szCs w:val="22"/>
              </w:rPr>
              <w:t xml:space="preserve"> Mak)</w:t>
            </w:r>
          </w:p>
        </w:tc>
        <w:tc>
          <w:tcPr>
            <w:tcW w:w="1806" w:type="dxa"/>
          </w:tcPr>
          <w:p w14:paraId="46515B7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Frequent alerts; repeated low-value warnings; overrides; desensitization to alerts</w:t>
            </w:r>
          </w:p>
        </w:tc>
        <w:tc>
          <w:tcPr>
            <w:tcW w:w="1775" w:type="dxa"/>
          </w:tcPr>
          <w:p w14:paraId="3A2DCDA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H3 – Alert fatigue</w:t>
            </w:r>
          </w:p>
        </w:tc>
        <w:tc>
          <w:tcPr>
            <w:tcW w:w="1514" w:type="dxa"/>
          </w:tcPr>
          <w:p w14:paraId="0A36493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2438" w:type="dxa"/>
          </w:tcPr>
          <w:p w14:paraId="5FA3B7D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Repeated, low-value alerts and desensitization/override behaviors were consolidated under alert fatigue (H3).</w:t>
            </w:r>
          </w:p>
        </w:tc>
      </w:tr>
      <w:tr w:rsidR="009F2A5C" w:rsidRPr="002D28AB" w14:paraId="13DBB1E0" w14:textId="77777777" w:rsidTr="004D13DE">
        <w:tc>
          <w:tcPr>
            <w:tcW w:w="1462" w:type="dxa"/>
          </w:tcPr>
          <w:p w14:paraId="540B0A4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Zheng et al., 2009 (JAMIA)</w:t>
            </w:r>
          </w:p>
        </w:tc>
        <w:tc>
          <w:tcPr>
            <w:tcW w:w="1806" w:type="dxa"/>
          </w:tcPr>
          <w:p w14:paraId="469674E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Multiple windows and pop-ups; multi-tasking pressure; navigation burden; interface-driven interaction patterns</w:t>
            </w:r>
          </w:p>
        </w:tc>
        <w:tc>
          <w:tcPr>
            <w:tcW w:w="1775" w:type="dxa"/>
          </w:tcPr>
          <w:p w14:paraId="150F885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H1 – Cognitive load; C1 – System interface friendliness</w:t>
            </w:r>
          </w:p>
        </w:tc>
        <w:tc>
          <w:tcPr>
            <w:tcW w:w="1514" w:type="dxa"/>
          </w:tcPr>
          <w:p w14:paraId="0FEEB4A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 Interface</w:t>
            </w:r>
          </w:p>
        </w:tc>
        <w:tc>
          <w:tcPr>
            <w:tcW w:w="2438" w:type="dxa"/>
          </w:tcPr>
          <w:p w14:paraId="5394F08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Multi-window and pop-</w:t>
            </w:r>
            <w:proofErr w:type="gramStart"/>
            <w:r w:rsidRPr="002D28AB">
              <w:rPr>
                <w:rFonts w:ascii="Times New Roman" w:hAnsi="Times New Roman" w:cs="Times New Roman"/>
                <w:sz w:val="22"/>
                <w:szCs w:val="22"/>
              </w:rPr>
              <w:t>up handling</w:t>
            </w:r>
            <w:proofErr w:type="gramEnd"/>
            <w:r w:rsidRPr="002D28AB">
              <w:rPr>
                <w:rFonts w:ascii="Times New Roman" w:hAnsi="Times New Roman" w:cs="Times New Roman"/>
                <w:sz w:val="22"/>
                <w:szCs w:val="22"/>
              </w:rPr>
              <w:t xml:space="preserve"> demands were consolidated as cognitive load (H1). Interface-driven usability constraints and navigation burden informed interface friendliness (C1).</w:t>
            </w:r>
          </w:p>
        </w:tc>
      </w:tr>
    </w:tbl>
    <w:p w14:paraId="6E43A182" w14:textId="77777777" w:rsidR="009F2A5C" w:rsidRPr="002D28AB" w:rsidRDefault="009F2A5C" w:rsidP="009F2A5C">
      <w:pPr>
        <w:rPr>
          <w:rFonts w:ascii="Times New Roman" w:hAnsi="Times New Roman" w:cs="Times New Roman"/>
          <w:i/>
          <w:iCs/>
          <w:sz w:val="22"/>
          <w:szCs w:val="22"/>
        </w:rPr>
      </w:pPr>
      <w:r w:rsidRPr="002D28AB">
        <w:rPr>
          <w:rFonts w:ascii="Times New Roman" w:hAnsi="Times New Roman" w:cs="Times New Roman"/>
          <w:b/>
          <w:bCs/>
          <w:i/>
          <w:iCs/>
          <w:sz w:val="22"/>
          <w:szCs w:val="22"/>
        </w:rPr>
        <w:t>Note.</w:t>
      </w:r>
      <w:r w:rsidRPr="002D28AB">
        <w:rPr>
          <w:rFonts w:ascii="Times New Roman" w:hAnsi="Times New Roman" w:cs="Times New Roman"/>
          <w:i/>
          <w:iCs/>
          <w:sz w:val="22"/>
          <w:szCs w:val="22"/>
        </w:rPr>
        <w:t xml:space="preserve"> These examples are illustrative and are provided to increase transparency in the aggregation and classification process; they do not represent an exhaustive list of labels or studies.</w:t>
      </w:r>
    </w:p>
    <w:p w14:paraId="3397EED7" w14:textId="77777777" w:rsidR="009F2A5C" w:rsidRPr="002D28AB" w:rsidRDefault="009F2A5C" w:rsidP="009F2A5C">
      <w:pPr>
        <w:spacing w:line="480" w:lineRule="auto"/>
        <w:rPr>
          <w:rFonts w:ascii="Times New Roman" w:hAnsi="Times New Roman" w:cs="Times New Roman"/>
          <w:sz w:val="22"/>
          <w:szCs w:val="22"/>
        </w:rPr>
      </w:pPr>
    </w:p>
    <w:p w14:paraId="66B27642" w14:textId="77777777" w:rsidR="009F2A5C" w:rsidRPr="002D28AB" w:rsidRDefault="009F2A5C" w:rsidP="009F2A5C">
      <w:pPr>
        <w:rPr>
          <w:rFonts w:ascii="Times New Roman" w:hAnsi="Times New Roman" w:cs="Times New Roman"/>
          <w:b/>
          <w:sz w:val="22"/>
          <w:szCs w:val="22"/>
        </w:rPr>
      </w:pPr>
      <w:r w:rsidRPr="002D28AB">
        <w:rPr>
          <w:rFonts w:ascii="Times New Roman" w:hAnsi="Times New Roman" w:cs="Times New Roman"/>
          <w:b/>
          <w:sz w:val="22"/>
          <w:szCs w:val="22"/>
        </w:rPr>
        <w:lastRenderedPageBreak/>
        <w:br w:type="page"/>
      </w:r>
    </w:p>
    <w:p w14:paraId="676FBF1B" w14:textId="77777777" w:rsidR="009F2A5C" w:rsidRPr="002D28AB" w:rsidRDefault="009F2A5C" w:rsidP="009F2A5C">
      <w:pPr>
        <w:spacing w:line="480" w:lineRule="auto"/>
        <w:rPr>
          <w:rFonts w:ascii="Times New Roman" w:eastAsia="Malgun Gothic" w:hAnsi="Times New Roman" w:cs="Times New Roman"/>
          <w:sz w:val="22"/>
          <w:szCs w:val="22"/>
          <w:lang w:eastAsia="ko-KR"/>
        </w:rPr>
      </w:pPr>
      <w:r w:rsidRPr="002D28AB">
        <w:rPr>
          <w:rFonts w:ascii="Times New Roman" w:hAnsi="Times New Roman" w:cs="Times New Roman"/>
          <w:b/>
          <w:sz w:val="22"/>
          <w:szCs w:val="22"/>
        </w:rPr>
        <w:lastRenderedPageBreak/>
        <w:t>Table A3.</w:t>
      </w:r>
      <w:r w:rsidRPr="002D28AB">
        <w:rPr>
          <w:rFonts w:ascii="Times New Roman" w:hAnsi="Times New Roman" w:cs="Times New Roman"/>
          <w:sz w:val="22"/>
          <w:szCs w:val="22"/>
        </w:rPr>
        <w:t xml:space="preserve"> Variable-to-layer mapping within the 4I framework (n = 29 variables)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1170"/>
        <w:gridCol w:w="2070"/>
        <w:gridCol w:w="4140"/>
      </w:tblGrid>
      <w:tr w:rsidR="009F2A5C" w:rsidRPr="002D28AB" w14:paraId="434FCA6D" w14:textId="77777777" w:rsidTr="004D13DE">
        <w:tc>
          <w:tcPr>
            <w:tcW w:w="1615" w:type="dxa"/>
          </w:tcPr>
          <w:p w14:paraId="450355A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4I layer</w:t>
            </w:r>
          </w:p>
        </w:tc>
        <w:tc>
          <w:tcPr>
            <w:tcW w:w="1170" w:type="dxa"/>
          </w:tcPr>
          <w:p w14:paraId="2BFB037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Variable ID</w:t>
            </w:r>
          </w:p>
        </w:tc>
        <w:tc>
          <w:tcPr>
            <w:tcW w:w="2070" w:type="dxa"/>
          </w:tcPr>
          <w:p w14:paraId="57C11E2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Variable name</w:t>
            </w:r>
          </w:p>
        </w:tc>
        <w:tc>
          <w:tcPr>
            <w:tcW w:w="4140" w:type="dxa"/>
          </w:tcPr>
          <w:p w14:paraId="26AFDA2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Example supporting studies (included-study IDs)</w:t>
            </w:r>
          </w:p>
        </w:tc>
      </w:tr>
      <w:tr w:rsidR="009F2A5C" w:rsidRPr="002D28AB" w14:paraId="44E25887" w14:textId="77777777" w:rsidTr="004D13DE">
        <w:tc>
          <w:tcPr>
            <w:tcW w:w="1615" w:type="dxa"/>
          </w:tcPr>
          <w:p w14:paraId="6715986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170" w:type="dxa"/>
          </w:tcPr>
          <w:p w14:paraId="42849B5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S1</w:t>
            </w:r>
          </w:p>
        </w:tc>
        <w:tc>
          <w:tcPr>
            <w:tcW w:w="2070" w:type="dxa"/>
          </w:tcPr>
          <w:p w14:paraId="7447E5A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interoperability</w:t>
            </w:r>
          </w:p>
        </w:tc>
        <w:tc>
          <w:tcPr>
            <w:tcW w:w="4140" w:type="dxa"/>
          </w:tcPr>
          <w:p w14:paraId="0541B5A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IS44 Apathy et al., 2021 (JAMIA)</w:t>
            </w:r>
          </w:p>
        </w:tc>
      </w:tr>
      <w:tr w:rsidR="009F2A5C" w:rsidRPr="002D28AB" w14:paraId="6510637B" w14:textId="77777777" w:rsidTr="004D13DE">
        <w:tc>
          <w:tcPr>
            <w:tcW w:w="1615" w:type="dxa"/>
          </w:tcPr>
          <w:p w14:paraId="3A6B07D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170" w:type="dxa"/>
          </w:tcPr>
          <w:p w14:paraId="3719747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S4</w:t>
            </w:r>
          </w:p>
        </w:tc>
        <w:tc>
          <w:tcPr>
            <w:tcW w:w="2070" w:type="dxa"/>
          </w:tcPr>
          <w:p w14:paraId="6694CDA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response speed</w:t>
            </w:r>
          </w:p>
        </w:tc>
        <w:tc>
          <w:tcPr>
            <w:tcW w:w="4140" w:type="dxa"/>
          </w:tcPr>
          <w:p w14:paraId="75A20E6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IS35 </w:t>
            </w: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2018 (JAMIA)</w:t>
            </w:r>
          </w:p>
        </w:tc>
      </w:tr>
      <w:tr w:rsidR="009F2A5C" w:rsidRPr="002D28AB" w14:paraId="6ABC2B0B" w14:textId="77777777" w:rsidTr="004D13DE">
        <w:tc>
          <w:tcPr>
            <w:tcW w:w="1615" w:type="dxa"/>
          </w:tcPr>
          <w:p w14:paraId="40C5578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170" w:type="dxa"/>
          </w:tcPr>
          <w:p w14:paraId="6DBA9FF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S5</w:t>
            </w:r>
          </w:p>
        </w:tc>
        <w:tc>
          <w:tcPr>
            <w:tcW w:w="2070" w:type="dxa"/>
          </w:tcPr>
          <w:p w14:paraId="2B97B81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Mobile friendliness</w:t>
            </w:r>
          </w:p>
        </w:tc>
        <w:tc>
          <w:tcPr>
            <w:tcW w:w="4140" w:type="dxa"/>
          </w:tcPr>
          <w:p w14:paraId="767E6A2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IS32 Fraser et al., 2022 (JMIR Med Inform)</w:t>
            </w:r>
          </w:p>
        </w:tc>
      </w:tr>
      <w:tr w:rsidR="009F2A5C" w:rsidRPr="002D28AB" w14:paraId="6F3C4164" w14:textId="77777777" w:rsidTr="004D13DE">
        <w:tc>
          <w:tcPr>
            <w:tcW w:w="1615" w:type="dxa"/>
          </w:tcPr>
          <w:p w14:paraId="4FCC38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170" w:type="dxa"/>
          </w:tcPr>
          <w:p w14:paraId="688D9DF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S6</w:t>
            </w:r>
          </w:p>
        </w:tc>
        <w:tc>
          <w:tcPr>
            <w:tcW w:w="2070" w:type="dxa"/>
          </w:tcPr>
          <w:p w14:paraId="1BF1BC2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Customizability</w:t>
            </w:r>
          </w:p>
        </w:tc>
        <w:tc>
          <w:tcPr>
            <w:tcW w:w="4140" w:type="dxa"/>
          </w:tcPr>
          <w:p w14:paraId="23CC49E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IS34 </w:t>
            </w: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2015 (JAMIA)</w:t>
            </w:r>
          </w:p>
        </w:tc>
      </w:tr>
      <w:tr w:rsidR="009F2A5C" w:rsidRPr="002D28AB" w14:paraId="7625DD33" w14:textId="77777777" w:rsidTr="004D13DE">
        <w:tc>
          <w:tcPr>
            <w:tcW w:w="1615" w:type="dxa"/>
          </w:tcPr>
          <w:p w14:paraId="75A579A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170" w:type="dxa"/>
          </w:tcPr>
          <w:p w14:paraId="683A1F3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w:t>
            </w:r>
          </w:p>
        </w:tc>
        <w:tc>
          <w:tcPr>
            <w:tcW w:w="2070" w:type="dxa"/>
          </w:tcPr>
          <w:p w14:paraId="18CB74F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interface friendliness</w:t>
            </w:r>
          </w:p>
        </w:tc>
        <w:tc>
          <w:tcPr>
            <w:tcW w:w="4140" w:type="dxa"/>
          </w:tcPr>
          <w:p w14:paraId="505208B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IS35 </w:t>
            </w: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2018 (JAMIA); IS68 Zheng et al., 2009 (JAMIA)</w:t>
            </w:r>
          </w:p>
        </w:tc>
      </w:tr>
      <w:tr w:rsidR="009F2A5C" w:rsidRPr="002D28AB" w14:paraId="6DDE0E8D" w14:textId="77777777" w:rsidTr="004D13DE">
        <w:tc>
          <w:tcPr>
            <w:tcW w:w="1615" w:type="dxa"/>
          </w:tcPr>
          <w:p w14:paraId="25A3E39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170" w:type="dxa"/>
          </w:tcPr>
          <w:p w14:paraId="1B5FE21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C2</w:t>
            </w:r>
          </w:p>
        </w:tc>
        <w:tc>
          <w:tcPr>
            <w:tcW w:w="2070" w:type="dxa"/>
          </w:tcPr>
          <w:p w14:paraId="48706C7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operational complexity</w:t>
            </w:r>
          </w:p>
        </w:tc>
        <w:tc>
          <w:tcPr>
            <w:tcW w:w="4140" w:type="dxa"/>
          </w:tcPr>
          <w:p w14:paraId="1BFDACE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IS22 </w:t>
            </w:r>
            <w:proofErr w:type="spellStart"/>
            <w:r w:rsidRPr="002D28AB">
              <w:rPr>
                <w:rFonts w:ascii="Times New Roman" w:hAnsi="Times New Roman" w:cs="Times New Roman"/>
                <w:sz w:val="22"/>
                <w:szCs w:val="22"/>
              </w:rPr>
              <w:t>Labkoff</w:t>
            </w:r>
            <w:proofErr w:type="spellEnd"/>
            <w:r w:rsidRPr="002D28AB">
              <w:rPr>
                <w:rFonts w:ascii="Times New Roman" w:hAnsi="Times New Roman" w:cs="Times New Roman"/>
                <w:sz w:val="22"/>
                <w:szCs w:val="22"/>
              </w:rPr>
              <w:t xml:space="preserve"> et al., 2024 (JAMIA)</w:t>
            </w:r>
          </w:p>
        </w:tc>
      </w:tr>
      <w:tr w:rsidR="009F2A5C" w:rsidRPr="002D28AB" w14:paraId="134356E7" w14:textId="77777777" w:rsidTr="004D13DE">
        <w:tc>
          <w:tcPr>
            <w:tcW w:w="1615" w:type="dxa"/>
          </w:tcPr>
          <w:p w14:paraId="7AE116C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170" w:type="dxa"/>
          </w:tcPr>
          <w:p w14:paraId="2832DAB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C4</w:t>
            </w:r>
          </w:p>
        </w:tc>
        <w:tc>
          <w:tcPr>
            <w:tcW w:w="2070" w:type="dxa"/>
          </w:tcPr>
          <w:p w14:paraId="41FE121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Perceived ease of use</w:t>
            </w:r>
          </w:p>
        </w:tc>
        <w:tc>
          <w:tcPr>
            <w:tcW w:w="4140" w:type="dxa"/>
          </w:tcPr>
          <w:p w14:paraId="4B082A1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IS14 Gagnon et al., 2014 (J Biomed Inform); IS17 Holden &amp; Karsh, 2010 (J Biomed Inform)</w:t>
            </w:r>
          </w:p>
        </w:tc>
      </w:tr>
      <w:tr w:rsidR="009F2A5C" w:rsidRPr="002D28AB" w14:paraId="70827EB7" w14:textId="77777777" w:rsidTr="004D13DE">
        <w:tc>
          <w:tcPr>
            <w:tcW w:w="1615" w:type="dxa"/>
          </w:tcPr>
          <w:p w14:paraId="1969854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170" w:type="dxa"/>
          </w:tcPr>
          <w:p w14:paraId="002AD8D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C6</w:t>
            </w:r>
          </w:p>
        </w:tc>
        <w:tc>
          <w:tcPr>
            <w:tcW w:w="2070" w:type="dxa"/>
          </w:tcPr>
          <w:p w14:paraId="06CCDCF0" w14:textId="77777777" w:rsidR="009F2A5C" w:rsidRPr="002D28AB" w:rsidRDefault="009F2A5C" w:rsidP="004D13DE">
            <w:pPr>
              <w:rPr>
                <w:rFonts w:ascii="Times New Roman" w:hAnsi="Times New Roman" w:cs="Times New Roman"/>
                <w:sz w:val="22"/>
                <w:szCs w:val="22"/>
              </w:rPr>
            </w:pPr>
            <w:bookmarkStart w:id="1" w:name="OLE_LINK96"/>
            <w:r w:rsidRPr="002D28AB">
              <w:rPr>
                <w:rFonts w:ascii="Times New Roman" w:hAnsi="Times New Roman" w:cs="Times New Roman"/>
                <w:sz w:val="22"/>
                <w:szCs w:val="22"/>
              </w:rPr>
              <w:t>Trust in system outputs</w:t>
            </w:r>
            <w:bookmarkEnd w:id="1"/>
          </w:p>
        </w:tc>
        <w:tc>
          <w:tcPr>
            <w:tcW w:w="4140" w:type="dxa"/>
          </w:tcPr>
          <w:p w14:paraId="7C44A53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 Alexander, 2006 (Nurs Adm Q); IS27 McKnight et al., 2002 (Inf Syst Res); IS62 Raj et al., 2021 (Med Care Res Rev)</w:t>
            </w:r>
          </w:p>
        </w:tc>
      </w:tr>
      <w:tr w:rsidR="009F2A5C" w:rsidRPr="002D28AB" w14:paraId="1EB290AA" w14:textId="77777777" w:rsidTr="004D13DE">
        <w:tc>
          <w:tcPr>
            <w:tcW w:w="1615" w:type="dxa"/>
          </w:tcPr>
          <w:p w14:paraId="5944247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170" w:type="dxa"/>
          </w:tcPr>
          <w:p w14:paraId="26370DE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C7</w:t>
            </w:r>
          </w:p>
        </w:tc>
        <w:tc>
          <w:tcPr>
            <w:tcW w:w="2070" w:type="dxa"/>
          </w:tcPr>
          <w:p w14:paraId="291CD3E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Satisfaction with information quality</w:t>
            </w:r>
          </w:p>
        </w:tc>
        <w:tc>
          <w:tcPr>
            <w:tcW w:w="4140" w:type="dxa"/>
          </w:tcPr>
          <w:p w14:paraId="51FAD46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IS10 Campanella et al., 2016 (</w:t>
            </w:r>
            <w:proofErr w:type="spellStart"/>
            <w:r w:rsidRPr="002D28AB">
              <w:rPr>
                <w:rFonts w:ascii="Times New Roman" w:hAnsi="Times New Roman" w:cs="Times New Roman"/>
                <w:sz w:val="22"/>
                <w:szCs w:val="22"/>
              </w:rPr>
              <w:t>Eur</w:t>
            </w:r>
            <w:proofErr w:type="spellEnd"/>
            <w:r w:rsidRPr="002D28AB">
              <w:rPr>
                <w:rFonts w:ascii="Times New Roman" w:hAnsi="Times New Roman" w:cs="Times New Roman"/>
                <w:sz w:val="22"/>
                <w:szCs w:val="22"/>
              </w:rPr>
              <w:t xml:space="preserve"> J Public Health)</w:t>
            </w:r>
          </w:p>
        </w:tc>
      </w:tr>
      <w:tr w:rsidR="009F2A5C" w:rsidRPr="002D28AB" w14:paraId="65831F98" w14:textId="77777777" w:rsidTr="004D13DE">
        <w:tc>
          <w:tcPr>
            <w:tcW w:w="1615" w:type="dxa"/>
          </w:tcPr>
          <w:p w14:paraId="4364942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170" w:type="dxa"/>
          </w:tcPr>
          <w:p w14:paraId="0494D0E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C12</w:t>
            </w:r>
          </w:p>
        </w:tc>
        <w:tc>
          <w:tcPr>
            <w:tcW w:w="2070" w:type="dxa"/>
          </w:tcPr>
          <w:p w14:paraId="5C1EBF8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Model type and fit</w:t>
            </w:r>
          </w:p>
        </w:tc>
        <w:tc>
          <w:tcPr>
            <w:tcW w:w="4140" w:type="dxa"/>
          </w:tcPr>
          <w:p w14:paraId="22A66B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IS4 AlSaad et al., 2024 (J Med Internet Res); IS37 Choudhury &amp; </w:t>
            </w:r>
            <w:proofErr w:type="spellStart"/>
            <w:r w:rsidRPr="002D28AB">
              <w:rPr>
                <w:rFonts w:ascii="Times New Roman" w:hAnsi="Times New Roman" w:cs="Times New Roman"/>
                <w:sz w:val="22"/>
                <w:szCs w:val="22"/>
              </w:rPr>
              <w:t>Shamszare</w:t>
            </w:r>
            <w:proofErr w:type="spellEnd"/>
            <w:r w:rsidRPr="002D28AB">
              <w:rPr>
                <w:rFonts w:ascii="Times New Roman" w:hAnsi="Times New Roman" w:cs="Times New Roman"/>
                <w:sz w:val="22"/>
                <w:szCs w:val="22"/>
              </w:rPr>
              <w:t>, 2023 (J Med Internet Res)</w:t>
            </w:r>
          </w:p>
        </w:tc>
      </w:tr>
      <w:tr w:rsidR="009F2A5C" w:rsidRPr="002D28AB" w14:paraId="361FEE57" w14:textId="77777777" w:rsidTr="004D13DE">
        <w:tc>
          <w:tcPr>
            <w:tcW w:w="1615" w:type="dxa"/>
          </w:tcPr>
          <w:p w14:paraId="725FEEE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655DB25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S2</w:t>
            </w:r>
          </w:p>
        </w:tc>
        <w:tc>
          <w:tcPr>
            <w:tcW w:w="2070" w:type="dxa"/>
          </w:tcPr>
          <w:p w14:paraId="5690A9D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effectiveness</w:t>
            </w:r>
          </w:p>
        </w:tc>
        <w:tc>
          <w:tcPr>
            <w:tcW w:w="4140" w:type="dxa"/>
          </w:tcPr>
          <w:p w14:paraId="06D1B52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IS6 </w:t>
            </w:r>
            <w:proofErr w:type="spellStart"/>
            <w:r w:rsidRPr="002D28AB">
              <w:rPr>
                <w:rFonts w:ascii="Times New Roman" w:hAnsi="Times New Roman" w:cs="Times New Roman"/>
                <w:sz w:val="22"/>
                <w:szCs w:val="22"/>
              </w:rPr>
              <w:t>Baysari</w:t>
            </w:r>
            <w:proofErr w:type="spellEnd"/>
            <w:r w:rsidRPr="002D28AB">
              <w:rPr>
                <w:rFonts w:ascii="Times New Roman" w:hAnsi="Times New Roman" w:cs="Times New Roman"/>
                <w:sz w:val="22"/>
                <w:szCs w:val="22"/>
              </w:rPr>
              <w:t xml:space="preserve"> et al., 2011 (JAMIA)</w:t>
            </w:r>
          </w:p>
        </w:tc>
      </w:tr>
      <w:tr w:rsidR="009F2A5C" w:rsidRPr="002D28AB" w14:paraId="43426E07" w14:textId="77777777" w:rsidTr="004D13DE">
        <w:tc>
          <w:tcPr>
            <w:tcW w:w="1615" w:type="dxa"/>
          </w:tcPr>
          <w:p w14:paraId="0207508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6DA92B7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S3</w:t>
            </w:r>
          </w:p>
        </w:tc>
        <w:tc>
          <w:tcPr>
            <w:tcW w:w="2070" w:type="dxa"/>
          </w:tcPr>
          <w:p w14:paraId="0DF5B86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Data entry efficiency</w:t>
            </w:r>
          </w:p>
        </w:tc>
        <w:tc>
          <w:tcPr>
            <w:tcW w:w="4140" w:type="dxa"/>
          </w:tcPr>
          <w:p w14:paraId="26AFD9C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IS63 Saleem et al., 2009 (Int J Med Inform)</w:t>
            </w:r>
          </w:p>
        </w:tc>
      </w:tr>
      <w:tr w:rsidR="009F2A5C" w:rsidRPr="002D28AB" w14:paraId="4201D457" w14:textId="77777777" w:rsidTr="004D13DE">
        <w:tc>
          <w:tcPr>
            <w:tcW w:w="1615" w:type="dxa"/>
          </w:tcPr>
          <w:p w14:paraId="6683C80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689C907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H1</w:t>
            </w:r>
          </w:p>
        </w:tc>
        <w:tc>
          <w:tcPr>
            <w:tcW w:w="2070" w:type="dxa"/>
          </w:tcPr>
          <w:p w14:paraId="595E6D8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Cognitive load</w:t>
            </w:r>
          </w:p>
        </w:tc>
        <w:tc>
          <w:tcPr>
            <w:tcW w:w="4140" w:type="dxa"/>
          </w:tcPr>
          <w:p w14:paraId="169DE25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IS65 Shanafelt et al., 2016 (Mayo Clin Proc); IS68 Zheng et al., 2009 (JAMIA)</w:t>
            </w:r>
          </w:p>
        </w:tc>
      </w:tr>
      <w:tr w:rsidR="009F2A5C" w:rsidRPr="002D28AB" w14:paraId="0187DF38" w14:textId="77777777" w:rsidTr="004D13DE">
        <w:tc>
          <w:tcPr>
            <w:tcW w:w="1615" w:type="dxa"/>
          </w:tcPr>
          <w:p w14:paraId="5B3BDD2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22A103C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H2</w:t>
            </w:r>
          </w:p>
        </w:tc>
        <w:tc>
          <w:tcPr>
            <w:tcW w:w="2070" w:type="dxa"/>
          </w:tcPr>
          <w:p w14:paraId="161BC45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adequacy</w:t>
            </w:r>
          </w:p>
        </w:tc>
        <w:tc>
          <w:tcPr>
            <w:tcW w:w="4140" w:type="dxa"/>
          </w:tcPr>
          <w:p w14:paraId="4248E50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IS56 Khairat et al., 2018 (JMIR Med Inform)</w:t>
            </w:r>
          </w:p>
        </w:tc>
      </w:tr>
      <w:tr w:rsidR="009F2A5C" w:rsidRPr="002D28AB" w14:paraId="6CA4E37A" w14:textId="77777777" w:rsidTr="004D13DE">
        <w:tc>
          <w:tcPr>
            <w:tcW w:w="1615" w:type="dxa"/>
          </w:tcPr>
          <w:p w14:paraId="548B235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78D86D3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H3</w:t>
            </w:r>
          </w:p>
        </w:tc>
        <w:tc>
          <w:tcPr>
            <w:tcW w:w="2070" w:type="dxa"/>
          </w:tcPr>
          <w:p w14:paraId="21E2D8C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fatigue</w:t>
            </w:r>
          </w:p>
        </w:tc>
        <w:tc>
          <w:tcPr>
            <w:tcW w:w="4140" w:type="dxa"/>
          </w:tcPr>
          <w:p w14:paraId="16A2550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IS5 Ancker et al., 2017 (BMC Med Inform </w:t>
            </w:r>
            <w:proofErr w:type="spellStart"/>
            <w:r w:rsidRPr="002D28AB">
              <w:rPr>
                <w:rFonts w:ascii="Times New Roman" w:hAnsi="Times New Roman" w:cs="Times New Roman"/>
                <w:sz w:val="22"/>
                <w:szCs w:val="22"/>
              </w:rPr>
              <w:t>Decis</w:t>
            </w:r>
            <w:proofErr w:type="spellEnd"/>
            <w:r w:rsidRPr="002D28AB">
              <w:rPr>
                <w:rFonts w:ascii="Times New Roman" w:hAnsi="Times New Roman" w:cs="Times New Roman"/>
                <w:sz w:val="22"/>
                <w:szCs w:val="22"/>
              </w:rPr>
              <w:t xml:space="preserve"> Mak)</w:t>
            </w:r>
          </w:p>
        </w:tc>
      </w:tr>
      <w:tr w:rsidR="009F2A5C" w:rsidRPr="002D28AB" w14:paraId="6C08D4EC" w14:textId="77777777" w:rsidTr="004D13DE">
        <w:tc>
          <w:tcPr>
            <w:tcW w:w="1615" w:type="dxa"/>
          </w:tcPr>
          <w:p w14:paraId="0CB7BBC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7FAB8FE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H4</w:t>
            </w:r>
          </w:p>
        </w:tc>
        <w:tc>
          <w:tcPr>
            <w:tcW w:w="2070" w:type="dxa"/>
          </w:tcPr>
          <w:p w14:paraId="73BC0C6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Technological self-efficacy</w:t>
            </w:r>
          </w:p>
        </w:tc>
        <w:tc>
          <w:tcPr>
            <w:tcW w:w="4140" w:type="dxa"/>
          </w:tcPr>
          <w:p w14:paraId="103568F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IS17 Holden &amp; Karsh, 2010 (J Biomed Inform)</w:t>
            </w:r>
          </w:p>
        </w:tc>
      </w:tr>
      <w:tr w:rsidR="009F2A5C" w:rsidRPr="002D28AB" w14:paraId="193E4273" w14:textId="77777777" w:rsidTr="004D13DE">
        <w:tc>
          <w:tcPr>
            <w:tcW w:w="1615" w:type="dxa"/>
          </w:tcPr>
          <w:p w14:paraId="29DD51F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2A9EC18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H5</w:t>
            </w:r>
          </w:p>
        </w:tc>
        <w:tc>
          <w:tcPr>
            <w:tcW w:w="2070" w:type="dxa"/>
          </w:tcPr>
          <w:p w14:paraId="2774475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User satisfaction</w:t>
            </w:r>
          </w:p>
        </w:tc>
        <w:tc>
          <w:tcPr>
            <w:tcW w:w="4140" w:type="dxa"/>
          </w:tcPr>
          <w:p w14:paraId="32E1BDE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IS18 Holmgren et al., 2024 (JAMA </w:t>
            </w:r>
            <w:proofErr w:type="spellStart"/>
            <w:r w:rsidRPr="002D28AB">
              <w:rPr>
                <w:rFonts w:ascii="Times New Roman" w:hAnsi="Times New Roman" w:cs="Times New Roman"/>
                <w:sz w:val="22"/>
                <w:szCs w:val="22"/>
              </w:rPr>
              <w:t>Netw</w:t>
            </w:r>
            <w:proofErr w:type="spellEnd"/>
            <w:r w:rsidRPr="002D28AB">
              <w:rPr>
                <w:rFonts w:ascii="Times New Roman" w:hAnsi="Times New Roman" w:cs="Times New Roman"/>
                <w:sz w:val="22"/>
                <w:szCs w:val="22"/>
              </w:rPr>
              <w:t xml:space="preserve"> Open)</w:t>
            </w:r>
          </w:p>
        </w:tc>
      </w:tr>
      <w:tr w:rsidR="009F2A5C" w:rsidRPr="002D28AB" w14:paraId="05893112" w14:textId="77777777" w:rsidTr="004D13DE">
        <w:tc>
          <w:tcPr>
            <w:tcW w:w="1615" w:type="dxa"/>
          </w:tcPr>
          <w:p w14:paraId="0487E3D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6C3D3D9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H6</w:t>
            </w:r>
          </w:p>
        </w:tc>
        <w:tc>
          <w:tcPr>
            <w:tcW w:w="2070" w:type="dxa"/>
          </w:tcPr>
          <w:p w14:paraId="0470E5C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Collaboration and communication support</w:t>
            </w:r>
          </w:p>
        </w:tc>
        <w:tc>
          <w:tcPr>
            <w:tcW w:w="4140" w:type="dxa"/>
          </w:tcPr>
          <w:p w14:paraId="7A2C035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IS11 </w:t>
            </w:r>
            <w:proofErr w:type="spellStart"/>
            <w:r w:rsidRPr="002D28AB">
              <w:rPr>
                <w:rFonts w:ascii="Times New Roman" w:hAnsi="Times New Roman" w:cs="Times New Roman"/>
                <w:sz w:val="22"/>
                <w:szCs w:val="22"/>
              </w:rPr>
              <w:t>Coiera</w:t>
            </w:r>
            <w:proofErr w:type="spellEnd"/>
            <w:r w:rsidRPr="002D28AB">
              <w:rPr>
                <w:rFonts w:ascii="Times New Roman" w:hAnsi="Times New Roman" w:cs="Times New Roman"/>
                <w:sz w:val="22"/>
                <w:szCs w:val="22"/>
              </w:rPr>
              <w:t>, 2000 (JAMIA)</w:t>
            </w:r>
          </w:p>
        </w:tc>
      </w:tr>
      <w:tr w:rsidR="009F2A5C" w:rsidRPr="002D28AB" w14:paraId="4857C2FE" w14:textId="77777777" w:rsidTr="004D13DE">
        <w:tc>
          <w:tcPr>
            <w:tcW w:w="1615" w:type="dxa"/>
          </w:tcPr>
          <w:p w14:paraId="7B2C3AC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6AD8E4A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C3</w:t>
            </w:r>
          </w:p>
        </w:tc>
        <w:tc>
          <w:tcPr>
            <w:tcW w:w="2070" w:type="dxa"/>
          </w:tcPr>
          <w:p w14:paraId="1DC993CC" w14:textId="77777777" w:rsidR="009F2A5C" w:rsidRPr="002D28AB" w:rsidRDefault="009F2A5C" w:rsidP="004D13DE">
            <w:pPr>
              <w:rPr>
                <w:rFonts w:ascii="Times New Roman" w:hAnsi="Times New Roman" w:cs="Times New Roman"/>
                <w:sz w:val="22"/>
                <w:szCs w:val="22"/>
              </w:rPr>
            </w:pPr>
            <w:bookmarkStart w:id="2" w:name="OLE_LINK92"/>
            <w:r w:rsidRPr="002D28AB">
              <w:rPr>
                <w:rFonts w:ascii="Times New Roman" w:hAnsi="Times New Roman" w:cs="Times New Roman"/>
                <w:sz w:val="22"/>
                <w:szCs w:val="22"/>
              </w:rPr>
              <w:t>AI training coverage</w:t>
            </w:r>
            <w:bookmarkEnd w:id="2"/>
          </w:p>
        </w:tc>
        <w:tc>
          <w:tcPr>
            <w:tcW w:w="4140" w:type="dxa"/>
          </w:tcPr>
          <w:p w14:paraId="5937AF9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IS23 Lambert et al., 2023 (NPJ Digit Med); IS33 </w:t>
            </w:r>
            <w:proofErr w:type="spellStart"/>
            <w:r w:rsidRPr="002D28AB">
              <w:rPr>
                <w:rFonts w:ascii="Times New Roman" w:hAnsi="Times New Roman" w:cs="Times New Roman"/>
                <w:sz w:val="22"/>
                <w:szCs w:val="22"/>
              </w:rPr>
              <w:t>Pumplun</w:t>
            </w:r>
            <w:proofErr w:type="spellEnd"/>
            <w:r w:rsidRPr="002D28AB">
              <w:rPr>
                <w:rFonts w:ascii="Times New Roman" w:hAnsi="Times New Roman" w:cs="Times New Roman"/>
                <w:sz w:val="22"/>
                <w:szCs w:val="22"/>
              </w:rPr>
              <w:t xml:space="preserve"> et al., 2021 (HICSS-54)</w:t>
            </w:r>
          </w:p>
        </w:tc>
      </w:tr>
      <w:tr w:rsidR="009F2A5C" w:rsidRPr="002D28AB" w14:paraId="0BA8C913" w14:textId="77777777" w:rsidTr="004D13DE">
        <w:tc>
          <w:tcPr>
            <w:tcW w:w="1615" w:type="dxa"/>
          </w:tcPr>
          <w:p w14:paraId="69E0584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170" w:type="dxa"/>
          </w:tcPr>
          <w:p w14:paraId="5EA752A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C11</w:t>
            </w:r>
          </w:p>
        </w:tc>
        <w:tc>
          <w:tcPr>
            <w:tcW w:w="2070" w:type="dxa"/>
          </w:tcPr>
          <w:p w14:paraId="541A35E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automation</w:t>
            </w:r>
          </w:p>
        </w:tc>
        <w:tc>
          <w:tcPr>
            <w:tcW w:w="4140" w:type="dxa"/>
          </w:tcPr>
          <w:p w14:paraId="0C93582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IS22 </w:t>
            </w:r>
            <w:proofErr w:type="spellStart"/>
            <w:r w:rsidRPr="002D28AB">
              <w:rPr>
                <w:rFonts w:ascii="Times New Roman" w:hAnsi="Times New Roman" w:cs="Times New Roman"/>
                <w:sz w:val="22"/>
                <w:szCs w:val="22"/>
              </w:rPr>
              <w:t>Labkoff</w:t>
            </w:r>
            <w:proofErr w:type="spellEnd"/>
            <w:r w:rsidRPr="002D28AB">
              <w:rPr>
                <w:rFonts w:ascii="Times New Roman" w:hAnsi="Times New Roman" w:cs="Times New Roman"/>
                <w:sz w:val="22"/>
                <w:szCs w:val="22"/>
              </w:rPr>
              <w:t xml:space="preserve"> et al., 2024 (JAMIA); IS36 Sendak et al., 2020 (NPJ Digit Med); IS42 Yu et al., 2018 (Nat Biomed Eng)</w:t>
            </w:r>
          </w:p>
        </w:tc>
      </w:tr>
      <w:tr w:rsidR="009F2A5C" w:rsidRPr="002D28AB" w14:paraId="527CFB76" w14:textId="77777777" w:rsidTr="004D13DE">
        <w:tc>
          <w:tcPr>
            <w:tcW w:w="1615" w:type="dxa"/>
          </w:tcPr>
          <w:p w14:paraId="6536A4A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7C56C6A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O1</w:t>
            </w:r>
          </w:p>
        </w:tc>
        <w:tc>
          <w:tcPr>
            <w:tcW w:w="2070" w:type="dxa"/>
          </w:tcPr>
          <w:p w14:paraId="28109CF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Safety culture support</w:t>
            </w:r>
          </w:p>
        </w:tc>
        <w:tc>
          <w:tcPr>
            <w:tcW w:w="4140" w:type="dxa"/>
          </w:tcPr>
          <w:p w14:paraId="20615EC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IS35 </w:t>
            </w: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2018 (JAMIA); IS64 Schiff et al., 2015 (BMJ Qual Saf)</w:t>
            </w:r>
          </w:p>
        </w:tc>
      </w:tr>
      <w:tr w:rsidR="009F2A5C" w:rsidRPr="002D28AB" w14:paraId="56D1AF87" w14:textId="77777777" w:rsidTr="004D13DE">
        <w:tc>
          <w:tcPr>
            <w:tcW w:w="1615" w:type="dxa"/>
          </w:tcPr>
          <w:p w14:paraId="1FC7C68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4E1892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O2</w:t>
            </w:r>
          </w:p>
        </w:tc>
        <w:tc>
          <w:tcPr>
            <w:tcW w:w="2070" w:type="dxa"/>
          </w:tcPr>
          <w:p w14:paraId="1FC5515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Cross-department collaboration mechanisms</w:t>
            </w:r>
          </w:p>
        </w:tc>
        <w:tc>
          <w:tcPr>
            <w:tcW w:w="4140" w:type="dxa"/>
          </w:tcPr>
          <w:p w14:paraId="6FCE424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IS12 Cresswell et al., 2012 (BMC Med Inform </w:t>
            </w:r>
            <w:proofErr w:type="spellStart"/>
            <w:r w:rsidRPr="002D28AB">
              <w:rPr>
                <w:rFonts w:ascii="Times New Roman" w:hAnsi="Times New Roman" w:cs="Times New Roman"/>
                <w:sz w:val="22"/>
                <w:szCs w:val="22"/>
              </w:rPr>
              <w:t>Decis</w:t>
            </w:r>
            <w:proofErr w:type="spellEnd"/>
            <w:r w:rsidRPr="002D28AB">
              <w:rPr>
                <w:rFonts w:ascii="Times New Roman" w:hAnsi="Times New Roman" w:cs="Times New Roman"/>
                <w:sz w:val="22"/>
                <w:szCs w:val="22"/>
              </w:rPr>
              <w:t xml:space="preserve"> Mak); IS26 </w:t>
            </w:r>
            <w:proofErr w:type="spellStart"/>
            <w:r w:rsidRPr="002D28AB">
              <w:rPr>
                <w:rFonts w:ascii="Times New Roman" w:hAnsi="Times New Roman" w:cs="Times New Roman"/>
                <w:sz w:val="22"/>
                <w:szCs w:val="22"/>
              </w:rPr>
              <w:t>McAlearney</w:t>
            </w:r>
            <w:proofErr w:type="spellEnd"/>
            <w:r w:rsidRPr="002D28AB">
              <w:rPr>
                <w:rFonts w:ascii="Times New Roman" w:hAnsi="Times New Roman" w:cs="Times New Roman"/>
                <w:sz w:val="22"/>
                <w:szCs w:val="22"/>
              </w:rPr>
              <w:t xml:space="preserve"> et al., 2015 (Health Serv Res)</w:t>
            </w:r>
          </w:p>
        </w:tc>
      </w:tr>
      <w:tr w:rsidR="009F2A5C" w:rsidRPr="002D28AB" w14:paraId="03DE7DB5" w14:textId="77777777" w:rsidTr="004D13DE">
        <w:tc>
          <w:tcPr>
            <w:tcW w:w="1615" w:type="dxa"/>
          </w:tcPr>
          <w:p w14:paraId="4547B31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6AAF875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O3</w:t>
            </w:r>
          </w:p>
        </w:tc>
        <w:tc>
          <w:tcPr>
            <w:tcW w:w="2070" w:type="dxa"/>
          </w:tcPr>
          <w:p w14:paraId="6AE942E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Management support level</w:t>
            </w:r>
          </w:p>
        </w:tc>
        <w:tc>
          <w:tcPr>
            <w:tcW w:w="4140" w:type="dxa"/>
          </w:tcPr>
          <w:p w14:paraId="11B9116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IS26 </w:t>
            </w:r>
            <w:proofErr w:type="spellStart"/>
            <w:r w:rsidRPr="002D28AB">
              <w:rPr>
                <w:rFonts w:ascii="Times New Roman" w:hAnsi="Times New Roman" w:cs="Times New Roman"/>
                <w:sz w:val="22"/>
                <w:szCs w:val="22"/>
              </w:rPr>
              <w:t>McAlearney</w:t>
            </w:r>
            <w:proofErr w:type="spellEnd"/>
            <w:r w:rsidRPr="002D28AB">
              <w:rPr>
                <w:rFonts w:ascii="Times New Roman" w:hAnsi="Times New Roman" w:cs="Times New Roman"/>
                <w:sz w:val="22"/>
                <w:szCs w:val="22"/>
              </w:rPr>
              <w:t xml:space="preserve"> et al., 2015 (Health Serv Res)</w:t>
            </w:r>
          </w:p>
        </w:tc>
      </w:tr>
      <w:tr w:rsidR="009F2A5C" w:rsidRPr="002D28AB" w14:paraId="1395D328" w14:textId="77777777" w:rsidTr="004D13DE">
        <w:tc>
          <w:tcPr>
            <w:tcW w:w="1615" w:type="dxa"/>
          </w:tcPr>
          <w:p w14:paraId="09894CF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Outcome</w:t>
            </w:r>
          </w:p>
        </w:tc>
        <w:tc>
          <w:tcPr>
            <w:tcW w:w="1170" w:type="dxa"/>
          </w:tcPr>
          <w:p w14:paraId="7359784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O4</w:t>
            </w:r>
          </w:p>
        </w:tc>
        <w:tc>
          <w:tcPr>
            <w:tcW w:w="2070" w:type="dxa"/>
          </w:tcPr>
          <w:p w14:paraId="4A67A3D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Technical support quality</w:t>
            </w:r>
          </w:p>
        </w:tc>
        <w:tc>
          <w:tcPr>
            <w:tcW w:w="4140" w:type="dxa"/>
          </w:tcPr>
          <w:p w14:paraId="05045DF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IS26 </w:t>
            </w:r>
            <w:proofErr w:type="spellStart"/>
            <w:r w:rsidRPr="002D28AB">
              <w:rPr>
                <w:rFonts w:ascii="Times New Roman" w:hAnsi="Times New Roman" w:cs="Times New Roman"/>
                <w:sz w:val="22"/>
                <w:szCs w:val="22"/>
              </w:rPr>
              <w:t>McAlearney</w:t>
            </w:r>
            <w:proofErr w:type="spellEnd"/>
            <w:r w:rsidRPr="002D28AB">
              <w:rPr>
                <w:rFonts w:ascii="Times New Roman" w:hAnsi="Times New Roman" w:cs="Times New Roman"/>
                <w:sz w:val="22"/>
                <w:szCs w:val="22"/>
              </w:rPr>
              <w:t xml:space="preserve"> et al., 2015 (Health Serv Res)</w:t>
            </w:r>
          </w:p>
        </w:tc>
      </w:tr>
      <w:tr w:rsidR="009F2A5C" w:rsidRPr="002D28AB" w14:paraId="7423E3A6" w14:textId="77777777" w:rsidTr="004D13DE">
        <w:tc>
          <w:tcPr>
            <w:tcW w:w="1615" w:type="dxa"/>
          </w:tcPr>
          <w:p w14:paraId="75D253C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20E43C7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O5</w:t>
            </w:r>
          </w:p>
        </w:tc>
        <w:tc>
          <w:tcPr>
            <w:tcW w:w="2070" w:type="dxa"/>
          </w:tcPr>
          <w:p w14:paraId="6EEFF51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Workflow standardization</w:t>
            </w:r>
          </w:p>
        </w:tc>
        <w:tc>
          <w:tcPr>
            <w:tcW w:w="4140" w:type="dxa"/>
          </w:tcPr>
          <w:p w14:paraId="069A9A7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IS47 </w:t>
            </w:r>
            <w:proofErr w:type="spellStart"/>
            <w:r w:rsidRPr="002D28AB">
              <w:rPr>
                <w:rFonts w:ascii="Times New Roman" w:hAnsi="Times New Roman" w:cs="Times New Roman"/>
                <w:sz w:val="22"/>
                <w:szCs w:val="22"/>
              </w:rPr>
              <w:t>Blijleven</w:t>
            </w:r>
            <w:proofErr w:type="spellEnd"/>
            <w:r w:rsidRPr="002D28AB">
              <w:rPr>
                <w:rFonts w:ascii="Times New Roman" w:hAnsi="Times New Roman" w:cs="Times New Roman"/>
                <w:sz w:val="22"/>
                <w:szCs w:val="22"/>
              </w:rPr>
              <w:t xml:space="preserve"> et al., 2017 (JMIR Hum Factors); IS63 Saleem et al., 2009 (Int J Med Inform)</w:t>
            </w:r>
          </w:p>
        </w:tc>
      </w:tr>
      <w:tr w:rsidR="009F2A5C" w:rsidRPr="002D28AB" w14:paraId="6A8E3797" w14:textId="77777777" w:rsidTr="004D13DE">
        <w:tc>
          <w:tcPr>
            <w:tcW w:w="1615" w:type="dxa"/>
          </w:tcPr>
          <w:p w14:paraId="1FE1482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2099A29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C5</w:t>
            </w:r>
          </w:p>
        </w:tc>
        <w:tc>
          <w:tcPr>
            <w:tcW w:w="2070" w:type="dxa"/>
          </w:tcPr>
          <w:p w14:paraId="40FE301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Technology acceptance</w:t>
            </w:r>
          </w:p>
        </w:tc>
        <w:tc>
          <w:tcPr>
            <w:tcW w:w="4140" w:type="dxa"/>
          </w:tcPr>
          <w:p w14:paraId="72881B5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IS14 Gagnon et al., 2014 (J Biomed Inform)</w:t>
            </w:r>
          </w:p>
        </w:tc>
      </w:tr>
      <w:tr w:rsidR="009F2A5C" w:rsidRPr="002D28AB" w14:paraId="37780104" w14:textId="77777777" w:rsidTr="004D13DE">
        <w:tc>
          <w:tcPr>
            <w:tcW w:w="1615" w:type="dxa"/>
          </w:tcPr>
          <w:p w14:paraId="6CF78B4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6FA6DA1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C8</w:t>
            </w:r>
          </w:p>
        </w:tc>
        <w:tc>
          <w:tcPr>
            <w:tcW w:w="2070" w:type="dxa"/>
          </w:tcPr>
          <w:p w14:paraId="6F09804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Error frequency</w:t>
            </w:r>
          </w:p>
        </w:tc>
        <w:tc>
          <w:tcPr>
            <w:tcW w:w="4140" w:type="dxa"/>
          </w:tcPr>
          <w:p w14:paraId="5A8B924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IS10 Campanella et al., 2016 (</w:t>
            </w:r>
            <w:proofErr w:type="spellStart"/>
            <w:r w:rsidRPr="002D28AB">
              <w:rPr>
                <w:rFonts w:ascii="Times New Roman" w:hAnsi="Times New Roman" w:cs="Times New Roman"/>
                <w:sz w:val="22"/>
                <w:szCs w:val="22"/>
              </w:rPr>
              <w:t>Eur</w:t>
            </w:r>
            <w:proofErr w:type="spellEnd"/>
            <w:r w:rsidRPr="002D28AB">
              <w:rPr>
                <w:rFonts w:ascii="Times New Roman" w:hAnsi="Times New Roman" w:cs="Times New Roman"/>
                <w:sz w:val="22"/>
                <w:szCs w:val="22"/>
              </w:rPr>
              <w:t xml:space="preserve"> J Public Health); IS64 Schiff et al., 2015 (BMJ Qual Saf)</w:t>
            </w:r>
          </w:p>
        </w:tc>
      </w:tr>
      <w:tr w:rsidR="009F2A5C" w:rsidRPr="002D28AB" w14:paraId="77DAE269" w14:textId="77777777" w:rsidTr="004D13DE">
        <w:tc>
          <w:tcPr>
            <w:tcW w:w="1615" w:type="dxa"/>
          </w:tcPr>
          <w:p w14:paraId="11CBD20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5344BBF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C9</w:t>
            </w:r>
          </w:p>
        </w:tc>
        <w:tc>
          <w:tcPr>
            <w:tcW w:w="2070" w:type="dxa"/>
          </w:tcPr>
          <w:p w14:paraId="0EEAFA4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Occupational burnout</w:t>
            </w:r>
          </w:p>
        </w:tc>
        <w:tc>
          <w:tcPr>
            <w:tcW w:w="4140" w:type="dxa"/>
          </w:tcPr>
          <w:p w14:paraId="678F19B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IS18 Holmgren et al., 2024 (JAMA </w:t>
            </w:r>
            <w:proofErr w:type="spellStart"/>
            <w:r w:rsidRPr="002D28AB">
              <w:rPr>
                <w:rFonts w:ascii="Times New Roman" w:hAnsi="Times New Roman" w:cs="Times New Roman"/>
                <w:sz w:val="22"/>
                <w:szCs w:val="22"/>
              </w:rPr>
              <w:t>Netw</w:t>
            </w:r>
            <w:proofErr w:type="spellEnd"/>
            <w:r w:rsidRPr="002D28AB">
              <w:rPr>
                <w:rFonts w:ascii="Times New Roman" w:hAnsi="Times New Roman" w:cs="Times New Roman"/>
                <w:sz w:val="22"/>
                <w:szCs w:val="22"/>
              </w:rPr>
              <w:t xml:space="preserve"> Open); IS65 Shanafelt et al., 2016 (Mayo Clin Proc)</w:t>
            </w:r>
          </w:p>
        </w:tc>
      </w:tr>
      <w:tr w:rsidR="009F2A5C" w:rsidRPr="002D28AB" w14:paraId="7CD4406E" w14:textId="77777777" w:rsidTr="004D13DE">
        <w:tc>
          <w:tcPr>
            <w:tcW w:w="1615" w:type="dxa"/>
          </w:tcPr>
          <w:p w14:paraId="232CE14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170" w:type="dxa"/>
          </w:tcPr>
          <w:p w14:paraId="0BCB933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C10</w:t>
            </w:r>
          </w:p>
        </w:tc>
        <w:tc>
          <w:tcPr>
            <w:tcW w:w="2070" w:type="dxa"/>
          </w:tcPr>
          <w:p w14:paraId="1BDAD1A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augmentation of decision-making</w:t>
            </w:r>
          </w:p>
        </w:tc>
        <w:tc>
          <w:tcPr>
            <w:tcW w:w="4140" w:type="dxa"/>
          </w:tcPr>
          <w:p w14:paraId="34AA1AD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IS36 Sendak et al., 2020 (NPJ Digit Med)</w:t>
            </w:r>
          </w:p>
        </w:tc>
      </w:tr>
    </w:tbl>
    <w:p w14:paraId="75B8C11B" w14:textId="77777777" w:rsidR="009F2A5C" w:rsidRPr="002D28AB" w:rsidRDefault="009F2A5C" w:rsidP="009F2A5C">
      <w:pPr>
        <w:rPr>
          <w:rFonts w:ascii="Times New Roman" w:hAnsi="Times New Roman" w:cs="Times New Roman"/>
          <w:sz w:val="22"/>
          <w:szCs w:val="22"/>
        </w:rPr>
      </w:pPr>
      <w:r w:rsidRPr="002D28AB">
        <w:rPr>
          <w:rFonts w:ascii="Times New Roman" w:hAnsi="Times New Roman" w:cs="Times New Roman"/>
          <w:sz w:val="22"/>
          <w:szCs w:val="22"/>
        </w:rPr>
        <w:t>Note. This table lists the complete set of 29 variables and their assignment to the four 4I layers (Interface, Information, Interaction, Outcome). Example supporting studies are indicated using included-study IDs (e.g., IS44). Not all included studies (IS1–IS70) necessarily contribute variable-level evidence in Tables A3–A5; studies are listed only where they directly support a given variable. The full included-studies list is provided in Table A6.</w:t>
      </w:r>
    </w:p>
    <w:p w14:paraId="4BD52078" w14:textId="77777777" w:rsidR="009F2A5C" w:rsidRPr="002D28AB" w:rsidRDefault="009F2A5C" w:rsidP="009F2A5C">
      <w:pPr>
        <w:rPr>
          <w:rFonts w:ascii="Times New Roman" w:hAnsi="Times New Roman" w:cs="Times New Roman"/>
          <w:b/>
          <w:i/>
          <w:iCs/>
          <w:sz w:val="22"/>
          <w:szCs w:val="22"/>
        </w:rPr>
      </w:pPr>
      <w:r w:rsidRPr="002D28AB">
        <w:rPr>
          <w:rFonts w:ascii="Times New Roman" w:hAnsi="Times New Roman" w:cs="Times New Roman"/>
          <w:b/>
          <w:i/>
          <w:iCs/>
          <w:sz w:val="22"/>
          <w:szCs w:val="22"/>
        </w:rPr>
        <w:br w:type="page"/>
      </w:r>
    </w:p>
    <w:p w14:paraId="4A4B7894" w14:textId="77777777" w:rsidR="009F2A5C" w:rsidRPr="002D28AB" w:rsidRDefault="009F2A5C" w:rsidP="009F2A5C">
      <w:pPr>
        <w:spacing w:line="480" w:lineRule="auto"/>
        <w:rPr>
          <w:rFonts w:ascii="Times New Roman" w:eastAsia="Malgun Gothic" w:hAnsi="Times New Roman" w:cs="Times New Roman"/>
          <w:sz w:val="22"/>
          <w:szCs w:val="22"/>
          <w:lang w:eastAsia="ko-KR"/>
        </w:rPr>
      </w:pPr>
      <w:r w:rsidRPr="002D28AB">
        <w:rPr>
          <w:rFonts w:ascii="Times New Roman" w:hAnsi="Times New Roman" w:cs="Times New Roman"/>
          <w:b/>
          <w:sz w:val="22"/>
          <w:szCs w:val="22"/>
        </w:rPr>
        <w:lastRenderedPageBreak/>
        <w:t>Table A4.</w:t>
      </w:r>
      <w:r w:rsidRPr="002D28AB">
        <w:rPr>
          <w:rFonts w:ascii="Times New Roman" w:hAnsi="Times New Roman" w:cs="Times New Roman"/>
          <w:sz w:val="22"/>
          <w:szCs w:val="22"/>
        </w:rPr>
        <w:t xml:space="preserve"> Evidence matrix of drivers and barriers across the 4I layers and 29 variables</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1267"/>
        <w:gridCol w:w="1622"/>
        <w:gridCol w:w="3457"/>
        <w:gridCol w:w="2305"/>
      </w:tblGrid>
      <w:tr w:rsidR="009F2A5C" w:rsidRPr="002D28AB" w14:paraId="64AE3692" w14:textId="77777777" w:rsidTr="004D13DE">
        <w:tc>
          <w:tcPr>
            <w:tcW w:w="625" w:type="dxa"/>
          </w:tcPr>
          <w:p w14:paraId="4C5DAF9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ID</w:t>
            </w:r>
          </w:p>
        </w:tc>
        <w:tc>
          <w:tcPr>
            <w:tcW w:w="1080" w:type="dxa"/>
          </w:tcPr>
          <w:p w14:paraId="4125136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4I layer</w:t>
            </w:r>
          </w:p>
        </w:tc>
        <w:tc>
          <w:tcPr>
            <w:tcW w:w="1530" w:type="dxa"/>
          </w:tcPr>
          <w:p w14:paraId="4667674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Variable name</w:t>
            </w:r>
          </w:p>
        </w:tc>
        <w:tc>
          <w:tcPr>
            <w:tcW w:w="3870" w:type="dxa"/>
          </w:tcPr>
          <w:p w14:paraId="07F22C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Adoption role (driver/barrier/mixed; 70-study synthesis)</w:t>
            </w:r>
          </w:p>
        </w:tc>
        <w:tc>
          <w:tcPr>
            <w:tcW w:w="2160" w:type="dxa"/>
          </w:tcPr>
          <w:p w14:paraId="70AE2AD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Typical empirical evidence</w:t>
            </w:r>
          </w:p>
        </w:tc>
      </w:tr>
      <w:tr w:rsidR="009F2A5C" w:rsidRPr="002D28AB" w14:paraId="6A67E14F" w14:textId="77777777" w:rsidTr="004D13DE">
        <w:tc>
          <w:tcPr>
            <w:tcW w:w="625" w:type="dxa"/>
          </w:tcPr>
          <w:p w14:paraId="0A706F5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S1</w:t>
            </w:r>
          </w:p>
        </w:tc>
        <w:tc>
          <w:tcPr>
            <w:tcW w:w="1080" w:type="dxa"/>
          </w:tcPr>
          <w:p w14:paraId="166CDA9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530" w:type="dxa"/>
          </w:tcPr>
          <w:p w14:paraId="690B89B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interoperability</w:t>
            </w:r>
          </w:p>
        </w:tc>
        <w:tc>
          <w:tcPr>
            <w:tcW w:w="3870" w:type="dxa"/>
          </w:tcPr>
          <w:p w14:paraId="7AAFBC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Higher interoperability is usually described as a facilitator: smooth data exchange with pharmacy, laboratory, and imaging systems makes it easier to use AI-based recommendations and reduces duplicate work; fragmented interfaces are linked to workarounds and reluctance to rely on advanced functions.</w:t>
            </w:r>
          </w:p>
        </w:tc>
        <w:tc>
          <w:tcPr>
            <w:tcW w:w="2160" w:type="dxa"/>
          </w:tcPr>
          <w:p w14:paraId="42EBC81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Implementation case reports; workflow observations; system-integration studies.</w:t>
            </w:r>
          </w:p>
        </w:tc>
      </w:tr>
      <w:tr w:rsidR="009F2A5C" w:rsidRPr="002D28AB" w14:paraId="13F23A14" w14:textId="77777777" w:rsidTr="004D13DE">
        <w:tc>
          <w:tcPr>
            <w:tcW w:w="625" w:type="dxa"/>
          </w:tcPr>
          <w:p w14:paraId="2E3B946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S2</w:t>
            </w:r>
          </w:p>
        </w:tc>
        <w:tc>
          <w:tcPr>
            <w:tcW w:w="1080" w:type="dxa"/>
          </w:tcPr>
          <w:p w14:paraId="3EB9F5A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7F131D7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effectiveness</w:t>
            </w:r>
          </w:p>
        </w:tc>
        <w:tc>
          <w:tcPr>
            <w:tcW w:w="3870" w:type="dxa"/>
          </w:tcPr>
          <w:p w14:paraId="1B5EC88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When alerts are accurate and clinically meaningful, they are reported as a driver of safe EHR-AI use; when they contain many false or redundant warnings, they contribute to alert fatigue and become a barrier, with clinicians overriding or ignoring AI suggestions.</w:t>
            </w:r>
          </w:p>
        </w:tc>
        <w:tc>
          <w:tcPr>
            <w:tcW w:w="2160" w:type="dxa"/>
          </w:tcPr>
          <w:p w14:paraId="1E3FE2F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CDS log analyses (override rates); safety reports; clinician surveys.</w:t>
            </w:r>
          </w:p>
        </w:tc>
      </w:tr>
      <w:tr w:rsidR="009F2A5C" w:rsidRPr="002D28AB" w14:paraId="168F8EE2" w14:textId="77777777" w:rsidTr="004D13DE">
        <w:tc>
          <w:tcPr>
            <w:tcW w:w="625" w:type="dxa"/>
          </w:tcPr>
          <w:p w14:paraId="4EAAD4C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S3</w:t>
            </w:r>
          </w:p>
        </w:tc>
        <w:tc>
          <w:tcPr>
            <w:tcW w:w="1080" w:type="dxa"/>
          </w:tcPr>
          <w:p w14:paraId="0AB1A30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5BC7D0A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Data entry efficiency</w:t>
            </w:r>
          </w:p>
        </w:tc>
        <w:tc>
          <w:tcPr>
            <w:tcW w:w="3870" w:type="dxa"/>
          </w:tcPr>
          <w:p w14:paraId="1B9C8EB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Order </w:t>
            </w:r>
            <w:proofErr w:type="gramStart"/>
            <w:r w:rsidRPr="002D28AB">
              <w:rPr>
                <w:rFonts w:ascii="Times New Roman" w:hAnsi="Times New Roman" w:cs="Times New Roman"/>
                <w:sz w:val="22"/>
                <w:szCs w:val="22"/>
              </w:rPr>
              <w:t>entry</w:t>
            </w:r>
            <w:proofErr w:type="gramEnd"/>
            <w:r w:rsidRPr="002D28AB">
              <w:rPr>
                <w:rFonts w:ascii="Times New Roman" w:hAnsi="Times New Roman" w:cs="Times New Roman"/>
                <w:sz w:val="22"/>
                <w:szCs w:val="22"/>
              </w:rPr>
              <w:t xml:space="preserve"> that </w:t>
            </w:r>
            <w:proofErr w:type="gramStart"/>
            <w:r w:rsidRPr="002D28AB">
              <w:rPr>
                <w:rFonts w:ascii="Times New Roman" w:hAnsi="Times New Roman" w:cs="Times New Roman"/>
                <w:sz w:val="22"/>
                <w:szCs w:val="22"/>
              </w:rPr>
              <w:t>is</w:t>
            </w:r>
            <w:proofErr w:type="gramEnd"/>
            <w:r w:rsidRPr="002D28AB">
              <w:rPr>
                <w:rFonts w:ascii="Times New Roman" w:hAnsi="Times New Roman" w:cs="Times New Roman"/>
                <w:sz w:val="22"/>
                <w:szCs w:val="22"/>
              </w:rPr>
              <w:t xml:space="preserve"> as fast as or faster than paper processes support adoption of EHR-AI functions; perceived slow and cumbersome entry is repeatedly linked to resistance and avoidance of optional AI tools.</w:t>
            </w:r>
          </w:p>
        </w:tc>
        <w:tc>
          <w:tcPr>
            <w:tcW w:w="2160" w:type="dxa"/>
          </w:tcPr>
          <w:p w14:paraId="601B68C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Time-motion studies; usability surveys; qualitative interviews on workflow.</w:t>
            </w:r>
          </w:p>
        </w:tc>
      </w:tr>
      <w:tr w:rsidR="009F2A5C" w:rsidRPr="002D28AB" w14:paraId="7FCAF6B4" w14:textId="77777777" w:rsidTr="004D13DE">
        <w:tc>
          <w:tcPr>
            <w:tcW w:w="625" w:type="dxa"/>
          </w:tcPr>
          <w:p w14:paraId="1C693FD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S4</w:t>
            </w:r>
          </w:p>
        </w:tc>
        <w:tc>
          <w:tcPr>
            <w:tcW w:w="1080" w:type="dxa"/>
          </w:tcPr>
          <w:p w14:paraId="0CC3808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530" w:type="dxa"/>
          </w:tcPr>
          <w:p w14:paraId="4326E8A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response speed</w:t>
            </w:r>
          </w:p>
        </w:tc>
        <w:tc>
          <w:tcPr>
            <w:tcW w:w="3870" w:type="dxa"/>
          </w:tcPr>
          <w:p w14:paraId="46B8233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Fast and stable page loading and saving is treated as a basic enabler of AI features; delays or crashes make clinicians avoid AI-dependent screens, turning them into a practical barrier even when algorithms are available.</w:t>
            </w:r>
          </w:p>
        </w:tc>
        <w:tc>
          <w:tcPr>
            <w:tcW w:w="2160" w:type="dxa"/>
          </w:tcPr>
          <w:p w14:paraId="212ABE1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Performance logs; user-reported satisfaction with system speed.</w:t>
            </w:r>
          </w:p>
        </w:tc>
      </w:tr>
      <w:tr w:rsidR="009F2A5C" w:rsidRPr="002D28AB" w14:paraId="621909E7" w14:textId="77777777" w:rsidTr="004D13DE">
        <w:tc>
          <w:tcPr>
            <w:tcW w:w="625" w:type="dxa"/>
          </w:tcPr>
          <w:p w14:paraId="286757BF" w14:textId="77777777" w:rsidR="009F2A5C" w:rsidRPr="002D28AB" w:rsidRDefault="009F2A5C" w:rsidP="004D13DE">
            <w:pPr>
              <w:rPr>
                <w:rFonts w:ascii="Times New Roman" w:hAnsi="Times New Roman" w:cs="Times New Roman"/>
                <w:sz w:val="22"/>
                <w:szCs w:val="22"/>
              </w:rPr>
            </w:pPr>
            <w:bookmarkStart w:id="3" w:name="OLE_LINK193"/>
            <w:r w:rsidRPr="002D28AB">
              <w:rPr>
                <w:rFonts w:ascii="Times New Roman" w:hAnsi="Times New Roman" w:cs="Times New Roman"/>
                <w:sz w:val="22"/>
                <w:szCs w:val="22"/>
              </w:rPr>
              <w:t>S5</w:t>
            </w:r>
          </w:p>
        </w:tc>
        <w:tc>
          <w:tcPr>
            <w:tcW w:w="1080" w:type="dxa"/>
          </w:tcPr>
          <w:p w14:paraId="1F9DF3B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530" w:type="dxa"/>
          </w:tcPr>
          <w:p w14:paraId="099B3EE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Mobile friendliness</w:t>
            </w:r>
          </w:p>
        </w:tc>
        <w:tc>
          <w:tcPr>
            <w:tcW w:w="3870" w:type="dxa"/>
          </w:tcPr>
          <w:p w14:paraId="23C7BBD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Smooth use of the EHR on tablets or phones supports point-of-care documentation and review at the bedside; limited mobile access may constrain timely use away from desktop workstations.</w:t>
            </w:r>
          </w:p>
        </w:tc>
        <w:tc>
          <w:tcPr>
            <w:tcW w:w="2160" w:type="dxa"/>
          </w:tcPr>
          <w:p w14:paraId="407EF8B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Observational studies of ward/ED work; surveys on device use.</w:t>
            </w:r>
          </w:p>
        </w:tc>
      </w:tr>
      <w:bookmarkEnd w:id="3"/>
      <w:tr w:rsidR="009F2A5C" w:rsidRPr="002D28AB" w14:paraId="685C103C" w14:textId="77777777" w:rsidTr="004D13DE">
        <w:tc>
          <w:tcPr>
            <w:tcW w:w="625" w:type="dxa"/>
          </w:tcPr>
          <w:p w14:paraId="759DD94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S6</w:t>
            </w:r>
          </w:p>
        </w:tc>
        <w:tc>
          <w:tcPr>
            <w:tcW w:w="1080" w:type="dxa"/>
          </w:tcPr>
          <w:p w14:paraId="43A65EE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530" w:type="dxa"/>
          </w:tcPr>
          <w:p w14:paraId="6092939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Customizability</w:t>
            </w:r>
          </w:p>
        </w:tc>
        <w:tc>
          <w:tcPr>
            <w:tcW w:w="3870" w:type="dxa"/>
          </w:tcPr>
          <w:p w14:paraId="7235B88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Interfaces that allow clinicians to adjust templates and shortcuts help integrate AI outputs into personal workflows and are viewed as drivers; rigid, non-configurable layouts are associated with frustration and workarounds.</w:t>
            </w:r>
          </w:p>
        </w:tc>
        <w:tc>
          <w:tcPr>
            <w:tcW w:w="2160" w:type="dxa"/>
          </w:tcPr>
          <w:p w14:paraId="11F4689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Usability evaluations; implementation reports; user interviews.</w:t>
            </w:r>
          </w:p>
        </w:tc>
      </w:tr>
      <w:tr w:rsidR="009F2A5C" w:rsidRPr="002D28AB" w14:paraId="381333E6" w14:textId="77777777" w:rsidTr="004D13DE">
        <w:tc>
          <w:tcPr>
            <w:tcW w:w="625" w:type="dxa"/>
          </w:tcPr>
          <w:p w14:paraId="2EE7C94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H1</w:t>
            </w:r>
          </w:p>
        </w:tc>
        <w:tc>
          <w:tcPr>
            <w:tcW w:w="1080" w:type="dxa"/>
          </w:tcPr>
          <w:p w14:paraId="0D218FD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5B973BC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Cognitive load</w:t>
            </w:r>
          </w:p>
        </w:tc>
        <w:tc>
          <w:tcPr>
            <w:tcW w:w="3870" w:type="dxa"/>
          </w:tcPr>
          <w:p w14:paraId="53DC84D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High multitasking demands and the need to juggle multiple windows/pop-ups are consistently </w:t>
            </w:r>
            <w:r w:rsidRPr="002D28AB">
              <w:rPr>
                <w:rFonts w:ascii="Times New Roman" w:hAnsi="Times New Roman" w:cs="Times New Roman"/>
                <w:sz w:val="22"/>
                <w:szCs w:val="22"/>
              </w:rPr>
              <w:lastRenderedPageBreak/>
              <w:t>described as a barrier; designs that reduce unnecessary steps are linked to more sustained use of EHR-AI features.</w:t>
            </w:r>
          </w:p>
        </w:tc>
        <w:tc>
          <w:tcPr>
            <w:tcW w:w="2160" w:type="dxa"/>
          </w:tcPr>
          <w:p w14:paraId="4DE07C7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 xml:space="preserve">Workload scales; think-aloud usability tests; qualitative </w:t>
            </w:r>
            <w:r w:rsidRPr="002D28AB">
              <w:rPr>
                <w:rFonts w:ascii="Times New Roman" w:hAnsi="Times New Roman" w:cs="Times New Roman"/>
                <w:sz w:val="22"/>
                <w:szCs w:val="22"/>
              </w:rPr>
              <w:lastRenderedPageBreak/>
              <w:t>accounts of “too many clicks”.</w:t>
            </w:r>
          </w:p>
        </w:tc>
      </w:tr>
      <w:tr w:rsidR="009F2A5C" w:rsidRPr="002D28AB" w14:paraId="5FDED65C" w14:textId="77777777" w:rsidTr="004D13DE">
        <w:tc>
          <w:tcPr>
            <w:tcW w:w="625" w:type="dxa"/>
          </w:tcPr>
          <w:p w14:paraId="53BADC8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H2</w:t>
            </w:r>
          </w:p>
        </w:tc>
        <w:tc>
          <w:tcPr>
            <w:tcW w:w="1080" w:type="dxa"/>
          </w:tcPr>
          <w:p w14:paraId="42AA854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22C6C52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adequacy</w:t>
            </w:r>
          </w:p>
        </w:tc>
        <w:tc>
          <w:tcPr>
            <w:tcW w:w="3870" w:type="dxa"/>
          </w:tcPr>
          <w:p w14:paraId="3E8698B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Adequate, scenario-based training in EHR-AI functions is a clear facilitator; insufficient or one-off training was frequently discussed in relation to uncertainty, errors, and under-use of available AI tools.</w:t>
            </w:r>
          </w:p>
        </w:tc>
        <w:tc>
          <w:tcPr>
            <w:tcW w:w="2160" w:type="dxa"/>
          </w:tcPr>
          <w:p w14:paraId="4C9DE17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evaluations; survey items on training sufficiency; focus groups.</w:t>
            </w:r>
          </w:p>
        </w:tc>
      </w:tr>
      <w:tr w:rsidR="009F2A5C" w:rsidRPr="002D28AB" w14:paraId="304A7DD5" w14:textId="77777777" w:rsidTr="004D13DE">
        <w:tc>
          <w:tcPr>
            <w:tcW w:w="625" w:type="dxa"/>
          </w:tcPr>
          <w:p w14:paraId="02D2829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H3</w:t>
            </w:r>
          </w:p>
        </w:tc>
        <w:tc>
          <w:tcPr>
            <w:tcW w:w="1080" w:type="dxa"/>
          </w:tcPr>
          <w:p w14:paraId="60E93F7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6F3472D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fatigue</w:t>
            </w:r>
          </w:p>
        </w:tc>
        <w:tc>
          <w:tcPr>
            <w:tcW w:w="3870" w:type="dxa"/>
          </w:tcPr>
          <w:p w14:paraId="4A25FB2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High volumes of low-value alerts are a major barrier, leading to desensitization and frequent overrides; projects that rationalize alerts report better engagement with AI-based decision support.</w:t>
            </w:r>
          </w:p>
        </w:tc>
        <w:tc>
          <w:tcPr>
            <w:tcW w:w="2160" w:type="dxa"/>
          </w:tcPr>
          <w:p w14:paraId="2E2082E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statistics; override rates; qualitative reports of “too many pop-ups”.</w:t>
            </w:r>
          </w:p>
        </w:tc>
      </w:tr>
      <w:tr w:rsidR="009F2A5C" w:rsidRPr="002D28AB" w14:paraId="5629D93A" w14:textId="77777777" w:rsidTr="004D13DE">
        <w:tc>
          <w:tcPr>
            <w:tcW w:w="625" w:type="dxa"/>
          </w:tcPr>
          <w:p w14:paraId="34CA2AC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H4</w:t>
            </w:r>
          </w:p>
        </w:tc>
        <w:tc>
          <w:tcPr>
            <w:tcW w:w="1080" w:type="dxa"/>
          </w:tcPr>
          <w:p w14:paraId="4AD7B1F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4FD327D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Technological self-efficacy</w:t>
            </w:r>
          </w:p>
        </w:tc>
        <w:tc>
          <w:tcPr>
            <w:tcW w:w="3870" w:type="dxa"/>
          </w:tcPr>
          <w:p w14:paraId="72AD795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Clinicians who feel confident handling EHR/EHR-AI functions are more willing to explore and rely on them; low self-efficacy was often reported alongside dependence on colleagues and avoidance of advanced features.</w:t>
            </w:r>
          </w:p>
        </w:tc>
        <w:tc>
          <w:tcPr>
            <w:tcW w:w="2160" w:type="dxa"/>
          </w:tcPr>
          <w:p w14:paraId="0415DF7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Self-efficacy scales; training completion records; interview data.</w:t>
            </w:r>
          </w:p>
        </w:tc>
      </w:tr>
      <w:tr w:rsidR="009F2A5C" w:rsidRPr="002D28AB" w14:paraId="3D72CD01" w14:textId="77777777" w:rsidTr="004D13DE">
        <w:tc>
          <w:tcPr>
            <w:tcW w:w="625" w:type="dxa"/>
          </w:tcPr>
          <w:p w14:paraId="1E7F647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H5</w:t>
            </w:r>
          </w:p>
        </w:tc>
        <w:tc>
          <w:tcPr>
            <w:tcW w:w="1080" w:type="dxa"/>
          </w:tcPr>
          <w:p w14:paraId="183E976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34441B2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User satisfaction</w:t>
            </w:r>
          </w:p>
        </w:tc>
        <w:tc>
          <w:tcPr>
            <w:tcW w:w="3870" w:type="dxa"/>
          </w:tcPr>
          <w:p w14:paraId="33D23F8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Higher overall satisfaction with the EHR environment tends to co-occur with more positive views of AI extensions; persistent dissatisfaction is often accompanied by critical views of AI functionality.</w:t>
            </w:r>
          </w:p>
        </w:tc>
        <w:tc>
          <w:tcPr>
            <w:tcW w:w="2160" w:type="dxa"/>
          </w:tcPr>
          <w:p w14:paraId="23DBAC6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User-experience surveys; mixed-methods evaluations of EHR upgrades.</w:t>
            </w:r>
          </w:p>
        </w:tc>
      </w:tr>
      <w:tr w:rsidR="009F2A5C" w:rsidRPr="002D28AB" w14:paraId="101D5B96" w14:textId="77777777" w:rsidTr="004D13DE">
        <w:tc>
          <w:tcPr>
            <w:tcW w:w="625" w:type="dxa"/>
          </w:tcPr>
          <w:p w14:paraId="782F7F6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H6</w:t>
            </w:r>
          </w:p>
        </w:tc>
        <w:tc>
          <w:tcPr>
            <w:tcW w:w="1080" w:type="dxa"/>
          </w:tcPr>
          <w:p w14:paraId="513826D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72366FB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Collaboration and communication support</w:t>
            </w:r>
          </w:p>
        </w:tc>
        <w:tc>
          <w:tcPr>
            <w:tcW w:w="3870" w:type="dxa"/>
          </w:tcPr>
          <w:p w14:paraId="2D681A5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Documentation formats that make inter-professional communication easier help embed AI outputs in team discussions and handovers; poorly structured notes are associated with extra communication work and limited uptake of AI recommendations.</w:t>
            </w:r>
          </w:p>
        </w:tc>
        <w:tc>
          <w:tcPr>
            <w:tcW w:w="2160" w:type="dxa"/>
          </w:tcPr>
          <w:p w14:paraId="0DC66BAC" w14:textId="77777777" w:rsidR="009F2A5C" w:rsidRPr="002D28AB" w:rsidRDefault="009F2A5C" w:rsidP="004D13DE">
            <w:pPr>
              <w:rPr>
                <w:rFonts w:ascii="Times New Roman" w:hAnsi="Times New Roman" w:cs="Times New Roman"/>
                <w:sz w:val="22"/>
                <w:szCs w:val="22"/>
              </w:rPr>
            </w:pPr>
            <w:proofErr w:type="gramStart"/>
            <w:r w:rsidRPr="002D28AB">
              <w:rPr>
                <w:rFonts w:ascii="Times New Roman" w:hAnsi="Times New Roman" w:cs="Times New Roman"/>
                <w:sz w:val="22"/>
                <w:szCs w:val="22"/>
              </w:rPr>
              <w:t>Studies</w:t>
            </w:r>
            <w:proofErr w:type="gramEnd"/>
            <w:r w:rsidRPr="002D28AB">
              <w:rPr>
                <w:rFonts w:ascii="Times New Roman" w:hAnsi="Times New Roman" w:cs="Times New Roman"/>
                <w:sz w:val="22"/>
                <w:szCs w:val="22"/>
              </w:rPr>
              <w:t xml:space="preserve"> of handoff quality; team-based workflow analyses; interviews.</w:t>
            </w:r>
          </w:p>
        </w:tc>
      </w:tr>
      <w:tr w:rsidR="009F2A5C" w:rsidRPr="002D28AB" w14:paraId="2A9CDDAD" w14:textId="77777777" w:rsidTr="004D13DE">
        <w:tc>
          <w:tcPr>
            <w:tcW w:w="625" w:type="dxa"/>
          </w:tcPr>
          <w:p w14:paraId="514F428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O1</w:t>
            </w:r>
          </w:p>
        </w:tc>
        <w:tc>
          <w:tcPr>
            <w:tcW w:w="1080" w:type="dxa"/>
          </w:tcPr>
          <w:p w14:paraId="68B77E3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62711F8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Safety culture support</w:t>
            </w:r>
          </w:p>
        </w:tc>
        <w:tc>
          <w:tcPr>
            <w:tcW w:w="3870" w:type="dxa"/>
          </w:tcPr>
          <w:p w14:paraId="28D25B7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Non-punitive cultures that encourage reporting of EHR/AI-related issues are described as enablers of iterative improvement; fear of blame discourages open discussion and slows adoption.</w:t>
            </w:r>
          </w:p>
        </w:tc>
        <w:tc>
          <w:tcPr>
            <w:tcW w:w="2160" w:type="dxa"/>
          </w:tcPr>
          <w:p w14:paraId="290B1E7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Safety-culture surveys; qualitative studies of incident reporting.</w:t>
            </w:r>
          </w:p>
        </w:tc>
      </w:tr>
      <w:tr w:rsidR="009F2A5C" w:rsidRPr="002D28AB" w14:paraId="3A218CAC" w14:textId="77777777" w:rsidTr="004D13DE">
        <w:tc>
          <w:tcPr>
            <w:tcW w:w="625" w:type="dxa"/>
          </w:tcPr>
          <w:p w14:paraId="5EF107E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O2</w:t>
            </w:r>
          </w:p>
        </w:tc>
        <w:tc>
          <w:tcPr>
            <w:tcW w:w="1080" w:type="dxa"/>
          </w:tcPr>
          <w:p w14:paraId="5FC8B20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3163C96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Cross-department collaboration mechanisms</w:t>
            </w:r>
          </w:p>
        </w:tc>
        <w:tc>
          <w:tcPr>
            <w:tcW w:w="3870" w:type="dxa"/>
          </w:tcPr>
          <w:p w14:paraId="5C3374F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Regular joint work between IT and clinical departments (committees, co-design groups) supports configuration and troubleshooting of EHR-AI tools; lack of such mechanisms leaves problems unresolved and reduces trust.</w:t>
            </w:r>
          </w:p>
        </w:tc>
        <w:tc>
          <w:tcPr>
            <w:tcW w:w="2160" w:type="dxa"/>
          </w:tcPr>
          <w:p w14:paraId="3D1A6F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Governance documents; case studies of implementation committees.</w:t>
            </w:r>
          </w:p>
        </w:tc>
      </w:tr>
      <w:tr w:rsidR="009F2A5C" w:rsidRPr="002D28AB" w14:paraId="59DE1ECB" w14:textId="77777777" w:rsidTr="004D13DE">
        <w:tc>
          <w:tcPr>
            <w:tcW w:w="625" w:type="dxa"/>
          </w:tcPr>
          <w:p w14:paraId="341E805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O3</w:t>
            </w:r>
          </w:p>
        </w:tc>
        <w:tc>
          <w:tcPr>
            <w:tcW w:w="1080" w:type="dxa"/>
          </w:tcPr>
          <w:p w14:paraId="112F86D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6754C72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Management support level</w:t>
            </w:r>
          </w:p>
        </w:tc>
        <w:tc>
          <w:tcPr>
            <w:tcW w:w="3870" w:type="dxa"/>
          </w:tcPr>
          <w:p w14:paraId="3A686C2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Visible leadership backing and resource allocation are repeatedly described as drivers of EHR-AI projects; competing organizational </w:t>
            </w:r>
            <w:r w:rsidRPr="002D28AB">
              <w:rPr>
                <w:rFonts w:ascii="Times New Roman" w:hAnsi="Times New Roman" w:cs="Times New Roman"/>
                <w:sz w:val="22"/>
                <w:szCs w:val="22"/>
              </w:rPr>
              <w:lastRenderedPageBreak/>
              <w:t>priorities and limited management attention weaken momentum and follow-through.</w:t>
            </w:r>
          </w:p>
        </w:tc>
        <w:tc>
          <w:tcPr>
            <w:tcW w:w="2160" w:type="dxa"/>
          </w:tcPr>
          <w:p w14:paraId="530AA16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Organizational case studies; interviews with managers and clinicians.</w:t>
            </w:r>
          </w:p>
        </w:tc>
      </w:tr>
      <w:tr w:rsidR="009F2A5C" w:rsidRPr="002D28AB" w14:paraId="7DCA6B7A" w14:textId="77777777" w:rsidTr="004D13DE">
        <w:tc>
          <w:tcPr>
            <w:tcW w:w="625" w:type="dxa"/>
          </w:tcPr>
          <w:p w14:paraId="395024B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O4</w:t>
            </w:r>
          </w:p>
        </w:tc>
        <w:tc>
          <w:tcPr>
            <w:tcW w:w="1080" w:type="dxa"/>
          </w:tcPr>
          <w:p w14:paraId="529C771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579075B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Technical support quality</w:t>
            </w:r>
          </w:p>
        </w:tc>
        <w:tc>
          <w:tcPr>
            <w:tcW w:w="3870" w:type="dxa"/>
          </w:tcPr>
          <w:p w14:paraId="5C0072E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Responsive, knowledgeable IT support is treated as a basic condition for clinicians to rely on AI-dependent workflows; slow or inaccessible support is a barrier that encourages users to bypass or disable AI features.</w:t>
            </w:r>
          </w:p>
        </w:tc>
        <w:tc>
          <w:tcPr>
            <w:tcW w:w="2160" w:type="dxa"/>
          </w:tcPr>
          <w:p w14:paraId="1843D83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Help-desk records; user surveys on support quality; qualitative reports.</w:t>
            </w:r>
          </w:p>
        </w:tc>
      </w:tr>
      <w:tr w:rsidR="009F2A5C" w:rsidRPr="002D28AB" w14:paraId="71E08035" w14:textId="77777777" w:rsidTr="004D13DE">
        <w:tc>
          <w:tcPr>
            <w:tcW w:w="625" w:type="dxa"/>
          </w:tcPr>
          <w:p w14:paraId="598A1BA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O5</w:t>
            </w:r>
          </w:p>
        </w:tc>
        <w:tc>
          <w:tcPr>
            <w:tcW w:w="1080" w:type="dxa"/>
          </w:tcPr>
          <w:p w14:paraId="2254E5D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2E03083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Workflow standardization</w:t>
            </w:r>
          </w:p>
        </w:tc>
        <w:tc>
          <w:tcPr>
            <w:tcW w:w="3870" w:type="dxa"/>
          </w:tcPr>
          <w:p w14:paraId="455F9B1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Standard, auditable workflows (e.g., agreed order sets, review steps) make it easier to embed AI outputs consistently; highly variable local practices are associated with uneven use and difficulties in evaluating AI impact.</w:t>
            </w:r>
          </w:p>
        </w:tc>
        <w:tc>
          <w:tcPr>
            <w:tcW w:w="2160" w:type="dxa"/>
          </w:tcPr>
          <w:p w14:paraId="7FCCE0F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Process-mapping studies; audit reports; multi-site comparisons.</w:t>
            </w:r>
          </w:p>
        </w:tc>
      </w:tr>
      <w:tr w:rsidR="009F2A5C" w:rsidRPr="002D28AB" w14:paraId="1392BEBF" w14:textId="77777777" w:rsidTr="004D13DE">
        <w:tc>
          <w:tcPr>
            <w:tcW w:w="625" w:type="dxa"/>
          </w:tcPr>
          <w:p w14:paraId="4CA36EE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w:t>
            </w:r>
          </w:p>
        </w:tc>
        <w:tc>
          <w:tcPr>
            <w:tcW w:w="1080" w:type="dxa"/>
          </w:tcPr>
          <w:p w14:paraId="34E2ABA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Interface</w:t>
            </w:r>
          </w:p>
        </w:tc>
        <w:tc>
          <w:tcPr>
            <w:tcW w:w="1530" w:type="dxa"/>
          </w:tcPr>
          <w:p w14:paraId="76DFD25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interface friendliness</w:t>
            </w:r>
          </w:p>
        </w:tc>
        <w:tc>
          <w:tcPr>
            <w:tcW w:w="3870" w:type="dxa"/>
          </w:tcPr>
          <w:p w14:paraId="03949DE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Clear and intuitive screen layout supports rapid orientation and makes AI suggestions visible “in the right place”; cluttered or confusing screens increase search time and reduce attention to AI panels.</w:t>
            </w:r>
          </w:p>
        </w:tc>
        <w:tc>
          <w:tcPr>
            <w:tcW w:w="2160" w:type="dxa"/>
          </w:tcPr>
          <w:p w14:paraId="7779B7F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Usability inspections; eye-tracking/observation; user-experience surveys.</w:t>
            </w:r>
          </w:p>
        </w:tc>
      </w:tr>
      <w:tr w:rsidR="009F2A5C" w:rsidRPr="002D28AB" w14:paraId="3303779F" w14:textId="77777777" w:rsidTr="004D13DE">
        <w:tc>
          <w:tcPr>
            <w:tcW w:w="625" w:type="dxa"/>
          </w:tcPr>
          <w:p w14:paraId="7FAC545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C2</w:t>
            </w:r>
          </w:p>
        </w:tc>
        <w:tc>
          <w:tcPr>
            <w:tcW w:w="1080" w:type="dxa"/>
          </w:tcPr>
          <w:p w14:paraId="112D6FB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530" w:type="dxa"/>
          </w:tcPr>
          <w:p w14:paraId="1723AA1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operational complexity</w:t>
            </w:r>
          </w:p>
        </w:tc>
        <w:tc>
          <w:tcPr>
            <w:tcW w:w="3870" w:type="dxa"/>
          </w:tcPr>
          <w:p w14:paraId="4E41937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Complex configuration requirements and opaque workflows for AI functions are frequently reported as barriers; simplified ordering and acknowledgement flows are linked to higher use.</w:t>
            </w:r>
          </w:p>
        </w:tc>
        <w:tc>
          <w:tcPr>
            <w:tcW w:w="2160" w:type="dxa"/>
          </w:tcPr>
          <w:p w14:paraId="44C41FC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Implementation reports; workflow analyses; clinician interviews.</w:t>
            </w:r>
          </w:p>
        </w:tc>
      </w:tr>
      <w:tr w:rsidR="009F2A5C" w:rsidRPr="002D28AB" w14:paraId="53E1CC35" w14:textId="77777777" w:rsidTr="004D13DE">
        <w:tc>
          <w:tcPr>
            <w:tcW w:w="625" w:type="dxa"/>
          </w:tcPr>
          <w:p w14:paraId="2710EB4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C3</w:t>
            </w:r>
          </w:p>
        </w:tc>
        <w:tc>
          <w:tcPr>
            <w:tcW w:w="1080" w:type="dxa"/>
          </w:tcPr>
          <w:p w14:paraId="4F1FA8F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0CA1C3D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training coverage</w:t>
            </w:r>
          </w:p>
        </w:tc>
        <w:tc>
          <w:tcPr>
            <w:tcW w:w="3870" w:type="dxa"/>
          </w:tcPr>
          <w:p w14:paraId="34E35DE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that covers common clinical scenarios and AI-specific pitfalls is described as a driver; narrow or purely technical training leaves users unsure how to integrate AI outputs into decisions.</w:t>
            </w:r>
          </w:p>
        </w:tc>
        <w:tc>
          <w:tcPr>
            <w:tcW w:w="2160" w:type="dxa"/>
          </w:tcPr>
          <w:p w14:paraId="119673B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curricula; post-training surveys; focus groups.</w:t>
            </w:r>
          </w:p>
        </w:tc>
      </w:tr>
      <w:tr w:rsidR="009F2A5C" w:rsidRPr="002D28AB" w14:paraId="7DE2AF07" w14:textId="77777777" w:rsidTr="004D13DE">
        <w:tc>
          <w:tcPr>
            <w:tcW w:w="625" w:type="dxa"/>
          </w:tcPr>
          <w:p w14:paraId="1863E4D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C4</w:t>
            </w:r>
          </w:p>
        </w:tc>
        <w:tc>
          <w:tcPr>
            <w:tcW w:w="1080" w:type="dxa"/>
          </w:tcPr>
          <w:p w14:paraId="4B4F194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530" w:type="dxa"/>
          </w:tcPr>
          <w:p w14:paraId="34894E0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Perceived ease of use</w:t>
            </w:r>
          </w:p>
        </w:tc>
        <w:tc>
          <w:tcPr>
            <w:tcW w:w="3870" w:type="dxa"/>
          </w:tcPr>
          <w:p w14:paraId="128218F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Perceived ease of using EHR/EHR-AI functions </w:t>
            </w:r>
            <w:proofErr w:type="gramStart"/>
            <w:r w:rsidRPr="002D28AB">
              <w:rPr>
                <w:rFonts w:ascii="Times New Roman" w:hAnsi="Times New Roman" w:cs="Times New Roman"/>
                <w:sz w:val="22"/>
                <w:szCs w:val="22"/>
              </w:rPr>
              <w:t>aligns</w:t>
            </w:r>
            <w:proofErr w:type="gramEnd"/>
            <w:r w:rsidRPr="002D28AB">
              <w:rPr>
                <w:rFonts w:ascii="Times New Roman" w:hAnsi="Times New Roman" w:cs="Times New Roman"/>
                <w:sz w:val="22"/>
                <w:szCs w:val="22"/>
              </w:rPr>
              <w:t xml:space="preserve"> closely with intention to use; interfaces that are hard to learn or remember are associated with low adoption even when functions are available.</w:t>
            </w:r>
          </w:p>
        </w:tc>
        <w:tc>
          <w:tcPr>
            <w:tcW w:w="2160" w:type="dxa"/>
          </w:tcPr>
          <w:p w14:paraId="2405643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TAM-style survey items; mixed-methods usability studies.</w:t>
            </w:r>
          </w:p>
        </w:tc>
      </w:tr>
      <w:tr w:rsidR="009F2A5C" w:rsidRPr="002D28AB" w14:paraId="184C619E" w14:textId="77777777" w:rsidTr="004D13DE">
        <w:tc>
          <w:tcPr>
            <w:tcW w:w="625" w:type="dxa"/>
          </w:tcPr>
          <w:p w14:paraId="7C6194F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C5</w:t>
            </w:r>
          </w:p>
        </w:tc>
        <w:tc>
          <w:tcPr>
            <w:tcW w:w="1080" w:type="dxa"/>
          </w:tcPr>
          <w:p w14:paraId="469C46C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74534C8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Technology acceptance</w:t>
            </w:r>
          </w:p>
        </w:tc>
        <w:tc>
          <w:tcPr>
            <w:tcW w:w="3870" w:type="dxa"/>
          </w:tcPr>
          <w:p w14:paraId="3AABBEE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Intention to continue using EHR-AI, when given a choice, summarizes users’ overall judgement of benefit versus burden and is strongly related to sustained adoption.</w:t>
            </w:r>
          </w:p>
        </w:tc>
        <w:tc>
          <w:tcPr>
            <w:tcW w:w="2160" w:type="dxa"/>
          </w:tcPr>
          <w:p w14:paraId="69C727B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Acceptance/behavioral-intention scales; follow-up surveys.</w:t>
            </w:r>
          </w:p>
        </w:tc>
      </w:tr>
      <w:tr w:rsidR="009F2A5C" w:rsidRPr="002D28AB" w14:paraId="6FD0E898" w14:textId="77777777" w:rsidTr="004D13DE">
        <w:tc>
          <w:tcPr>
            <w:tcW w:w="625" w:type="dxa"/>
          </w:tcPr>
          <w:p w14:paraId="4549A9B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C6</w:t>
            </w:r>
          </w:p>
        </w:tc>
        <w:tc>
          <w:tcPr>
            <w:tcW w:w="1080" w:type="dxa"/>
          </w:tcPr>
          <w:p w14:paraId="3600979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530" w:type="dxa"/>
          </w:tcPr>
          <w:p w14:paraId="4FC53C7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Trust in system outputs</w:t>
            </w:r>
          </w:p>
        </w:tc>
        <w:tc>
          <w:tcPr>
            <w:tcW w:w="3870" w:type="dxa"/>
          </w:tcPr>
          <w:p w14:paraId="5CADD1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Confidence in the accuracy and reliability of EHR/EHR-AI data and recommendations is a central driver; low trust leads clinicians to ignore or double-check outputs, limiting real impact.</w:t>
            </w:r>
          </w:p>
        </w:tc>
        <w:tc>
          <w:tcPr>
            <w:tcW w:w="2160" w:type="dxa"/>
          </w:tcPr>
          <w:p w14:paraId="13383EE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Trust scales; qualitative accounts of overriding AI advice; safety studies.</w:t>
            </w:r>
          </w:p>
        </w:tc>
      </w:tr>
      <w:tr w:rsidR="009F2A5C" w:rsidRPr="002D28AB" w14:paraId="3D18CC39" w14:textId="77777777" w:rsidTr="004D13DE">
        <w:tc>
          <w:tcPr>
            <w:tcW w:w="625" w:type="dxa"/>
          </w:tcPr>
          <w:p w14:paraId="3C780B8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C7</w:t>
            </w:r>
          </w:p>
        </w:tc>
        <w:tc>
          <w:tcPr>
            <w:tcW w:w="1080" w:type="dxa"/>
          </w:tcPr>
          <w:p w14:paraId="645EFAB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530" w:type="dxa"/>
          </w:tcPr>
          <w:p w14:paraId="2AC4C23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Satisfaction with </w:t>
            </w:r>
            <w:r w:rsidRPr="002D28AB">
              <w:rPr>
                <w:rFonts w:ascii="Times New Roman" w:hAnsi="Times New Roman" w:cs="Times New Roman"/>
                <w:sz w:val="22"/>
                <w:szCs w:val="22"/>
              </w:rPr>
              <w:lastRenderedPageBreak/>
              <w:t>information quality</w:t>
            </w:r>
          </w:p>
        </w:tc>
        <w:tc>
          <w:tcPr>
            <w:tcW w:w="3870" w:type="dxa"/>
          </w:tcPr>
          <w:p w14:paraId="595C080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 xml:space="preserve">Perceptions that EHR/EHR-AI </w:t>
            </w:r>
            <w:proofErr w:type="gramStart"/>
            <w:r w:rsidRPr="002D28AB">
              <w:rPr>
                <w:rFonts w:ascii="Times New Roman" w:hAnsi="Times New Roman" w:cs="Times New Roman"/>
                <w:sz w:val="22"/>
                <w:szCs w:val="22"/>
              </w:rPr>
              <w:t>improves</w:t>
            </w:r>
            <w:proofErr w:type="gramEnd"/>
            <w:r w:rsidRPr="002D28AB">
              <w:rPr>
                <w:rFonts w:ascii="Times New Roman" w:hAnsi="Times New Roman" w:cs="Times New Roman"/>
                <w:sz w:val="22"/>
                <w:szCs w:val="22"/>
              </w:rPr>
              <w:t xml:space="preserve"> information quality and </w:t>
            </w:r>
            <w:r w:rsidRPr="002D28AB">
              <w:rPr>
                <w:rFonts w:ascii="Times New Roman" w:hAnsi="Times New Roman" w:cs="Times New Roman"/>
                <w:sz w:val="22"/>
                <w:szCs w:val="22"/>
              </w:rPr>
              <w:lastRenderedPageBreak/>
              <w:t>care coordination support continued use; experiences of inconsistent or confusing outputs are associated with skepticism.</w:t>
            </w:r>
          </w:p>
        </w:tc>
        <w:tc>
          <w:tcPr>
            <w:tcW w:w="2160" w:type="dxa"/>
          </w:tcPr>
          <w:p w14:paraId="3AADEAE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 xml:space="preserve">Surveys of perceived care quality; interviews </w:t>
            </w:r>
            <w:r w:rsidRPr="002D28AB">
              <w:rPr>
                <w:rFonts w:ascii="Times New Roman" w:hAnsi="Times New Roman" w:cs="Times New Roman"/>
                <w:sz w:val="22"/>
                <w:szCs w:val="22"/>
              </w:rPr>
              <w:lastRenderedPageBreak/>
              <w:t>about information flow.</w:t>
            </w:r>
          </w:p>
        </w:tc>
      </w:tr>
      <w:tr w:rsidR="009F2A5C" w:rsidRPr="002D28AB" w14:paraId="339976AC" w14:textId="77777777" w:rsidTr="004D13DE">
        <w:tc>
          <w:tcPr>
            <w:tcW w:w="625" w:type="dxa"/>
          </w:tcPr>
          <w:p w14:paraId="7B5F84A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C8</w:t>
            </w:r>
          </w:p>
        </w:tc>
        <w:tc>
          <w:tcPr>
            <w:tcW w:w="1080" w:type="dxa"/>
          </w:tcPr>
          <w:p w14:paraId="1A71656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0B4C96D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Error frequency</w:t>
            </w:r>
          </w:p>
        </w:tc>
        <w:tc>
          <w:tcPr>
            <w:tcW w:w="3870" w:type="dxa"/>
          </w:tcPr>
          <w:p w14:paraId="1444395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Reported decreases in documented errors linked to EHR/EHR-AI implementation are commonly cited to support adoption, whereas newly reported error types (e.g., copy-and-paste, automation surprises) are noted as barrier.</w:t>
            </w:r>
          </w:p>
        </w:tc>
        <w:tc>
          <w:tcPr>
            <w:tcW w:w="2160" w:type="dxa"/>
          </w:tcPr>
          <w:p w14:paraId="1859442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Comparative implementation evaluations (e.g., across rollout phases), incident reports, and chart audits.</w:t>
            </w:r>
          </w:p>
        </w:tc>
      </w:tr>
      <w:tr w:rsidR="009F2A5C" w:rsidRPr="002D28AB" w14:paraId="339DD041" w14:textId="77777777" w:rsidTr="004D13DE">
        <w:tc>
          <w:tcPr>
            <w:tcW w:w="625" w:type="dxa"/>
          </w:tcPr>
          <w:p w14:paraId="216A75C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C9</w:t>
            </w:r>
          </w:p>
        </w:tc>
        <w:tc>
          <w:tcPr>
            <w:tcW w:w="1080" w:type="dxa"/>
          </w:tcPr>
          <w:p w14:paraId="0C35569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7546DB8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Occupational burnout</w:t>
            </w:r>
          </w:p>
        </w:tc>
        <w:tc>
          <w:tcPr>
            <w:tcW w:w="3870" w:type="dxa"/>
          </w:tcPr>
          <w:p w14:paraId="3A5FD41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High burnout levels are linked to poor usability, alert overload, and documentation burden, and are therefore treated as a negative outcome of poorly implemented EHR-AI; interventions that improve interface and workflow sometimes report burnout relief.</w:t>
            </w:r>
          </w:p>
        </w:tc>
        <w:tc>
          <w:tcPr>
            <w:tcW w:w="2160" w:type="dxa"/>
          </w:tcPr>
          <w:p w14:paraId="0958ED8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Burnout scales (e.g., MBI); longitudinal staff surveys; qualitative studies.</w:t>
            </w:r>
          </w:p>
        </w:tc>
      </w:tr>
      <w:tr w:rsidR="009F2A5C" w:rsidRPr="002D28AB" w14:paraId="39FA0A45" w14:textId="77777777" w:rsidTr="004D13DE">
        <w:tc>
          <w:tcPr>
            <w:tcW w:w="625" w:type="dxa"/>
          </w:tcPr>
          <w:p w14:paraId="484B108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C10</w:t>
            </w:r>
          </w:p>
        </w:tc>
        <w:tc>
          <w:tcPr>
            <w:tcW w:w="1080" w:type="dxa"/>
          </w:tcPr>
          <w:p w14:paraId="02C5C66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Outcome</w:t>
            </w:r>
          </w:p>
        </w:tc>
        <w:tc>
          <w:tcPr>
            <w:tcW w:w="1530" w:type="dxa"/>
          </w:tcPr>
          <w:p w14:paraId="7858986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augmentation of decision-making</w:t>
            </w:r>
          </w:p>
        </w:tc>
        <w:tc>
          <w:tcPr>
            <w:tcW w:w="3870" w:type="dxa"/>
          </w:tcPr>
          <w:p w14:paraId="79DBC2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When AI is experienced as a genuine “second pair of eyes” that improves efficiency and confidence, it is a strong facilitator; when outputs are seen as noisy or misaligned with clinical reasoning, clinicians tend to disregard them.</w:t>
            </w:r>
          </w:p>
        </w:tc>
        <w:tc>
          <w:tcPr>
            <w:tcW w:w="2160" w:type="dxa"/>
          </w:tcPr>
          <w:p w14:paraId="7ECDD89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Decision-support evaluations; vignette studies; interviews on perceived value.</w:t>
            </w:r>
          </w:p>
        </w:tc>
      </w:tr>
      <w:tr w:rsidR="009F2A5C" w:rsidRPr="002D28AB" w14:paraId="7A3BA972" w14:textId="77777777" w:rsidTr="004D13DE">
        <w:tc>
          <w:tcPr>
            <w:tcW w:w="625" w:type="dxa"/>
          </w:tcPr>
          <w:p w14:paraId="4868B99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C11</w:t>
            </w:r>
          </w:p>
        </w:tc>
        <w:tc>
          <w:tcPr>
            <w:tcW w:w="1080" w:type="dxa"/>
          </w:tcPr>
          <w:p w14:paraId="74A44BA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Interaction</w:t>
            </w:r>
          </w:p>
        </w:tc>
        <w:tc>
          <w:tcPr>
            <w:tcW w:w="1530" w:type="dxa"/>
          </w:tcPr>
          <w:p w14:paraId="5DF79DF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automation</w:t>
            </w:r>
          </w:p>
        </w:tc>
        <w:tc>
          <w:tcPr>
            <w:tcW w:w="3870" w:type="dxa"/>
          </w:tcPr>
          <w:p w14:paraId="7F74B5A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Automation that reliably reduces manual data entry or repetitive checks is valued and supports adoption; brittle or poorly aligned automation can increase verification work and is treated as a barrier.</w:t>
            </w:r>
          </w:p>
        </w:tc>
        <w:tc>
          <w:tcPr>
            <w:tcW w:w="2160" w:type="dxa"/>
          </w:tcPr>
          <w:p w14:paraId="3B6A5B4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Workflow/time-motion studies; user interviews about automation.</w:t>
            </w:r>
          </w:p>
        </w:tc>
      </w:tr>
      <w:tr w:rsidR="009F2A5C" w:rsidRPr="002D28AB" w14:paraId="45AB1E5C" w14:textId="77777777" w:rsidTr="004D13DE">
        <w:tc>
          <w:tcPr>
            <w:tcW w:w="625" w:type="dxa"/>
          </w:tcPr>
          <w:p w14:paraId="5DE07CA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C12</w:t>
            </w:r>
          </w:p>
        </w:tc>
        <w:tc>
          <w:tcPr>
            <w:tcW w:w="1080" w:type="dxa"/>
          </w:tcPr>
          <w:p w14:paraId="081A6DB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Information</w:t>
            </w:r>
          </w:p>
        </w:tc>
        <w:tc>
          <w:tcPr>
            <w:tcW w:w="1530" w:type="dxa"/>
          </w:tcPr>
          <w:p w14:paraId="78F063B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Model type and fit</w:t>
            </w:r>
          </w:p>
        </w:tc>
        <w:tc>
          <w:tcPr>
            <w:tcW w:w="3870" w:type="dxa"/>
          </w:tcPr>
          <w:p w14:paraId="392E59F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Perceived suitability of the AI model type for the clinical problem (e.g., simple risk scores vs opaque black-box tools) shapes willingness to rely on outputs; poor perceived fit or lack of transparency limits reliance even when accuracy is high.</w:t>
            </w:r>
          </w:p>
        </w:tc>
        <w:tc>
          <w:tcPr>
            <w:tcW w:w="2160" w:type="dxa"/>
          </w:tcPr>
          <w:p w14:paraId="423D532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Method papers; qualitative studies on explainability and trust; governance reports.</w:t>
            </w:r>
          </w:p>
        </w:tc>
      </w:tr>
    </w:tbl>
    <w:p w14:paraId="50B8958C" w14:textId="77777777" w:rsidR="009F2A5C" w:rsidRPr="002D28AB" w:rsidRDefault="009F2A5C" w:rsidP="009F2A5C">
      <w:pPr>
        <w:rPr>
          <w:rFonts w:ascii="Times New Roman" w:hAnsi="Times New Roman" w:cs="Times New Roman"/>
          <w:i/>
          <w:iCs/>
          <w:sz w:val="22"/>
          <w:szCs w:val="22"/>
        </w:rPr>
      </w:pPr>
      <w:r w:rsidRPr="002D28AB">
        <w:rPr>
          <w:rFonts w:ascii="Times New Roman" w:hAnsi="Times New Roman" w:cs="Times New Roman"/>
          <w:sz w:val="22"/>
          <w:szCs w:val="22"/>
        </w:rPr>
        <w:t>Note. The driver/barrier/mixed classifications summarize how the included studies portray each variable’s role in adoption, following the labelling procedures described in Section 2.3 and the extraction matrix (Table 2). Study-level traceability for the studies mapped to variables is provided in Table A5; the full list of included studies (IS1–IS70) is provided in Table A6.</w:t>
      </w:r>
    </w:p>
    <w:p w14:paraId="544E0BCD" w14:textId="77777777" w:rsidR="009F2A5C" w:rsidRPr="002D28AB" w:rsidRDefault="009F2A5C" w:rsidP="009F2A5C">
      <w:pPr>
        <w:spacing w:line="480" w:lineRule="auto"/>
        <w:rPr>
          <w:rFonts w:ascii="Times New Roman" w:hAnsi="Times New Roman" w:cs="Times New Roman"/>
          <w:sz w:val="22"/>
          <w:szCs w:val="22"/>
        </w:rPr>
      </w:pPr>
    </w:p>
    <w:p w14:paraId="51279F8C" w14:textId="77777777" w:rsidR="009F2A5C" w:rsidRPr="002D28AB" w:rsidRDefault="009F2A5C" w:rsidP="009F2A5C">
      <w:pPr>
        <w:rPr>
          <w:rFonts w:ascii="Times New Roman" w:hAnsi="Times New Roman" w:cs="Times New Roman"/>
          <w:b/>
          <w:sz w:val="22"/>
          <w:szCs w:val="22"/>
        </w:rPr>
      </w:pPr>
      <w:r w:rsidRPr="002D28AB">
        <w:rPr>
          <w:rFonts w:ascii="Times New Roman" w:hAnsi="Times New Roman" w:cs="Times New Roman"/>
          <w:b/>
          <w:sz w:val="22"/>
          <w:szCs w:val="22"/>
        </w:rPr>
        <w:br w:type="page"/>
      </w:r>
    </w:p>
    <w:p w14:paraId="7820A329" w14:textId="77777777" w:rsidR="009F2A5C" w:rsidRPr="002D28AB" w:rsidRDefault="009F2A5C" w:rsidP="009F2A5C">
      <w:pPr>
        <w:rPr>
          <w:rFonts w:ascii="Times New Roman" w:hAnsi="Times New Roman" w:cs="Times New Roman"/>
          <w:sz w:val="22"/>
          <w:szCs w:val="22"/>
        </w:rPr>
      </w:pPr>
      <w:r w:rsidRPr="002D28AB">
        <w:rPr>
          <w:rFonts w:ascii="Times New Roman" w:hAnsi="Times New Roman" w:cs="Times New Roman"/>
          <w:b/>
          <w:bCs/>
          <w:sz w:val="22"/>
          <w:szCs w:val="22"/>
        </w:rPr>
        <w:lastRenderedPageBreak/>
        <w:t>Table A5.</w:t>
      </w:r>
      <w:r w:rsidRPr="002D28AB">
        <w:rPr>
          <w:rFonts w:ascii="Times New Roman" w:hAnsi="Times New Roman" w:cs="Times New Roman"/>
          <w:sz w:val="22"/>
          <w:szCs w:val="22"/>
        </w:rPr>
        <w:t xml:space="preserve"> Study-level traceability matrix linking included-study IDs to the 29 variables across the 4I layers.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1688"/>
        <w:gridCol w:w="1420"/>
        <w:gridCol w:w="1563"/>
        <w:gridCol w:w="1516"/>
        <w:gridCol w:w="1420"/>
      </w:tblGrid>
      <w:tr w:rsidR="009F2A5C" w:rsidRPr="002D28AB" w14:paraId="6CB1783A" w14:textId="77777777" w:rsidTr="004D13DE">
        <w:tc>
          <w:tcPr>
            <w:tcW w:w="1403" w:type="dxa"/>
          </w:tcPr>
          <w:p w14:paraId="17204BE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Variable ID</w:t>
            </w:r>
          </w:p>
        </w:tc>
        <w:tc>
          <w:tcPr>
            <w:tcW w:w="1688" w:type="dxa"/>
          </w:tcPr>
          <w:p w14:paraId="4D0D18C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Variable name</w:t>
            </w:r>
          </w:p>
        </w:tc>
        <w:tc>
          <w:tcPr>
            <w:tcW w:w="1420" w:type="dxa"/>
          </w:tcPr>
          <w:p w14:paraId="0A7BD8F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Interface</w:t>
            </w:r>
          </w:p>
        </w:tc>
        <w:tc>
          <w:tcPr>
            <w:tcW w:w="1563" w:type="dxa"/>
          </w:tcPr>
          <w:p w14:paraId="4C404E2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Information</w:t>
            </w:r>
          </w:p>
        </w:tc>
        <w:tc>
          <w:tcPr>
            <w:tcW w:w="1516" w:type="dxa"/>
          </w:tcPr>
          <w:p w14:paraId="5A04269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Interaction</w:t>
            </w:r>
          </w:p>
        </w:tc>
        <w:tc>
          <w:tcPr>
            <w:tcW w:w="1420" w:type="dxa"/>
          </w:tcPr>
          <w:p w14:paraId="6C49F7B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Outcome</w:t>
            </w:r>
          </w:p>
        </w:tc>
      </w:tr>
      <w:tr w:rsidR="009F2A5C" w:rsidRPr="002D28AB" w14:paraId="22C80278" w14:textId="77777777" w:rsidTr="004D13DE">
        <w:tc>
          <w:tcPr>
            <w:tcW w:w="1403" w:type="dxa"/>
          </w:tcPr>
          <w:p w14:paraId="6F5E4B5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S1</w:t>
            </w:r>
          </w:p>
        </w:tc>
        <w:tc>
          <w:tcPr>
            <w:tcW w:w="1688" w:type="dxa"/>
          </w:tcPr>
          <w:p w14:paraId="0F7E508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interoperability</w:t>
            </w:r>
          </w:p>
        </w:tc>
        <w:tc>
          <w:tcPr>
            <w:tcW w:w="1420" w:type="dxa"/>
          </w:tcPr>
          <w:p w14:paraId="7BE537B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IS44</w:t>
            </w:r>
          </w:p>
        </w:tc>
        <w:tc>
          <w:tcPr>
            <w:tcW w:w="1563" w:type="dxa"/>
          </w:tcPr>
          <w:p w14:paraId="23976968" w14:textId="77777777" w:rsidR="009F2A5C" w:rsidRPr="002D28AB" w:rsidRDefault="009F2A5C" w:rsidP="004D13DE">
            <w:pPr>
              <w:rPr>
                <w:rFonts w:ascii="Times New Roman" w:hAnsi="Times New Roman" w:cs="Times New Roman"/>
                <w:sz w:val="22"/>
                <w:szCs w:val="22"/>
              </w:rPr>
            </w:pPr>
          </w:p>
        </w:tc>
        <w:tc>
          <w:tcPr>
            <w:tcW w:w="1516" w:type="dxa"/>
          </w:tcPr>
          <w:p w14:paraId="02B3936D" w14:textId="77777777" w:rsidR="009F2A5C" w:rsidRPr="002D28AB" w:rsidRDefault="009F2A5C" w:rsidP="004D13DE">
            <w:pPr>
              <w:rPr>
                <w:rFonts w:ascii="Times New Roman" w:hAnsi="Times New Roman" w:cs="Times New Roman"/>
                <w:sz w:val="22"/>
                <w:szCs w:val="22"/>
              </w:rPr>
            </w:pPr>
          </w:p>
        </w:tc>
        <w:tc>
          <w:tcPr>
            <w:tcW w:w="1420" w:type="dxa"/>
          </w:tcPr>
          <w:p w14:paraId="3E2B6B81" w14:textId="77777777" w:rsidR="009F2A5C" w:rsidRPr="002D28AB" w:rsidRDefault="009F2A5C" w:rsidP="004D13DE">
            <w:pPr>
              <w:rPr>
                <w:rFonts w:ascii="Times New Roman" w:hAnsi="Times New Roman" w:cs="Times New Roman"/>
                <w:sz w:val="22"/>
                <w:szCs w:val="22"/>
              </w:rPr>
            </w:pPr>
          </w:p>
        </w:tc>
      </w:tr>
      <w:tr w:rsidR="009F2A5C" w:rsidRPr="002D28AB" w14:paraId="4DD4F511" w14:textId="77777777" w:rsidTr="004D13DE">
        <w:tc>
          <w:tcPr>
            <w:tcW w:w="1403" w:type="dxa"/>
          </w:tcPr>
          <w:p w14:paraId="6E136E7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S4</w:t>
            </w:r>
          </w:p>
        </w:tc>
        <w:tc>
          <w:tcPr>
            <w:tcW w:w="1688" w:type="dxa"/>
          </w:tcPr>
          <w:p w14:paraId="7A819FE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response speed</w:t>
            </w:r>
          </w:p>
        </w:tc>
        <w:tc>
          <w:tcPr>
            <w:tcW w:w="1420" w:type="dxa"/>
          </w:tcPr>
          <w:p w14:paraId="59E01E4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IS35</w:t>
            </w:r>
          </w:p>
        </w:tc>
        <w:tc>
          <w:tcPr>
            <w:tcW w:w="1563" w:type="dxa"/>
          </w:tcPr>
          <w:p w14:paraId="05F6A75F" w14:textId="77777777" w:rsidR="009F2A5C" w:rsidRPr="002D28AB" w:rsidRDefault="009F2A5C" w:rsidP="004D13DE">
            <w:pPr>
              <w:rPr>
                <w:rFonts w:ascii="Times New Roman" w:hAnsi="Times New Roman" w:cs="Times New Roman"/>
                <w:sz w:val="22"/>
                <w:szCs w:val="22"/>
              </w:rPr>
            </w:pPr>
          </w:p>
        </w:tc>
        <w:tc>
          <w:tcPr>
            <w:tcW w:w="1516" w:type="dxa"/>
          </w:tcPr>
          <w:p w14:paraId="627F9A9C" w14:textId="77777777" w:rsidR="009F2A5C" w:rsidRPr="002D28AB" w:rsidRDefault="009F2A5C" w:rsidP="004D13DE">
            <w:pPr>
              <w:rPr>
                <w:rFonts w:ascii="Times New Roman" w:hAnsi="Times New Roman" w:cs="Times New Roman"/>
                <w:sz w:val="22"/>
                <w:szCs w:val="22"/>
              </w:rPr>
            </w:pPr>
          </w:p>
        </w:tc>
        <w:tc>
          <w:tcPr>
            <w:tcW w:w="1420" w:type="dxa"/>
          </w:tcPr>
          <w:p w14:paraId="545B4E3A" w14:textId="77777777" w:rsidR="009F2A5C" w:rsidRPr="002D28AB" w:rsidRDefault="009F2A5C" w:rsidP="004D13DE">
            <w:pPr>
              <w:rPr>
                <w:rFonts w:ascii="Times New Roman" w:hAnsi="Times New Roman" w:cs="Times New Roman"/>
                <w:sz w:val="22"/>
                <w:szCs w:val="22"/>
              </w:rPr>
            </w:pPr>
          </w:p>
        </w:tc>
      </w:tr>
      <w:tr w:rsidR="009F2A5C" w:rsidRPr="002D28AB" w14:paraId="7C95BE5A" w14:textId="77777777" w:rsidTr="004D13DE">
        <w:tc>
          <w:tcPr>
            <w:tcW w:w="1403" w:type="dxa"/>
          </w:tcPr>
          <w:p w14:paraId="7DCA598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S5</w:t>
            </w:r>
          </w:p>
        </w:tc>
        <w:tc>
          <w:tcPr>
            <w:tcW w:w="1688" w:type="dxa"/>
          </w:tcPr>
          <w:p w14:paraId="56D96D6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Mobile friendliness</w:t>
            </w:r>
          </w:p>
        </w:tc>
        <w:tc>
          <w:tcPr>
            <w:tcW w:w="1420" w:type="dxa"/>
          </w:tcPr>
          <w:p w14:paraId="6E46EED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IS32</w:t>
            </w:r>
          </w:p>
        </w:tc>
        <w:tc>
          <w:tcPr>
            <w:tcW w:w="1563" w:type="dxa"/>
          </w:tcPr>
          <w:p w14:paraId="3245B9EC" w14:textId="77777777" w:rsidR="009F2A5C" w:rsidRPr="002D28AB" w:rsidRDefault="009F2A5C" w:rsidP="004D13DE">
            <w:pPr>
              <w:rPr>
                <w:rFonts w:ascii="Times New Roman" w:hAnsi="Times New Roman" w:cs="Times New Roman"/>
                <w:sz w:val="22"/>
                <w:szCs w:val="22"/>
              </w:rPr>
            </w:pPr>
          </w:p>
        </w:tc>
        <w:tc>
          <w:tcPr>
            <w:tcW w:w="1516" w:type="dxa"/>
          </w:tcPr>
          <w:p w14:paraId="37FA6A7A" w14:textId="77777777" w:rsidR="009F2A5C" w:rsidRPr="002D28AB" w:rsidRDefault="009F2A5C" w:rsidP="004D13DE">
            <w:pPr>
              <w:rPr>
                <w:rFonts w:ascii="Times New Roman" w:hAnsi="Times New Roman" w:cs="Times New Roman"/>
                <w:sz w:val="22"/>
                <w:szCs w:val="22"/>
              </w:rPr>
            </w:pPr>
          </w:p>
        </w:tc>
        <w:tc>
          <w:tcPr>
            <w:tcW w:w="1420" w:type="dxa"/>
          </w:tcPr>
          <w:p w14:paraId="1CD398B3" w14:textId="77777777" w:rsidR="009F2A5C" w:rsidRPr="002D28AB" w:rsidRDefault="009F2A5C" w:rsidP="004D13DE">
            <w:pPr>
              <w:rPr>
                <w:rFonts w:ascii="Times New Roman" w:hAnsi="Times New Roman" w:cs="Times New Roman"/>
                <w:sz w:val="22"/>
                <w:szCs w:val="22"/>
              </w:rPr>
            </w:pPr>
          </w:p>
        </w:tc>
      </w:tr>
      <w:tr w:rsidR="009F2A5C" w:rsidRPr="002D28AB" w14:paraId="21FBE38D" w14:textId="77777777" w:rsidTr="004D13DE">
        <w:tc>
          <w:tcPr>
            <w:tcW w:w="1403" w:type="dxa"/>
          </w:tcPr>
          <w:p w14:paraId="17B46CC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S6</w:t>
            </w:r>
          </w:p>
        </w:tc>
        <w:tc>
          <w:tcPr>
            <w:tcW w:w="1688" w:type="dxa"/>
          </w:tcPr>
          <w:p w14:paraId="7FBE896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Customizability</w:t>
            </w:r>
          </w:p>
        </w:tc>
        <w:tc>
          <w:tcPr>
            <w:tcW w:w="1420" w:type="dxa"/>
          </w:tcPr>
          <w:p w14:paraId="4BA91BB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IS34</w:t>
            </w:r>
          </w:p>
        </w:tc>
        <w:tc>
          <w:tcPr>
            <w:tcW w:w="1563" w:type="dxa"/>
          </w:tcPr>
          <w:p w14:paraId="31990E6D" w14:textId="77777777" w:rsidR="009F2A5C" w:rsidRPr="002D28AB" w:rsidRDefault="009F2A5C" w:rsidP="004D13DE">
            <w:pPr>
              <w:rPr>
                <w:rFonts w:ascii="Times New Roman" w:hAnsi="Times New Roman" w:cs="Times New Roman"/>
                <w:sz w:val="22"/>
                <w:szCs w:val="22"/>
              </w:rPr>
            </w:pPr>
          </w:p>
        </w:tc>
        <w:tc>
          <w:tcPr>
            <w:tcW w:w="1516" w:type="dxa"/>
          </w:tcPr>
          <w:p w14:paraId="57CB485C" w14:textId="77777777" w:rsidR="009F2A5C" w:rsidRPr="002D28AB" w:rsidRDefault="009F2A5C" w:rsidP="004D13DE">
            <w:pPr>
              <w:rPr>
                <w:rFonts w:ascii="Times New Roman" w:hAnsi="Times New Roman" w:cs="Times New Roman"/>
                <w:sz w:val="22"/>
                <w:szCs w:val="22"/>
              </w:rPr>
            </w:pPr>
          </w:p>
        </w:tc>
        <w:tc>
          <w:tcPr>
            <w:tcW w:w="1420" w:type="dxa"/>
          </w:tcPr>
          <w:p w14:paraId="2CA3C651" w14:textId="77777777" w:rsidR="009F2A5C" w:rsidRPr="002D28AB" w:rsidRDefault="009F2A5C" w:rsidP="004D13DE">
            <w:pPr>
              <w:rPr>
                <w:rFonts w:ascii="Times New Roman" w:hAnsi="Times New Roman" w:cs="Times New Roman"/>
                <w:sz w:val="22"/>
                <w:szCs w:val="22"/>
              </w:rPr>
            </w:pPr>
          </w:p>
        </w:tc>
      </w:tr>
      <w:tr w:rsidR="009F2A5C" w:rsidRPr="002D28AB" w14:paraId="3732331C" w14:textId="77777777" w:rsidTr="004D13DE">
        <w:tc>
          <w:tcPr>
            <w:tcW w:w="1403" w:type="dxa"/>
          </w:tcPr>
          <w:p w14:paraId="57554EB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w:t>
            </w:r>
          </w:p>
        </w:tc>
        <w:tc>
          <w:tcPr>
            <w:tcW w:w="1688" w:type="dxa"/>
          </w:tcPr>
          <w:p w14:paraId="7EB8DE8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System interface friendliness</w:t>
            </w:r>
          </w:p>
        </w:tc>
        <w:tc>
          <w:tcPr>
            <w:tcW w:w="1420" w:type="dxa"/>
          </w:tcPr>
          <w:p w14:paraId="153DAF0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IS35, IS68</w:t>
            </w:r>
          </w:p>
        </w:tc>
        <w:tc>
          <w:tcPr>
            <w:tcW w:w="1563" w:type="dxa"/>
          </w:tcPr>
          <w:p w14:paraId="7A711647" w14:textId="77777777" w:rsidR="009F2A5C" w:rsidRPr="002D28AB" w:rsidRDefault="009F2A5C" w:rsidP="004D13DE">
            <w:pPr>
              <w:rPr>
                <w:rFonts w:ascii="Times New Roman" w:hAnsi="Times New Roman" w:cs="Times New Roman"/>
                <w:sz w:val="22"/>
                <w:szCs w:val="22"/>
              </w:rPr>
            </w:pPr>
          </w:p>
        </w:tc>
        <w:tc>
          <w:tcPr>
            <w:tcW w:w="1516" w:type="dxa"/>
          </w:tcPr>
          <w:p w14:paraId="5F70A777" w14:textId="77777777" w:rsidR="009F2A5C" w:rsidRPr="002D28AB" w:rsidRDefault="009F2A5C" w:rsidP="004D13DE">
            <w:pPr>
              <w:rPr>
                <w:rFonts w:ascii="Times New Roman" w:hAnsi="Times New Roman" w:cs="Times New Roman"/>
                <w:sz w:val="22"/>
                <w:szCs w:val="22"/>
              </w:rPr>
            </w:pPr>
          </w:p>
        </w:tc>
        <w:tc>
          <w:tcPr>
            <w:tcW w:w="1420" w:type="dxa"/>
          </w:tcPr>
          <w:p w14:paraId="7FD55BDD" w14:textId="77777777" w:rsidR="009F2A5C" w:rsidRPr="002D28AB" w:rsidRDefault="009F2A5C" w:rsidP="004D13DE">
            <w:pPr>
              <w:rPr>
                <w:rFonts w:ascii="Times New Roman" w:hAnsi="Times New Roman" w:cs="Times New Roman"/>
                <w:sz w:val="22"/>
                <w:szCs w:val="22"/>
              </w:rPr>
            </w:pPr>
          </w:p>
        </w:tc>
      </w:tr>
      <w:tr w:rsidR="009F2A5C" w:rsidRPr="002D28AB" w14:paraId="145B8513" w14:textId="77777777" w:rsidTr="004D13DE">
        <w:tc>
          <w:tcPr>
            <w:tcW w:w="1403" w:type="dxa"/>
          </w:tcPr>
          <w:p w14:paraId="1BDF7C8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C2</w:t>
            </w:r>
          </w:p>
        </w:tc>
        <w:tc>
          <w:tcPr>
            <w:tcW w:w="1688" w:type="dxa"/>
          </w:tcPr>
          <w:p w14:paraId="67B9528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operational complexity</w:t>
            </w:r>
          </w:p>
        </w:tc>
        <w:tc>
          <w:tcPr>
            <w:tcW w:w="1420" w:type="dxa"/>
          </w:tcPr>
          <w:p w14:paraId="4BA11A08" w14:textId="77777777" w:rsidR="009F2A5C" w:rsidRPr="002D28AB" w:rsidRDefault="009F2A5C" w:rsidP="004D13DE">
            <w:pPr>
              <w:rPr>
                <w:rFonts w:ascii="Times New Roman" w:hAnsi="Times New Roman" w:cs="Times New Roman"/>
                <w:sz w:val="22"/>
                <w:szCs w:val="22"/>
              </w:rPr>
            </w:pPr>
          </w:p>
        </w:tc>
        <w:tc>
          <w:tcPr>
            <w:tcW w:w="1563" w:type="dxa"/>
          </w:tcPr>
          <w:p w14:paraId="7E7075D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IS22</w:t>
            </w:r>
          </w:p>
        </w:tc>
        <w:tc>
          <w:tcPr>
            <w:tcW w:w="1516" w:type="dxa"/>
          </w:tcPr>
          <w:p w14:paraId="3B652673" w14:textId="77777777" w:rsidR="009F2A5C" w:rsidRPr="002D28AB" w:rsidRDefault="009F2A5C" w:rsidP="004D13DE">
            <w:pPr>
              <w:rPr>
                <w:rFonts w:ascii="Times New Roman" w:hAnsi="Times New Roman" w:cs="Times New Roman"/>
                <w:sz w:val="22"/>
                <w:szCs w:val="22"/>
              </w:rPr>
            </w:pPr>
          </w:p>
        </w:tc>
        <w:tc>
          <w:tcPr>
            <w:tcW w:w="1420" w:type="dxa"/>
          </w:tcPr>
          <w:p w14:paraId="3280DAED" w14:textId="77777777" w:rsidR="009F2A5C" w:rsidRPr="002D28AB" w:rsidRDefault="009F2A5C" w:rsidP="004D13DE">
            <w:pPr>
              <w:rPr>
                <w:rFonts w:ascii="Times New Roman" w:hAnsi="Times New Roman" w:cs="Times New Roman"/>
                <w:sz w:val="22"/>
                <w:szCs w:val="22"/>
              </w:rPr>
            </w:pPr>
          </w:p>
        </w:tc>
      </w:tr>
      <w:tr w:rsidR="009F2A5C" w:rsidRPr="002D28AB" w14:paraId="2AFD1A3F" w14:textId="77777777" w:rsidTr="004D13DE">
        <w:tc>
          <w:tcPr>
            <w:tcW w:w="1403" w:type="dxa"/>
          </w:tcPr>
          <w:p w14:paraId="160CEE9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C4</w:t>
            </w:r>
          </w:p>
        </w:tc>
        <w:tc>
          <w:tcPr>
            <w:tcW w:w="1688" w:type="dxa"/>
          </w:tcPr>
          <w:p w14:paraId="092AC62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Perceived ease of use</w:t>
            </w:r>
          </w:p>
        </w:tc>
        <w:tc>
          <w:tcPr>
            <w:tcW w:w="1420" w:type="dxa"/>
          </w:tcPr>
          <w:p w14:paraId="49011DE3" w14:textId="77777777" w:rsidR="009F2A5C" w:rsidRPr="002D28AB" w:rsidRDefault="009F2A5C" w:rsidP="004D13DE">
            <w:pPr>
              <w:rPr>
                <w:rFonts w:ascii="Times New Roman" w:hAnsi="Times New Roman" w:cs="Times New Roman"/>
                <w:sz w:val="22"/>
                <w:szCs w:val="22"/>
              </w:rPr>
            </w:pPr>
          </w:p>
        </w:tc>
        <w:tc>
          <w:tcPr>
            <w:tcW w:w="1563" w:type="dxa"/>
          </w:tcPr>
          <w:p w14:paraId="4AE4652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IS14, IS17</w:t>
            </w:r>
          </w:p>
        </w:tc>
        <w:tc>
          <w:tcPr>
            <w:tcW w:w="1516" w:type="dxa"/>
          </w:tcPr>
          <w:p w14:paraId="370890C2" w14:textId="77777777" w:rsidR="009F2A5C" w:rsidRPr="002D28AB" w:rsidRDefault="009F2A5C" w:rsidP="004D13DE">
            <w:pPr>
              <w:rPr>
                <w:rFonts w:ascii="Times New Roman" w:hAnsi="Times New Roman" w:cs="Times New Roman"/>
                <w:sz w:val="22"/>
                <w:szCs w:val="22"/>
              </w:rPr>
            </w:pPr>
          </w:p>
        </w:tc>
        <w:tc>
          <w:tcPr>
            <w:tcW w:w="1420" w:type="dxa"/>
          </w:tcPr>
          <w:p w14:paraId="5EA64049" w14:textId="77777777" w:rsidR="009F2A5C" w:rsidRPr="002D28AB" w:rsidRDefault="009F2A5C" w:rsidP="004D13DE">
            <w:pPr>
              <w:rPr>
                <w:rFonts w:ascii="Times New Roman" w:hAnsi="Times New Roman" w:cs="Times New Roman"/>
                <w:sz w:val="22"/>
                <w:szCs w:val="22"/>
              </w:rPr>
            </w:pPr>
          </w:p>
        </w:tc>
      </w:tr>
      <w:tr w:rsidR="009F2A5C" w:rsidRPr="002D28AB" w14:paraId="7826088A" w14:textId="77777777" w:rsidTr="004D13DE">
        <w:tc>
          <w:tcPr>
            <w:tcW w:w="1403" w:type="dxa"/>
          </w:tcPr>
          <w:p w14:paraId="4AE4A1A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C6</w:t>
            </w:r>
          </w:p>
        </w:tc>
        <w:tc>
          <w:tcPr>
            <w:tcW w:w="1688" w:type="dxa"/>
          </w:tcPr>
          <w:p w14:paraId="401B4BE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Trust in system outputs</w:t>
            </w:r>
          </w:p>
        </w:tc>
        <w:tc>
          <w:tcPr>
            <w:tcW w:w="1420" w:type="dxa"/>
          </w:tcPr>
          <w:p w14:paraId="723CBA61" w14:textId="77777777" w:rsidR="009F2A5C" w:rsidRPr="002D28AB" w:rsidRDefault="009F2A5C" w:rsidP="004D13DE">
            <w:pPr>
              <w:rPr>
                <w:rFonts w:ascii="Times New Roman" w:hAnsi="Times New Roman" w:cs="Times New Roman"/>
                <w:sz w:val="22"/>
                <w:szCs w:val="22"/>
              </w:rPr>
            </w:pPr>
          </w:p>
        </w:tc>
        <w:tc>
          <w:tcPr>
            <w:tcW w:w="1563" w:type="dxa"/>
          </w:tcPr>
          <w:p w14:paraId="1EC7220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 IS27, IS62</w:t>
            </w:r>
          </w:p>
        </w:tc>
        <w:tc>
          <w:tcPr>
            <w:tcW w:w="1516" w:type="dxa"/>
          </w:tcPr>
          <w:p w14:paraId="5871846A" w14:textId="77777777" w:rsidR="009F2A5C" w:rsidRPr="002D28AB" w:rsidRDefault="009F2A5C" w:rsidP="004D13DE">
            <w:pPr>
              <w:rPr>
                <w:rFonts w:ascii="Times New Roman" w:hAnsi="Times New Roman" w:cs="Times New Roman"/>
                <w:sz w:val="22"/>
                <w:szCs w:val="22"/>
              </w:rPr>
            </w:pPr>
          </w:p>
        </w:tc>
        <w:tc>
          <w:tcPr>
            <w:tcW w:w="1420" w:type="dxa"/>
          </w:tcPr>
          <w:p w14:paraId="15F1CBD9" w14:textId="77777777" w:rsidR="009F2A5C" w:rsidRPr="002D28AB" w:rsidRDefault="009F2A5C" w:rsidP="004D13DE">
            <w:pPr>
              <w:rPr>
                <w:rFonts w:ascii="Times New Roman" w:hAnsi="Times New Roman" w:cs="Times New Roman"/>
                <w:sz w:val="22"/>
                <w:szCs w:val="22"/>
              </w:rPr>
            </w:pPr>
          </w:p>
        </w:tc>
      </w:tr>
      <w:tr w:rsidR="009F2A5C" w:rsidRPr="002D28AB" w14:paraId="2AF43434" w14:textId="77777777" w:rsidTr="004D13DE">
        <w:tc>
          <w:tcPr>
            <w:tcW w:w="1403" w:type="dxa"/>
          </w:tcPr>
          <w:p w14:paraId="662285A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C7</w:t>
            </w:r>
          </w:p>
        </w:tc>
        <w:tc>
          <w:tcPr>
            <w:tcW w:w="1688" w:type="dxa"/>
          </w:tcPr>
          <w:p w14:paraId="556D2FC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Satisfaction with information quality</w:t>
            </w:r>
          </w:p>
        </w:tc>
        <w:tc>
          <w:tcPr>
            <w:tcW w:w="1420" w:type="dxa"/>
          </w:tcPr>
          <w:p w14:paraId="58CDD6C7" w14:textId="77777777" w:rsidR="009F2A5C" w:rsidRPr="002D28AB" w:rsidRDefault="009F2A5C" w:rsidP="004D13DE">
            <w:pPr>
              <w:rPr>
                <w:rFonts w:ascii="Times New Roman" w:hAnsi="Times New Roman" w:cs="Times New Roman"/>
                <w:sz w:val="22"/>
                <w:szCs w:val="22"/>
              </w:rPr>
            </w:pPr>
          </w:p>
        </w:tc>
        <w:tc>
          <w:tcPr>
            <w:tcW w:w="1563" w:type="dxa"/>
          </w:tcPr>
          <w:p w14:paraId="6BB57E1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IS10</w:t>
            </w:r>
          </w:p>
        </w:tc>
        <w:tc>
          <w:tcPr>
            <w:tcW w:w="1516" w:type="dxa"/>
          </w:tcPr>
          <w:p w14:paraId="2CB209A0" w14:textId="77777777" w:rsidR="009F2A5C" w:rsidRPr="002D28AB" w:rsidRDefault="009F2A5C" w:rsidP="004D13DE">
            <w:pPr>
              <w:rPr>
                <w:rFonts w:ascii="Times New Roman" w:hAnsi="Times New Roman" w:cs="Times New Roman"/>
                <w:sz w:val="22"/>
                <w:szCs w:val="22"/>
              </w:rPr>
            </w:pPr>
          </w:p>
        </w:tc>
        <w:tc>
          <w:tcPr>
            <w:tcW w:w="1420" w:type="dxa"/>
          </w:tcPr>
          <w:p w14:paraId="4528027C" w14:textId="77777777" w:rsidR="009F2A5C" w:rsidRPr="002D28AB" w:rsidRDefault="009F2A5C" w:rsidP="004D13DE">
            <w:pPr>
              <w:rPr>
                <w:rFonts w:ascii="Times New Roman" w:hAnsi="Times New Roman" w:cs="Times New Roman"/>
                <w:sz w:val="22"/>
                <w:szCs w:val="22"/>
              </w:rPr>
            </w:pPr>
          </w:p>
        </w:tc>
      </w:tr>
      <w:tr w:rsidR="009F2A5C" w:rsidRPr="002D28AB" w14:paraId="4B54946A" w14:textId="77777777" w:rsidTr="004D13DE">
        <w:tc>
          <w:tcPr>
            <w:tcW w:w="1403" w:type="dxa"/>
          </w:tcPr>
          <w:p w14:paraId="75836A9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C12</w:t>
            </w:r>
          </w:p>
        </w:tc>
        <w:tc>
          <w:tcPr>
            <w:tcW w:w="1688" w:type="dxa"/>
          </w:tcPr>
          <w:p w14:paraId="4D9DB39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Model type and fit</w:t>
            </w:r>
          </w:p>
        </w:tc>
        <w:tc>
          <w:tcPr>
            <w:tcW w:w="1420" w:type="dxa"/>
          </w:tcPr>
          <w:p w14:paraId="35FFAEA7" w14:textId="77777777" w:rsidR="009F2A5C" w:rsidRPr="002D28AB" w:rsidRDefault="009F2A5C" w:rsidP="004D13DE">
            <w:pPr>
              <w:rPr>
                <w:rFonts w:ascii="Times New Roman" w:hAnsi="Times New Roman" w:cs="Times New Roman"/>
                <w:sz w:val="22"/>
                <w:szCs w:val="22"/>
              </w:rPr>
            </w:pPr>
          </w:p>
        </w:tc>
        <w:tc>
          <w:tcPr>
            <w:tcW w:w="1563" w:type="dxa"/>
          </w:tcPr>
          <w:p w14:paraId="2CDC0DB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 IS37</w:t>
            </w:r>
          </w:p>
        </w:tc>
        <w:tc>
          <w:tcPr>
            <w:tcW w:w="1516" w:type="dxa"/>
          </w:tcPr>
          <w:p w14:paraId="1107FA08" w14:textId="77777777" w:rsidR="009F2A5C" w:rsidRPr="002D28AB" w:rsidRDefault="009F2A5C" w:rsidP="004D13DE">
            <w:pPr>
              <w:rPr>
                <w:rFonts w:ascii="Times New Roman" w:hAnsi="Times New Roman" w:cs="Times New Roman"/>
                <w:sz w:val="22"/>
                <w:szCs w:val="22"/>
              </w:rPr>
            </w:pPr>
          </w:p>
        </w:tc>
        <w:tc>
          <w:tcPr>
            <w:tcW w:w="1420" w:type="dxa"/>
          </w:tcPr>
          <w:p w14:paraId="7A0FCDBC" w14:textId="77777777" w:rsidR="009F2A5C" w:rsidRPr="002D28AB" w:rsidRDefault="009F2A5C" w:rsidP="004D13DE">
            <w:pPr>
              <w:rPr>
                <w:rFonts w:ascii="Times New Roman" w:hAnsi="Times New Roman" w:cs="Times New Roman"/>
                <w:sz w:val="22"/>
                <w:szCs w:val="22"/>
              </w:rPr>
            </w:pPr>
          </w:p>
        </w:tc>
      </w:tr>
      <w:tr w:rsidR="009F2A5C" w:rsidRPr="002D28AB" w14:paraId="0812FE99" w14:textId="77777777" w:rsidTr="004D13DE">
        <w:tc>
          <w:tcPr>
            <w:tcW w:w="1403" w:type="dxa"/>
          </w:tcPr>
          <w:p w14:paraId="06CE8EB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S2</w:t>
            </w:r>
          </w:p>
        </w:tc>
        <w:tc>
          <w:tcPr>
            <w:tcW w:w="1688" w:type="dxa"/>
          </w:tcPr>
          <w:p w14:paraId="3D468F2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effectiveness</w:t>
            </w:r>
          </w:p>
        </w:tc>
        <w:tc>
          <w:tcPr>
            <w:tcW w:w="1420" w:type="dxa"/>
          </w:tcPr>
          <w:p w14:paraId="56EF72C2" w14:textId="77777777" w:rsidR="009F2A5C" w:rsidRPr="002D28AB" w:rsidRDefault="009F2A5C" w:rsidP="004D13DE">
            <w:pPr>
              <w:rPr>
                <w:rFonts w:ascii="Times New Roman" w:hAnsi="Times New Roman" w:cs="Times New Roman"/>
                <w:sz w:val="22"/>
                <w:szCs w:val="22"/>
              </w:rPr>
            </w:pPr>
          </w:p>
        </w:tc>
        <w:tc>
          <w:tcPr>
            <w:tcW w:w="1563" w:type="dxa"/>
          </w:tcPr>
          <w:p w14:paraId="3B126C45" w14:textId="77777777" w:rsidR="009F2A5C" w:rsidRPr="002D28AB" w:rsidRDefault="009F2A5C" w:rsidP="004D13DE">
            <w:pPr>
              <w:rPr>
                <w:rFonts w:ascii="Times New Roman" w:hAnsi="Times New Roman" w:cs="Times New Roman"/>
                <w:sz w:val="22"/>
                <w:szCs w:val="22"/>
              </w:rPr>
            </w:pPr>
          </w:p>
        </w:tc>
        <w:tc>
          <w:tcPr>
            <w:tcW w:w="1516" w:type="dxa"/>
          </w:tcPr>
          <w:p w14:paraId="4CD06D3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w:t>
            </w:r>
          </w:p>
        </w:tc>
        <w:tc>
          <w:tcPr>
            <w:tcW w:w="1420" w:type="dxa"/>
          </w:tcPr>
          <w:p w14:paraId="72FA516F" w14:textId="77777777" w:rsidR="009F2A5C" w:rsidRPr="002D28AB" w:rsidRDefault="009F2A5C" w:rsidP="004D13DE">
            <w:pPr>
              <w:rPr>
                <w:rFonts w:ascii="Times New Roman" w:hAnsi="Times New Roman" w:cs="Times New Roman"/>
                <w:sz w:val="22"/>
                <w:szCs w:val="22"/>
              </w:rPr>
            </w:pPr>
          </w:p>
        </w:tc>
      </w:tr>
      <w:tr w:rsidR="009F2A5C" w:rsidRPr="002D28AB" w14:paraId="7F093402" w14:textId="77777777" w:rsidTr="004D13DE">
        <w:tc>
          <w:tcPr>
            <w:tcW w:w="1403" w:type="dxa"/>
          </w:tcPr>
          <w:p w14:paraId="5BBDDD0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S3</w:t>
            </w:r>
          </w:p>
        </w:tc>
        <w:tc>
          <w:tcPr>
            <w:tcW w:w="1688" w:type="dxa"/>
          </w:tcPr>
          <w:p w14:paraId="1DD4CD7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Data entry efficiency</w:t>
            </w:r>
          </w:p>
        </w:tc>
        <w:tc>
          <w:tcPr>
            <w:tcW w:w="1420" w:type="dxa"/>
          </w:tcPr>
          <w:p w14:paraId="07DA9D4E" w14:textId="77777777" w:rsidR="009F2A5C" w:rsidRPr="002D28AB" w:rsidRDefault="009F2A5C" w:rsidP="004D13DE">
            <w:pPr>
              <w:rPr>
                <w:rFonts w:ascii="Times New Roman" w:hAnsi="Times New Roman" w:cs="Times New Roman"/>
                <w:sz w:val="22"/>
                <w:szCs w:val="22"/>
              </w:rPr>
            </w:pPr>
          </w:p>
        </w:tc>
        <w:tc>
          <w:tcPr>
            <w:tcW w:w="1563" w:type="dxa"/>
          </w:tcPr>
          <w:p w14:paraId="68D17BB8" w14:textId="77777777" w:rsidR="009F2A5C" w:rsidRPr="002D28AB" w:rsidRDefault="009F2A5C" w:rsidP="004D13DE">
            <w:pPr>
              <w:rPr>
                <w:rFonts w:ascii="Times New Roman" w:hAnsi="Times New Roman" w:cs="Times New Roman"/>
                <w:sz w:val="22"/>
                <w:szCs w:val="22"/>
              </w:rPr>
            </w:pPr>
          </w:p>
        </w:tc>
        <w:tc>
          <w:tcPr>
            <w:tcW w:w="1516" w:type="dxa"/>
          </w:tcPr>
          <w:p w14:paraId="47843F8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IS63</w:t>
            </w:r>
          </w:p>
        </w:tc>
        <w:tc>
          <w:tcPr>
            <w:tcW w:w="1420" w:type="dxa"/>
          </w:tcPr>
          <w:p w14:paraId="3784DC6E" w14:textId="77777777" w:rsidR="009F2A5C" w:rsidRPr="002D28AB" w:rsidRDefault="009F2A5C" w:rsidP="004D13DE">
            <w:pPr>
              <w:rPr>
                <w:rFonts w:ascii="Times New Roman" w:hAnsi="Times New Roman" w:cs="Times New Roman"/>
                <w:sz w:val="22"/>
                <w:szCs w:val="22"/>
              </w:rPr>
            </w:pPr>
          </w:p>
        </w:tc>
      </w:tr>
      <w:tr w:rsidR="009F2A5C" w:rsidRPr="002D28AB" w14:paraId="7A091DAF" w14:textId="77777777" w:rsidTr="004D13DE">
        <w:tc>
          <w:tcPr>
            <w:tcW w:w="1403" w:type="dxa"/>
          </w:tcPr>
          <w:p w14:paraId="1F1D3EF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H1</w:t>
            </w:r>
          </w:p>
        </w:tc>
        <w:tc>
          <w:tcPr>
            <w:tcW w:w="1688" w:type="dxa"/>
          </w:tcPr>
          <w:p w14:paraId="4004741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Cognitive load</w:t>
            </w:r>
          </w:p>
        </w:tc>
        <w:tc>
          <w:tcPr>
            <w:tcW w:w="1420" w:type="dxa"/>
          </w:tcPr>
          <w:p w14:paraId="05E6C70A" w14:textId="77777777" w:rsidR="009F2A5C" w:rsidRPr="002D28AB" w:rsidRDefault="009F2A5C" w:rsidP="004D13DE">
            <w:pPr>
              <w:rPr>
                <w:rFonts w:ascii="Times New Roman" w:hAnsi="Times New Roman" w:cs="Times New Roman"/>
                <w:sz w:val="22"/>
                <w:szCs w:val="22"/>
              </w:rPr>
            </w:pPr>
          </w:p>
        </w:tc>
        <w:tc>
          <w:tcPr>
            <w:tcW w:w="1563" w:type="dxa"/>
          </w:tcPr>
          <w:p w14:paraId="016E89F4" w14:textId="77777777" w:rsidR="009F2A5C" w:rsidRPr="002D28AB" w:rsidRDefault="009F2A5C" w:rsidP="004D13DE">
            <w:pPr>
              <w:rPr>
                <w:rFonts w:ascii="Times New Roman" w:hAnsi="Times New Roman" w:cs="Times New Roman"/>
                <w:sz w:val="22"/>
                <w:szCs w:val="22"/>
              </w:rPr>
            </w:pPr>
          </w:p>
        </w:tc>
        <w:tc>
          <w:tcPr>
            <w:tcW w:w="1516" w:type="dxa"/>
          </w:tcPr>
          <w:p w14:paraId="08AEF56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IS65, IS68</w:t>
            </w:r>
          </w:p>
        </w:tc>
        <w:tc>
          <w:tcPr>
            <w:tcW w:w="1420" w:type="dxa"/>
          </w:tcPr>
          <w:p w14:paraId="3B099796" w14:textId="77777777" w:rsidR="009F2A5C" w:rsidRPr="002D28AB" w:rsidRDefault="009F2A5C" w:rsidP="004D13DE">
            <w:pPr>
              <w:rPr>
                <w:rFonts w:ascii="Times New Roman" w:hAnsi="Times New Roman" w:cs="Times New Roman"/>
                <w:sz w:val="22"/>
                <w:szCs w:val="22"/>
              </w:rPr>
            </w:pPr>
          </w:p>
        </w:tc>
      </w:tr>
      <w:tr w:rsidR="009F2A5C" w:rsidRPr="002D28AB" w14:paraId="75EEF750" w14:textId="77777777" w:rsidTr="004D13DE">
        <w:tc>
          <w:tcPr>
            <w:tcW w:w="1403" w:type="dxa"/>
          </w:tcPr>
          <w:p w14:paraId="4AC4AFF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H2</w:t>
            </w:r>
          </w:p>
        </w:tc>
        <w:tc>
          <w:tcPr>
            <w:tcW w:w="1688" w:type="dxa"/>
          </w:tcPr>
          <w:p w14:paraId="769F9E6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Training adequacy</w:t>
            </w:r>
          </w:p>
        </w:tc>
        <w:tc>
          <w:tcPr>
            <w:tcW w:w="1420" w:type="dxa"/>
          </w:tcPr>
          <w:p w14:paraId="648D9390" w14:textId="77777777" w:rsidR="009F2A5C" w:rsidRPr="002D28AB" w:rsidRDefault="009F2A5C" w:rsidP="004D13DE">
            <w:pPr>
              <w:rPr>
                <w:rFonts w:ascii="Times New Roman" w:hAnsi="Times New Roman" w:cs="Times New Roman"/>
                <w:sz w:val="22"/>
                <w:szCs w:val="22"/>
              </w:rPr>
            </w:pPr>
          </w:p>
        </w:tc>
        <w:tc>
          <w:tcPr>
            <w:tcW w:w="1563" w:type="dxa"/>
          </w:tcPr>
          <w:p w14:paraId="2662DEBF" w14:textId="77777777" w:rsidR="009F2A5C" w:rsidRPr="002D28AB" w:rsidRDefault="009F2A5C" w:rsidP="004D13DE">
            <w:pPr>
              <w:rPr>
                <w:rFonts w:ascii="Times New Roman" w:hAnsi="Times New Roman" w:cs="Times New Roman"/>
                <w:sz w:val="22"/>
                <w:szCs w:val="22"/>
              </w:rPr>
            </w:pPr>
          </w:p>
        </w:tc>
        <w:tc>
          <w:tcPr>
            <w:tcW w:w="1516" w:type="dxa"/>
          </w:tcPr>
          <w:p w14:paraId="3A07FA4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IS56</w:t>
            </w:r>
          </w:p>
        </w:tc>
        <w:tc>
          <w:tcPr>
            <w:tcW w:w="1420" w:type="dxa"/>
          </w:tcPr>
          <w:p w14:paraId="5F19A580" w14:textId="77777777" w:rsidR="009F2A5C" w:rsidRPr="002D28AB" w:rsidRDefault="009F2A5C" w:rsidP="004D13DE">
            <w:pPr>
              <w:rPr>
                <w:rFonts w:ascii="Times New Roman" w:hAnsi="Times New Roman" w:cs="Times New Roman"/>
                <w:sz w:val="22"/>
                <w:szCs w:val="22"/>
              </w:rPr>
            </w:pPr>
          </w:p>
        </w:tc>
      </w:tr>
      <w:tr w:rsidR="009F2A5C" w:rsidRPr="002D28AB" w14:paraId="47A8A819" w14:textId="77777777" w:rsidTr="004D13DE">
        <w:tc>
          <w:tcPr>
            <w:tcW w:w="1403" w:type="dxa"/>
          </w:tcPr>
          <w:p w14:paraId="6B92B3C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H3</w:t>
            </w:r>
          </w:p>
        </w:tc>
        <w:tc>
          <w:tcPr>
            <w:tcW w:w="1688" w:type="dxa"/>
          </w:tcPr>
          <w:p w14:paraId="7607623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Alert fatigue</w:t>
            </w:r>
          </w:p>
        </w:tc>
        <w:tc>
          <w:tcPr>
            <w:tcW w:w="1420" w:type="dxa"/>
          </w:tcPr>
          <w:p w14:paraId="144F7CC6" w14:textId="77777777" w:rsidR="009F2A5C" w:rsidRPr="002D28AB" w:rsidRDefault="009F2A5C" w:rsidP="004D13DE">
            <w:pPr>
              <w:rPr>
                <w:rFonts w:ascii="Times New Roman" w:hAnsi="Times New Roman" w:cs="Times New Roman"/>
                <w:sz w:val="22"/>
                <w:szCs w:val="22"/>
              </w:rPr>
            </w:pPr>
          </w:p>
        </w:tc>
        <w:tc>
          <w:tcPr>
            <w:tcW w:w="1563" w:type="dxa"/>
          </w:tcPr>
          <w:p w14:paraId="48727299" w14:textId="77777777" w:rsidR="009F2A5C" w:rsidRPr="002D28AB" w:rsidRDefault="009F2A5C" w:rsidP="004D13DE">
            <w:pPr>
              <w:rPr>
                <w:rFonts w:ascii="Times New Roman" w:hAnsi="Times New Roman" w:cs="Times New Roman"/>
                <w:sz w:val="22"/>
                <w:szCs w:val="22"/>
              </w:rPr>
            </w:pPr>
          </w:p>
        </w:tc>
        <w:tc>
          <w:tcPr>
            <w:tcW w:w="1516" w:type="dxa"/>
          </w:tcPr>
          <w:p w14:paraId="69A33A0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w:t>
            </w:r>
          </w:p>
        </w:tc>
        <w:tc>
          <w:tcPr>
            <w:tcW w:w="1420" w:type="dxa"/>
          </w:tcPr>
          <w:p w14:paraId="35F65F09" w14:textId="77777777" w:rsidR="009F2A5C" w:rsidRPr="002D28AB" w:rsidRDefault="009F2A5C" w:rsidP="004D13DE">
            <w:pPr>
              <w:rPr>
                <w:rFonts w:ascii="Times New Roman" w:hAnsi="Times New Roman" w:cs="Times New Roman"/>
                <w:sz w:val="22"/>
                <w:szCs w:val="22"/>
              </w:rPr>
            </w:pPr>
          </w:p>
        </w:tc>
      </w:tr>
      <w:tr w:rsidR="009F2A5C" w:rsidRPr="002D28AB" w14:paraId="00867116" w14:textId="77777777" w:rsidTr="004D13DE">
        <w:tc>
          <w:tcPr>
            <w:tcW w:w="1403" w:type="dxa"/>
          </w:tcPr>
          <w:p w14:paraId="2C459A0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H4</w:t>
            </w:r>
          </w:p>
        </w:tc>
        <w:tc>
          <w:tcPr>
            <w:tcW w:w="1688" w:type="dxa"/>
          </w:tcPr>
          <w:p w14:paraId="0532DB4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Technological self-efficacy</w:t>
            </w:r>
          </w:p>
        </w:tc>
        <w:tc>
          <w:tcPr>
            <w:tcW w:w="1420" w:type="dxa"/>
          </w:tcPr>
          <w:p w14:paraId="0B14143C" w14:textId="77777777" w:rsidR="009F2A5C" w:rsidRPr="002D28AB" w:rsidRDefault="009F2A5C" w:rsidP="004D13DE">
            <w:pPr>
              <w:rPr>
                <w:rFonts w:ascii="Times New Roman" w:hAnsi="Times New Roman" w:cs="Times New Roman"/>
                <w:sz w:val="22"/>
                <w:szCs w:val="22"/>
              </w:rPr>
            </w:pPr>
          </w:p>
        </w:tc>
        <w:tc>
          <w:tcPr>
            <w:tcW w:w="1563" w:type="dxa"/>
          </w:tcPr>
          <w:p w14:paraId="1C58ED8F" w14:textId="77777777" w:rsidR="009F2A5C" w:rsidRPr="002D28AB" w:rsidRDefault="009F2A5C" w:rsidP="004D13DE">
            <w:pPr>
              <w:rPr>
                <w:rFonts w:ascii="Times New Roman" w:hAnsi="Times New Roman" w:cs="Times New Roman"/>
                <w:sz w:val="22"/>
                <w:szCs w:val="22"/>
              </w:rPr>
            </w:pPr>
          </w:p>
        </w:tc>
        <w:tc>
          <w:tcPr>
            <w:tcW w:w="1516" w:type="dxa"/>
          </w:tcPr>
          <w:p w14:paraId="1A9E3D6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IS17</w:t>
            </w:r>
          </w:p>
        </w:tc>
        <w:tc>
          <w:tcPr>
            <w:tcW w:w="1420" w:type="dxa"/>
          </w:tcPr>
          <w:p w14:paraId="43A73419" w14:textId="77777777" w:rsidR="009F2A5C" w:rsidRPr="002D28AB" w:rsidRDefault="009F2A5C" w:rsidP="004D13DE">
            <w:pPr>
              <w:rPr>
                <w:rFonts w:ascii="Times New Roman" w:hAnsi="Times New Roman" w:cs="Times New Roman"/>
                <w:sz w:val="22"/>
                <w:szCs w:val="22"/>
              </w:rPr>
            </w:pPr>
          </w:p>
        </w:tc>
      </w:tr>
      <w:tr w:rsidR="009F2A5C" w:rsidRPr="002D28AB" w14:paraId="49F93E5F" w14:textId="77777777" w:rsidTr="004D13DE">
        <w:tc>
          <w:tcPr>
            <w:tcW w:w="1403" w:type="dxa"/>
          </w:tcPr>
          <w:p w14:paraId="40AD0FD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H5</w:t>
            </w:r>
          </w:p>
        </w:tc>
        <w:tc>
          <w:tcPr>
            <w:tcW w:w="1688" w:type="dxa"/>
          </w:tcPr>
          <w:p w14:paraId="4A45837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User satisfaction</w:t>
            </w:r>
          </w:p>
        </w:tc>
        <w:tc>
          <w:tcPr>
            <w:tcW w:w="1420" w:type="dxa"/>
          </w:tcPr>
          <w:p w14:paraId="67D097A2" w14:textId="77777777" w:rsidR="009F2A5C" w:rsidRPr="002D28AB" w:rsidRDefault="009F2A5C" w:rsidP="004D13DE">
            <w:pPr>
              <w:rPr>
                <w:rFonts w:ascii="Times New Roman" w:hAnsi="Times New Roman" w:cs="Times New Roman"/>
                <w:sz w:val="22"/>
                <w:szCs w:val="22"/>
              </w:rPr>
            </w:pPr>
          </w:p>
        </w:tc>
        <w:tc>
          <w:tcPr>
            <w:tcW w:w="1563" w:type="dxa"/>
          </w:tcPr>
          <w:p w14:paraId="48561F48" w14:textId="77777777" w:rsidR="009F2A5C" w:rsidRPr="002D28AB" w:rsidRDefault="009F2A5C" w:rsidP="004D13DE">
            <w:pPr>
              <w:rPr>
                <w:rFonts w:ascii="Times New Roman" w:hAnsi="Times New Roman" w:cs="Times New Roman"/>
                <w:sz w:val="22"/>
                <w:szCs w:val="22"/>
              </w:rPr>
            </w:pPr>
          </w:p>
        </w:tc>
        <w:tc>
          <w:tcPr>
            <w:tcW w:w="1516" w:type="dxa"/>
          </w:tcPr>
          <w:p w14:paraId="2AFAE98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IS18</w:t>
            </w:r>
          </w:p>
        </w:tc>
        <w:tc>
          <w:tcPr>
            <w:tcW w:w="1420" w:type="dxa"/>
          </w:tcPr>
          <w:p w14:paraId="76DE51E9" w14:textId="77777777" w:rsidR="009F2A5C" w:rsidRPr="002D28AB" w:rsidRDefault="009F2A5C" w:rsidP="004D13DE">
            <w:pPr>
              <w:rPr>
                <w:rFonts w:ascii="Times New Roman" w:hAnsi="Times New Roman" w:cs="Times New Roman"/>
                <w:sz w:val="22"/>
                <w:szCs w:val="22"/>
              </w:rPr>
            </w:pPr>
          </w:p>
        </w:tc>
      </w:tr>
      <w:tr w:rsidR="009F2A5C" w:rsidRPr="002D28AB" w14:paraId="62851E3E" w14:textId="77777777" w:rsidTr="004D13DE">
        <w:tc>
          <w:tcPr>
            <w:tcW w:w="1403" w:type="dxa"/>
          </w:tcPr>
          <w:p w14:paraId="79DA9D8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H6</w:t>
            </w:r>
          </w:p>
        </w:tc>
        <w:tc>
          <w:tcPr>
            <w:tcW w:w="1688" w:type="dxa"/>
          </w:tcPr>
          <w:p w14:paraId="52DAF84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Collaboration and communication support</w:t>
            </w:r>
          </w:p>
        </w:tc>
        <w:tc>
          <w:tcPr>
            <w:tcW w:w="1420" w:type="dxa"/>
          </w:tcPr>
          <w:p w14:paraId="35745FF0" w14:textId="77777777" w:rsidR="009F2A5C" w:rsidRPr="002D28AB" w:rsidRDefault="009F2A5C" w:rsidP="004D13DE">
            <w:pPr>
              <w:rPr>
                <w:rFonts w:ascii="Times New Roman" w:hAnsi="Times New Roman" w:cs="Times New Roman"/>
                <w:sz w:val="22"/>
                <w:szCs w:val="22"/>
              </w:rPr>
            </w:pPr>
          </w:p>
        </w:tc>
        <w:tc>
          <w:tcPr>
            <w:tcW w:w="1563" w:type="dxa"/>
          </w:tcPr>
          <w:p w14:paraId="4C915C58" w14:textId="77777777" w:rsidR="009F2A5C" w:rsidRPr="002D28AB" w:rsidRDefault="009F2A5C" w:rsidP="004D13DE">
            <w:pPr>
              <w:rPr>
                <w:rFonts w:ascii="Times New Roman" w:hAnsi="Times New Roman" w:cs="Times New Roman"/>
                <w:sz w:val="22"/>
                <w:szCs w:val="22"/>
              </w:rPr>
            </w:pPr>
          </w:p>
        </w:tc>
        <w:tc>
          <w:tcPr>
            <w:tcW w:w="1516" w:type="dxa"/>
          </w:tcPr>
          <w:p w14:paraId="7F9073D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IS11</w:t>
            </w:r>
          </w:p>
        </w:tc>
        <w:tc>
          <w:tcPr>
            <w:tcW w:w="1420" w:type="dxa"/>
          </w:tcPr>
          <w:p w14:paraId="63B99B3B" w14:textId="77777777" w:rsidR="009F2A5C" w:rsidRPr="002D28AB" w:rsidRDefault="009F2A5C" w:rsidP="004D13DE">
            <w:pPr>
              <w:rPr>
                <w:rFonts w:ascii="Times New Roman" w:hAnsi="Times New Roman" w:cs="Times New Roman"/>
                <w:sz w:val="22"/>
                <w:szCs w:val="22"/>
              </w:rPr>
            </w:pPr>
          </w:p>
        </w:tc>
      </w:tr>
      <w:tr w:rsidR="009F2A5C" w:rsidRPr="002D28AB" w14:paraId="1B6CFE64" w14:textId="77777777" w:rsidTr="004D13DE">
        <w:tc>
          <w:tcPr>
            <w:tcW w:w="1403" w:type="dxa"/>
          </w:tcPr>
          <w:p w14:paraId="27E61B5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C3</w:t>
            </w:r>
          </w:p>
        </w:tc>
        <w:tc>
          <w:tcPr>
            <w:tcW w:w="1688" w:type="dxa"/>
          </w:tcPr>
          <w:p w14:paraId="41B4E61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training coverage</w:t>
            </w:r>
          </w:p>
        </w:tc>
        <w:tc>
          <w:tcPr>
            <w:tcW w:w="1420" w:type="dxa"/>
          </w:tcPr>
          <w:p w14:paraId="53EC3E13" w14:textId="77777777" w:rsidR="009F2A5C" w:rsidRPr="002D28AB" w:rsidRDefault="009F2A5C" w:rsidP="004D13DE">
            <w:pPr>
              <w:rPr>
                <w:rFonts w:ascii="Times New Roman" w:hAnsi="Times New Roman" w:cs="Times New Roman"/>
                <w:sz w:val="22"/>
                <w:szCs w:val="22"/>
              </w:rPr>
            </w:pPr>
          </w:p>
        </w:tc>
        <w:tc>
          <w:tcPr>
            <w:tcW w:w="1563" w:type="dxa"/>
          </w:tcPr>
          <w:p w14:paraId="29163572" w14:textId="77777777" w:rsidR="009F2A5C" w:rsidRPr="002D28AB" w:rsidRDefault="009F2A5C" w:rsidP="004D13DE">
            <w:pPr>
              <w:rPr>
                <w:rFonts w:ascii="Times New Roman" w:hAnsi="Times New Roman" w:cs="Times New Roman"/>
                <w:sz w:val="22"/>
                <w:szCs w:val="22"/>
              </w:rPr>
            </w:pPr>
          </w:p>
        </w:tc>
        <w:tc>
          <w:tcPr>
            <w:tcW w:w="1516" w:type="dxa"/>
          </w:tcPr>
          <w:p w14:paraId="540D286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IS23, IS33</w:t>
            </w:r>
          </w:p>
        </w:tc>
        <w:tc>
          <w:tcPr>
            <w:tcW w:w="1420" w:type="dxa"/>
          </w:tcPr>
          <w:p w14:paraId="17D32CDE" w14:textId="77777777" w:rsidR="009F2A5C" w:rsidRPr="002D28AB" w:rsidRDefault="009F2A5C" w:rsidP="004D13DE">
            <w:pPr>
              <w:rPr>
                <w:rFonts w:ascii="Times New Roman" w:hAnsi="Times New Roman" w:cs="Times New Roman"/>
                <w:sz w:val="22"/>
                <w:szCs w:val="22"/>
              </w:rPr>
            </w:pPr>
          </w:p>
        </w:tc>
      </w:tr>
      <w:tr w:rsidR="009F2A5C" w:rsidRPr="002D28AB" w14:paraId="149C7E5F" w14:textId="77777777" w:rsidTr="004D13DE">
        <w:tc>
          <w:tcPr>
            <w:tcW w:w="1403" w:type="dxa"/>
          </w:tcPr>
          <w:p w14:paraId="3F680F9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C11</w:t>
            </w:r>
          </w:p>
        </w:tc>
        <w:tc>
          <w:tcPr>
            <w:tcW w:w="1688" w:type="dxa"/>
          </w:tcPr>
          <w:p w14:paraId="162A850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automation</w:t>
            </w:r>
          </w:p>
        </w:tc>
        <w:tc>
          <w:tcPr>
            <w:tcW w:w="1420" w:type="dxa"/>
          </w:tcPr>
          <w:p w14:paraId="783DEC00" w14:textId="77777777" w:rsidR="009F2A5C" w:rsidRPr="002D28AB" w:rsidRDefault="009F2A5C" w:rsidP="004D13DE">
            <w:pPr>
              <w:rPr>
                <w:rFonts w:ascii="Times New Roman" w:hAnsi="Times New Roman" w:cs="Times New Roman"/>
                <w:sz w:val="22"/>
                <w:szCs w:val="22"/>
              </w:rPr>
            </w:pPr>
          </w:p>
        </w:tc>
        <w:tc>
          <w:tcPr>
            <w:tcW w:w="1563" w:type="dxa"/>
          </w:tcPr>
          <w:p w14:paraId="7A93BE5F" w14:textId="77777777" w:rsidR="009F2A5C" w:rsidRPr="002D28AB" w:rsidRDefault="009F2A5C" w:rsidP="004D13DE">
            <w:pPr>
              <w:rPr>
                <w:rFonts w:ascii="Times New Roman" w:hAnsi="Times New Roman" w:cs="Times New Roman"/>
                <w:sz w:val="22"/>
                <w:szCs w:val="22"/>
              </w:rPr>
            </w:pPr>
          </w:p>
        </w:tc>
        <w:tc>
          <w:tcPr>
            <w:tcW w:w="1516" w:type="dxa"/>
          </w:tcPr>
          <w:p w14:paraId="10FB44D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IS22, IS36, IS42</w:t>
            </w:r>
          </w:p>
        </w:tc>
        <w:tc>
          <w:tcPr>
            <w:tcW w:w="1420" w:type="dxa"/>
          </w:tcPr>
          <w:p w14:paraId="128BB49C" w14:textId="77777777" w:rsidR="009F2A5C" w:rsidRPr="002D28AB" w:rsidRDefault="009F2A5C" w:rsidP="004D13DE">
            <w:pPr>
              <w:rPr>
                <w:rFonts w:ascii="Times New Roman" w:hAnsi="Times New Roman" w:cs="Times New Roman"/>
                <w:sz w:val="22"/>
                <w:szCs w:val="22"/>
              </w:rPr>
            </w:pPr>
          </w:p>
        </w:tc>
      </w:tr>
      <w:tr w:rsidR="009F2A5C" w:rsidRPr="002D28AB" w14:paraId="52EED324" w14:textId="77777777" w:rsidTr="004D13DE">
        <w:tc>
          <w:tcPr>
            <w:tcW w:w="1403" w:type="dxa"/>
          </w:tcPr>
          <w:p w14:paraId="52A8B0B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O1</w:t>
            </w:r>
          </w:p>
        </w:tc>
        <w:tc>
          <w:tcPr>
            <w:tcW w:w="1688" w:type="dxa"/>
          </w:tcPr>
          <w:p w14:paraId="2C9145A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Safety culture support</w:t>
            </w:r>
          </w:p>
        </w:tc>
        <w:tc>
          <w:tcPr>
            <w:tcW w:w="1420" w:type="dxa"/>
          </w:tcPr>
          <w:p w14:paraId="5C29452C" w14:textId="77777777" w:rsidR="009F2A5C" w:rsidRPr="002D28AB" w:rsidRDefault="009F2A5C" w:rsidP="004D13DE">
            <w:pPr>
              <w:rPr>
                <w:rFonts w:ascii="Times New Roman" w:hAnsi="Times New Roman" w:cs="Times New Roman"/>
                <w:sz w:val="22"/>
                <w:szCs w:val="22"/>
              </w:rPr>
            </w:pPr>
          </w:p>
        </w:tc>
        <w:tc>
          <w:tcPr>
            <w:tcW w:w="1563" w:type="dxa"/>
          </w:tcPr>
          <w:p w14:paraId="364F8359" w14:textId="77777777" w:rsidR="009F2A5C" w:rsidRPr="002D28AB" w:rsidRDefault="009F2A5C" w:rsidP="004D13DE">
            <w:pPr>
              <w:rPr>
                <w:rFonts w:ascii="Times New Roman" w:hAnsi="Times New Roman" w:cs="Times New Roman"/>
                <w:sz w:val="22"/>
                <w:szCs w:val="22"/>
              </w:rPr>
            </w:pPr>
          </w:p>
        </w:tc>
        <w:tc>
          <w:tcPr>
            <w:tcW w:w="1516" w:type="dxa"/>
          </w:tcPr>
          <w:p w14:paraId="236EC96C" w14:textId="77777777" w:rsidR="009F2A5C" w:rsidRPr="002D28AB" w:rsidRDefault="009F2A5C" w:rsidP="004D13DE">
            <w:pPr>
              <w:rPr>
                <w:rFonts w:ascii="Times New Roman" w:hAnsi="Times New Roman" w:cs="Times New Roman"/>
                <w:sz w:val="22"/>
                <w:szCs w:val="22"/>
              </w:rPr>
            </w:pPr>
          </w:p>
        </w:tc>
        <w:tc>
          <w:tcPr>
            <w:tcW w:w="1420" w:type="dxa"/>
          </w:tcPr>
          <w:p w14:paraId="6C31F0C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IS35, IS64</w:t>
            </w:r>
          </w:p>
        </w:tc>
      </w:tr>
      <w:tr w:rsidR="009F2A5C" w:rsidRPr="002D28AB" w14:paraId="58E9D1E6" w14:textId="77777777" w:rsidTr="004D13DE">
        <w:tc>
          <w:tcPr>
            <w:tcW w:w="1403" w:type="dxa"/>
          </w:tcPr>
          <w:p w14:paraId="2F26E59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O2</w:t>
            </w:r>
          </w:p>
        </w:tc>
        <w:tc>
          <w:tcPr>
            <w:tcW w:w="1688" w:type="dxa"/>
          </w:tcPr>
          <w:p w14:paraId="0243BA9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Cross-department collaboration mechanisms</w:t>
            </w:r>
          </w:p>
        </w:tc>
        <w:tc>
          <w:tcPr>
            <w:tcW w:w="1420" w:type="dxa"/>
          </w:tcPr>
          <w:p w14:paraId="7B58E9D2" w14:textId="77777777" w:rsidR="009F2A5C" w:rsidRPr="002D28AB" w:rsidRDefault="009F2A5C" w:rsidP="004D13DE">
            <w:pPr>
              <w:rPr>
                <w:rFonts w:ascii="Times New Roman" w:hAnsi="Times New Roman" w:cs="Times New Roman"/>
                <w:sz w:val="22"/>
                <w:szCs w:val="22"/>
              </w:rPr>
            </w:pPr>
          </w:p>
        </w:tc>
        <w:tc>
          <w:tcPr>
            <w:tcW w:w="1563" w:type="dxa"/>
          </w:tcPr>
          <w:p w14:paraId="1D0F1062" w14:textId="77777777" w:rsidR="009F2A5C" w:rsidRPr="002D28AB" w:rsidRDefault="009F2A5C" w:rsidP="004D13DE">
            <w:pPr>
              <w:rPr>
                <w:rFonts w:ascii="Times New Roman" w:hAnsi="Times New Roman" w:cs="Times New Roman"/>
                <w:sz w:val="22"/>
                <w:szCs w:val="22"/>
              </w:rPr>
            </w:pPr>
          </w:p>
        </w:tc>
        <w:tc>
          <w:tcPr>
            <w:tcW w:w="1516" w:type="dxa"/>
          </w:tcPr>
          <w:p w14:paraId="65F44A27" w14:textId="77777777" w:rsidR="009F2A5C" w:rsidRPr="002D28AB" w:rsidRDefault="009F2A5C" w:rsidP="004D13DE">
            <w:pPr>
              <w:rPr>
                <w:rFonts w:ascii="Times New Roman" w:hAnsi="Times New Roman" w:cs="Times New Roman"/>
                <w:sz w:val="22"/>
                <w:szCs w:val="22"/>
              </w:rPr>
            </w:pPr>
          </w:p>
        </w:tc>
        <w:tc>
          <w:tcPr>
            <w:tcW w:w="1420" w:type="dxa"/>
          </w:tcPr>
          <w:p w14:paraId="67CDB01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IS12, IS26</w:t>
            </w:r>
          </w:p>
        </w:tc>
      </w:tr>
      <w:tr w:rsidR="009F2A5C" w:rsidRPr="002D28AB" w14:paraId="7C4391C1" w14:textId="77777777" w:rsidTr="004D13DE">
        <w:tc>
          <w:tcPr>
            <w:tcW w:w="1403" w:type="dxa"/>
          </w:tcPr>
          <w:p w14:paraId="1D26597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O3</w:t>
            </w:r>
          </w:p>
        </w:tc>
        <w:tc>
          <w:tcPr>
            <w:tcW w:w="1688" w:type="dxa"/>
          </w:tcPr>
          <w:p w14:paraId="63422BA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Management support level</w:t>
            </w:r>
          </w:p>
        </w:tc>
        <w:tc>
          <w:tcPr>
            <w:tcW w:w="1420" w:type="dxa"/>
          </w:tcPr>
          <w:p w14:paraId="7C926DB3" w14:textId="77777777" w:rsidR="009F2A5C" w:rsidRPr="002D28AB" w:rsidRDefault="009F2A5C" w:rsidP="004D13DE">
            <w:pPr>
              <w:rPr>
                <w:rFonts w:ascii="Times New Roman" w:hAnsi="Times New Roman" w:cs="Times New Roman"/>
                <w:sz w:val="22"/>
                <w:szCs w:val="22"/>
              </w:rPr>
            </w:pPr>
          </w:p>
        </w:tc>
        <w:tc>
          <w:tcPr>
            <w:tcW w:w="1563" w:type="dxa"/>
          </w:tcPr>
          <w:p w14:paraId="188774C6" w14:textId="77777777" w:rsidR="009F2A5C" w:rsidRPr="002D28AB" w:rsidRDefault="009F2A5C" w:rsidP="004D13DE">
            <w:pPr>
              <w:rPr>
                <w:rFonts w:ascii="Times New Roman" w:hAnsi="Times New Roman" w:cs="Times New Roman"/>
                <w:sz w:val="22"/>
                <w:szCs w:val="22"/>
              </w:rPr>
            </w:pPr>
          </w:p>
        </w:tc>
        <w:tc>
          <w:tcPr>
            <w:tcW w:w="1516" w:type="dxa"/>
          </w:tcPr>
          <w:p w14:paraId="1F979671" w14:textId="77777777" w:rsidR="009F2A5C" w:rsidRPr="002D28AB" w:rsidRDefault="009F2A5C" w:rsidP="004D13DE">
            <w:pPr>
              <w:rPr>
                <w:rFonts w:ascii="Times New Roman" w:hAnsi="Times New Roman" w:cs="Times New Roman"/>
                <w:sz w:val="22"/>
                <w:szCs w:val="22"/>
              </w:rPr>
            </w:pPr>
          </w:p>
        </w:tc>
        <w:tc>
          <w:tcPr>
            <w:tcW w:w="1420" w:type="dxa"/>
          </w:tcPr>
          <w:p w14:paraId="15731D9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IS26</w:t>
            </w:r>
          </w:p>
        </w:tc>
      </w:tr>
      <w:tr w:rsidR="009F2A5C" w:rsidRPr="002D28AB" w14:paraId="7FC1EEC8" w14:textId="77777777" w:rsidTr="004D13DE">
        <w:tc>
          <w:tcPr>
            <w:tcW w:w="1403" w:type="dxa"/>
          </w:tcPr>
          <w:p w14:paraId="473BA02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O4</w:t>
            </w:r>
          </w:p>
        </w:tc>
        <w:tc>
          <w:tcPr>
            <w:tcW w:w="1688" w:type="dxa"/>
          </w:tcPr>
          <w:p w14:paraId="557B1E7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Technical support quality</w:t>
            </w:r>
          </w:p>
        </w:tc>
        <w:tc>
          <w:tcPr>
            <w:tcW w:w="1420" w:type="dxa"/>
          </w:tcPr>
          <w:p w14:paraId="6F4D1E43" w14:textId="77777777" w:rsidR="009F2A5C" w:rsidRPr="002D28AB" w:rsidRDefault="009F2A5C" w:rsidP="004D13DE">
            <w:pPr>
              <w:rPr>
                <w:rFonts w:ascii="Times New Roman" w:hAnsi="Times New Roman" w:cs="Times New Roman"/>
                <w:sz w:val="22"/>
                <w:szCs w:val="22"/>
              </w:rPr>
            </w:pPr>
          </w:p>
        </w:tc>
        <w:tc>
          <w:tcPr>
            <w:tcW w:w="1563" w:type="dxa"/>
          </w:tcPr>
          <w:p w14:paraId="7C8ED869" w14:textId="77777777" w:rsidR="009F2A5C" w:rsidRPr="002D28AB" w:rsidRDefault="009F2A5C" w:rsidP="004D13DE">
            <w:pPr>
              <w:rPr>
                <w:rFonts w:ascii="Times New Roman" w:hAnsi="Times New Roman" w:cs="Times New Roman"/>
                <w:sz w:val="22"/>
                <w:szCs w:val="22"/>
              </w:rPr>
            </w:pPr>
          </w:p>
        </w:tc>
        <w:tc>
          <w:tcPr>
            <w:tcW w:w="1516" w:type="dxa"/>
          </w:tcPr>
          <w:p w14:paraId="0F113FE4" w14:textId="77777777" w:rsidR="009F2A5C" w:rsidRPr="002D28AB" w:rsidRDefault="009F2A5C" w:rsidP="004D13DE">
            <w:pPr>
              <w:rPr>
                <w:rFonts w:ascii="Times New Roman" w:hAnsi="Times New Roman" w:cs="Times New Roman"/>
                <w:sz w:val="22"/>
                <w:szCs w:val="22"/>
              </w:rPr>
            </w:pPr>
          </w:p>
        </w:tc>
        <w:tc>
          <w:tcPr>
            <w:tcW w:w="1420" w:type="dxa"/>
          </w:tcPr>
          <w:p w14:paraId="23CCB82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IS26</w:t>
            </w:r>
          </w:p>
        </w:tc>
      </w:tr>
      <w:tr w:rsidR="009F2A5C" w:rsidRPr="002D28AB" w14:paraId="0728E621" w14:textId="77777777" w:rsidTr="004D13DE">
        <w:tc>
          <w:tcPr>
            <w:tcW w:w="1403" w:type="dxa"/>
          </w:tcPr>
          <w:p w14:paraId="4DF2727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O5</w:t>
            </w:r>
          </w:p>
        </w:tc>
        <w:tc>
          <w:tcPr>
            <w:tcW w:w="1688" w:type="dxa"/>
          </w:tcPr>
          <w:p w14:paraId="691DB97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Workflow standardization</w:t>
            </w:r>
          </w:p>
        </w:tc>
        <w:tc>
          <w:tcPr>
            <w:tcW w:w="1420" w:type="dxa"/>
          </w:tcPr>
          <w:p w14:paraId="3460BE3B" w14:textId="77777777" w:rsidR="009F2A5C" w:rsidRPr="002D28AB" w:rsidRDefault="009F2A5C" w:rsidP="004D13DE">
            <w:pPr>
              <w:rPr>
                <w:rFonts w:ascii="Times New Roman" w:hAnsi="Times New Roman" w:cs="Times New Roman"/>
                <w:sz w:val="22"/>
                <w:szCs w:val="22"/>
              </w:rPr>
            </w:pPr>
          </w:p>
        </w:tc>
        <w:tc>
          <w:tcPr>
            <w:tcW w:w="1563" w:type="dxa"/>
          </w:tcPr>
          <w:p w14:paraId="7E6EB984" w14:textId="77777777" w:rsidR="009F2A5C" w:rsidRPr="002D28AB" w:rsidRDefault="009F2A5C" w:rsidP="004D13DE">
            <w:pPr>
              <w:rPr>
                <w:rFonts w:ascii="Times New Roman" w:hAnsi="Times New Roman" w:cs="Times New Roman"/>
                <w:sz w:val="22"/>
                <w:szCs w:val="22"/>
              </w:rPr>
            </w:pPr>
          </w:p>
        </w:tc>
        <w:tc>
          <w:tcPr>
            <w:tcW w:w="1516" w:type="dxa"/>
          </w:tcPr>
          <w:p w14:paraId="78D00638" w14:textId="77777777" w:rsidR="009F2A5C" w:rsidRPr="002D28AB" w:rsidRDefault="009F2A5C" w:rsidP="004D13DE">
            <w:pPr>
              <w:rPr>
                <w:rFonts w:ascii="Times New Roman" w:hAnsi="Times New Roman" w:cs="Times New Roman"/>
                <w:sz w:val="22"/>
                <w:szCs w:val="22"/>
              </w:rPr>
            </w:pPr>
          </w:p>
        </w:tc>
        <w:tc>
          <w:tcPr>
            <w:tcW w:w="1420" w:type="dxa"/>
          </w:tcPr>
          <w:p w14:paraId="5F8B898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IS47, IS63</w:t>
            </w:r>
          </w:p>
        </w:tc>
      </w:tr>
      <w:tr w:rsidR="009F2A5C" w:rsidRPr="002D28AB" w14:paraId="0EA803A8" w14:textId="77777777" w:rsidTr="004D13DE">
        <w:tc>
          <w:tcPr>
            <w:tcW w:w="1403" w:type="dxa"/>
          </w:tcPr>
          <w:p w14:paraId="471135C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C5</w:t>
            </w:r>
          </w:p>
        </w:tc>
        <w:tc>
          <w:tcPr>
            <w:tcW w:w="1688" w:type="dxa"/>
          </w:tcPr>
          <w:p w14:paraId="7A4949E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Technology acceptance</w:t>
            </w:r>
          </w:p>
        </w:tc>
        <w:tc>
          <w:tcPr>
            <w:tcW w:w="1420" w:type="dxa"/>
          </w:tcPr>
          <w:p w14:paraId="68A4A2EA" w14:textId="77777777" w:rsidR="009F2A5C" w:rsidRPr="002D28AB" w:rsidRDefault="009F2A5C" w:rsidP="004D13DE">
            <w:pPr>
              <w:rPr>
                <w:rFonts w:ascii="Times New Roman" w:hAnsi="Times New Roman" w:cs="Times New Roman"/>
                <w:sz w:val="22"/>
                <w:szCs w:val="22"/>
              </w:rPr>
            </w:pPr>
          </w:p>
        </w:tc>
        <w:tc>
          <w:tcPr>
            <w:tcW w:w="1563" w:type="dxa"/>
          </w:tcPr>
          <w:p w14:paraId="0F0AEB37" w14:textId="77777777" w:rsidR="009F2A5C" w:rsidRPr="002D28AB" w:rsidRDefault="009F2A5C" w:rsidP="004D13DE">
            <w:pPr>
              <w:rPr>
                <w:rFonts w:ascii="Times New Roman" w:hAnsi="Times New Roman" w:cs="Times New Roman"/>
                <w:sz w:val="22"/>
                <w:szCs w:val="22"/>
              </w:rPr>
            </w:pPr>
          </w:p>
        </w:tc>
        <w:tc>
          <w:tcPr>
            <w:tcW w:w="1516" w:type="dxa"/>
          </w:tcPr>
          <w:p w14:paraId="30EE484A" w14:textId="77777777" w:rsidR="009F2A5C" w:rsidRPr="002D28AB" w:rsidRDefault="009F2A5C" w:rsidP="004D13DE">
            <w:pPr>
              <w:rPr>
                <w:rFonts w:ascii="Times New Roman" w:hAnsi="Times New Roman" w:cs="Times New Roman"/>
                <w:sz w:val="22"/>
                <w:szCs w:val="22"/>
              </w:rPr>
            </w:pPr>
          </w:p>
        </w:tc>
        <w:tc>
          <w:tcPr>
            <w:tcW w:w="1420" w:type="dxa"/>
          </w:tcPr>
          <w:p w14:paraId="4058184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IS14</w:t>
            </w:r>
          </w:p>
        </w:tc>
      </w:tr>
      <w:tr w:rsidR="009F2A5C" w:rsidRPr="002D28AB" w14:paraId="277205FD" w14:textId="77777777" w:rsidTr="004D13DE">
        <w:tc>
          <w:tcPr>
            <w:tcW w:w="1403" w:type="dxa"/>
          </w:tcPr>
          <w:p w14:paraId="5EA10FC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C8</w:t>
            </w:r>
          </w:p>
        </w:tc>
        <w:tc>
          <w:tcPr>
            <w:tcW w:w="1688" w:type="dxa"/>
          </w:tcPr>
          <w:p w14:paraId="63E75DF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Error frequency</w:t>
            </w:r>
          </w:p>
        </w:tc>
        <w:tc>
          <w:tcPr>
            <w:tcW w:w="1420" w:type="dxa"/>
          </w:tcPr>
          <w:p w14:paraId="3E0DE085" w14:textId="77777777" w:rsidR="009F2A5C" w:rsidRPr="002D28AB" w:rsidRDefault="009F2A5C" w:rsidP="004D13DE">
            <w:pPr>
              <w:rPr>
                <w:rFonts w:ascii="Times New Roman" w:hAnsi="Times New Roman" w:cs="Times New Roman"/>
                <w:sz w:val="22"/>
                <w:szCs w:val="22"/>
              </w:rPr>
            </w:pPr>
          </w:p>
        </w:tc>
        <w:tc>
          <w:tcPr>
            <w:tcW w:w="1563" w:type="dxa"/>
          </w:tcPr>
          <w:p w14:paraId="356B22D6" w14:textId="77777777" w:rsidR="009F2A5C" w:rsidRPr="002D28AB" w:rsidRDefault="009F2A5C" w:rsidP="004D13DE">
            <w:pPr>
              <w:rPr>
                <w:rFonts w:ascii="Times New Roman" w:hAnsi="Times New Roman" w:cs="Times New Roman"/>
                <w:sz w:val="22"/>
                <w:szCs w:val="22"/>
              </w:rPr>
            </w:pPr>
          </w:p>
        </w:tc>
        <w:tc>
          <w:tcPr>
            <w:tcW w:w="1516" w:type="dxa"/>
          </w:tcPr>
          <w:p w14:paraId="6A244162" w14:textId="77777777" w:rsidR="009F2A5C" w:rsidRPr="002D28AB" w:rsidRDefault="009F2A5C" w:rsidP="004D13DE">
            <w:pPr>
              <w:rPr>
                <w:rFonts w:ascii="Times New Roman" w:hAnsi="Times New Roman" w:cs="Times New Roman"/>
                <w:sz w:val="22"/>
                <w:szCs w:val="22"/>
              </w:rPr>
            </w:pPr>
          </w:p>
        </w:tc>
        <w:tc>
          <w:tcPr>
            <w:tcW w:w="1420" w:type="dxa"/>
          </w:tcPr>
          <w:p w14:paraId="0BED3E0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IS10, IS64</w:t>
            </w:r>
          </w:p>
        </w:tc>
      </w:tr>
      <w:tr w:rsidR="009F2A5C" w:rsidRPr="002D28AB" w14:paraId="0D370BE3" w14:textId="77777777" w:rsidTr="004D13DE">
        <w:tc>
          <w:tcPr>
            <w:tcW w:w="1403" w:type="dxa"/>
          </w:tcPr>
          <w:p w14:paraId="5C5C742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C9</w:t>
            </w:r>
          </w:p>
        </w:tc>
        <w:tc>
          <w:tcPr>
            <w:tcW w:w="1688" w:type="dxa"/>
          </w:tcPr>
          <w:p w14:paraId="61E0F3A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Occupational burnout</w:t>
            </w:r>
          </w:p>
        </w:tc>
        <w:tc>
          <w:tcPr>
            <w:tcW w:w="1420" w:type="dxa"/>
          </w:tcPr>
          <w:p w14:paraId="0DF12930" w14:textId="77777777" w:rsidR="009F2A5C" w:rsidRPr="002D28AB" w:rsidRDefault="009F2A5C" w:rsidP="004D13DE">
            <w:pPr>
              <w:rPr>
                <w:rFonts w:ascii="Times New Roman" w:hAnsi="Times New Roman" w:cs="Times New Roman"/>
                <w:sz w:val="22"/>
                <w:szCs w:val="22"/>
              </w:rPr>
            </w:pPr>
          </w:p>
        </w:tc>
        <w:tc>
          <w:tcPr>
            <w:tcW w:w="1563" w:type="dxa"/>
          </w:tcPr>
          <w:p w14:paraId="77C5DB25" w14:textId="77777777" w:rsidR="009F2A5C" w:rsidRPr="002D28AB" w:rsidRDefault="009F2A5C" w:rsidP="004D13DE">
            <w:pPr>
              <w:rPr>
                <w:rFonts w:ascii="Times New Roman" w:hAnsi="Times New Roman" w:cs="Times New Roman"/>
                <w:sz w:val="22"/>
                <w:szCs w:val="22"/>
              </w:rPr>
            </w:pPr>
          </w:p>
        </w:tc>
        <w:tc>
          <w:tcPr>
            <w:tcW w:w="1516" w:type="dxa"/>
          </w:tcPr>
          <w:p w14:paraId="7C7509EE" w14:textId="77777777" w:rsidR="009F2A5C" w:rsidRPr="002D28AB" w:rsidRDefault="009F2A5C" w:rsidP="004D13DE">
            <w:pPr>
              <w:rPr>
                <w:rFonts w:ascii="Times New Roman" w:hAnsi="Times New Roman" w:cs="Times New Roman"/>
                <w:sz w:val="22"/>
                <w:szCs w:val="22"/>
              </w:rPr>
            </w:pPr>
          </w:p>
        </w:tc>
        <w:tc>
          <w:tcPr>
            <w:tcW w:w="1420" w:type="dxa"/>
          </w:tcPr>
          <w:p w14:paraId="310AFA7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IS18, IS65</w:t>
            </w:r>
          </w:p>
        </w:tc>
      </w:tr>
      <w:tr w:rsidR="009F2A5C" w:rsidRPr="002D28AB" w14:paraId="678DDE26" w14:textId="77777777" w:rsidTr="004D13DE">
        <w:tc>
          <w:tcPr>
            <w:tcW w:w="1403" w:type="dxa"/>
          </w:tcPr>
          <w:p w14:paraId="13CFAB7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C10</w:t>
            </w:r>
          </w:p>
        </w:tc>
        <w:tc>
          <w:tcPr>
            <w:tcW w:w="1688" w:type="dxa"/>
          </w:tcPr>
          <w:p w14:paraId="20F241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AI augmentation of decision-making</w:t>
            </w:r>
          </w:p>
        </w:tc>
        <w:tc>
          <w:tcPr>
            <w:tcW w:w="1420" w:type="dxa"/>
          </w:tcPr>
          <w:p w14:paraId="08B4D3D4" w14:textId="77777777" w:rsidR="009F2A5C" w:rsidRPr="002D28AB" w:rsidRDefault="009F2A5C" w:rsidP="004D13DE">
            <w:pPr>
              <w:rPr>
                <w:rFonts w:ascii="Times New Roman" w:hAnsi="Times New Roman" w:cs="Times New Roman"/>
                <w:sz w:val="22"/>
                <w:szCs w:val="22"/>
              </w:rPr>
            </w:pPr>
          </w:p>
        </w:tc>
        <w:tc>
          <w:tcPr>
            <w:tcW w:w="1563" w:type="dxa"/>
          </w:tcPr>
          <w:p w14:paraId="1C2F2749" w14:textId="77777777" w:rsidR="009F2A5C" w:rsidRPr="002D28AB" w:rsidRDefault="009F2A5C" w:rsidP="004D13DE">
            <w:pPr>
              <w:rPr>
                <w:rFonts w:ascii="Times New Roman" w:hAnsi="Times New Roman" w:cs="Times New Roman"/>
                <w:sz w:val="22"/>
                <w:szCs w:val="22"/>
              </w:rPr>
            </w:pPr>
          </w:p>
        </w:tc>
        <w:tc>
          <w:tcPr>
            <w:tcW w:w="1516" w:type="dxa"/>
          </w:tcPr>
          <w:p w14:paraId="5802E8FF" w14:textId="77777777" w:rsidR="009F2A5C" w:rsidRPr="002D28AB" w:rsidRDefault="009F2A5C" w:rsidP="004D13DE">
            <w:pPr>
              <w:rPr>
                <w:rFonts w:ascii="Times New Roman" w:hAnsi="Times New Roman" w:cs="Times New Roman"/>
                <w:sz w:val="22"/>
                <w:szCs w:val="22"/>
              </w:rPr>
            </w:pPr>
          </w:p>
        </w:tc>
        <w:tc>
          <w:tcPr>
            <w:tcW w:w="1420" w:type="dxa"/>
          </w:tcPr>
          <w:p w14:paraId="02B1517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IS36</w:t>
            </w:r>
          </w:p>
        </w:tc>
      </w:tr>
    </w:tbl>
    <w:p w14:paraId="489034F1" w14:textId="77777777" w:rsidR="009F2A5C" w:rsidRPr="002D28AB" w:rsidRDefault="009F2A5C" w:rsidP="009F2A5C">
      <w:pPr>
        <w:ind w:left="440" w:hangingChars="200" w:hanging="440"/>
        <w:rPr>
          <w:rFonts w:ascii="Times New Roman" w:eastAsia="Malgun Gothic" w:hAnsi="Times New Roman" w:cs="Times New Roman"/>
          <w:color w:val="4C94D8"/>
          <w:sz w:val="22"/>
          <w:szCs w:val="22"/>
          <w:lang w:eastAsia="ko-KR"/>
        </w:rPr>
      </w:pPr>
    </w:p>
    <w:p w14:paraId="5F4BE9ED" w14:textId="77777777" w:rsidR="009F2A5C" w:rsidRPr="002D28AB" w:rsidRDefault="009F2A5C" w:rsidP="009F2A5C">
      <w:pPr>
        <w:rPr>
          <w:rFonts w:ascii="Times New Roman" w:eastAsia="Malgun Gothic" w:hAnsi="Times New Roman" w:cs="Times New Roman"/>
          <w:color w:val="4C94D8"/>
          <w:sz w:val="22"/>
          <w:szCs w:val="22"/>
          <w:lang w:eastAsia="ko-KR"/>
        </w:rPr>
      </w:pPr>
      <w:r w:rsidRPr="002D28AB">
        <w:rPr>
          <w:rFonts w:ascii="Times New Roman" w:eastAsia="Malgun Gothic" w:hAnsi="Times New Roman" w:cs="Times New Roman"/>
          <w:color w:val="4C94D8"/>
          <w:sz w:val="22"/>
          <w:szCs w:val="22"/>
          <w:lang w:eastAsia="ko-KR"/>
        </w:rPr>
        <w:br w:type="page"/>
      </w:r>
    </w:p>
    <w:p w14:paraId="7E5A03E8" w14:textId="77777777" w:rsidR="009F2A5C" w:rsidRPr="002D28AB" w:rsidRDefault="009F2A5C" w:rsidP="009F2A5C">
      <w:pPr>
        <w:spacing w:line="480" w:lineRule="auto"/>
        <w:rPr>
          <w:rFonts w:ascii="Times New Roman" w:hAnsi="Times New Roman" w:cs="Times New Roman"/>
          <w:sz w:val="22"/>
          <w:szCs w:val="22"/>
        </w:rPr>
      </w:pPr>
      <w:r w:rsidRPr="002D28AB">
        <w:rPr>
          <w:rFonts w:ascii="Times New Roman" w:hAnsi="Times New Roman" w:cs="Times New Roman"/>
          <w:b/>
          <w:bCs/>
          <w:sz w:val="22"/>
          <w:szCs w:val="22"/>
        </w:rPr>
        <w:lastRenderedPageBreak/>
        <w:t>Table A6.</w:t>
      </w:r>
      <w:r w:rsidRPr="002D28AB">
        <w:rPr>
          <w:rFonts w:ascii="Times New Roman" w:hAnsi="Times New Roman" w:cs="Times New Roman"/>
          <w:sz w:val="22"/>
          <w:szCs w:val="22"/>
        </w:rPr>
        <w:t xml:space="preserve"> Included studies (IS1–IS70).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6120"/>
      </w:tblGrid>
      <w:tr w:rsidR="009F2A5C" w:rsidRPr="002D28AB" w14:paraId="76EDBCCB" w14:textId="77777777" w:rsidTr="004D13DE">
        <w:tc>
          <w:tcPr>
            <w:tcW w:w="2785" w:type="dxa"/>
          </w:tcPr>
          <w:p w14:paraId="5E54E12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Included-study ID</w:t>
            </w:r>
          </w:p>
        </w:tc>
        <w:tc>
          <w:tcPr>
            <w:tcW w:w="6120" w:type="dxa"/>
          </w:tcPr>
          <w:p w14:paraId="794F6BF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b/>
                <w:sz w:val="22"/>
                <w:szCs w:val="22"/>
              </w:rPr>
              <w:t>Short reference (author, year, source)</w:t>
            </w:r>
          </w:p>
        </w:tc>
      </w:tr>
      <w:tr w:rsidR="009F2A5C" w:rsidRPr="002D28AB" w14:paraId="0EEE9EB7" w14:textId="77777777" w:rsidTr="004D13DE">
        <w:tc>
          <w:tcPr>
            <w:tcW w:w="2785" w:type="dxa"/>
          </w:tcPr>
          <w:p w14:paraId="19709E7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w:t>
            </w:r>
          </w:p>
        </w:tc>
        <w:tc>
          <w:tcPr>
            <w:tcW w:w="6120" w:type="dxa"/>
          </w:tcPr>
          <w:p w14:paraId="107C630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Adler-Milstein et al., 2015 (Health Serv Res)</w:t>
            </w:r>
          </w:p>
        </w:tc>
      </w:tr>
      <w:tr w:rsidR="009F2A5C" w:rsidRPr="002D28AB" w14:paraId="4AC6B026" w14:textId="77777777" w:rsidTr="004D13DE">
        <w:tc>
          <w:tcPr>
            <w:tcW w:w="2785" w:type="dxa"/>
          </w:tcPr>
          <w:p w14:paraId="734B904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w:t>
            </w:r>
          </w:p>
        </w:tc>
        <w:tc>
          <w:tcPr>
            <w:tcW w:w="6120" w:type="dxa"/>
          </w:tcPr>
          <w:p w14:paraId="34EB87D4"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Adunlin</w:t>
            </w:r>
            <w:proofErr w:type="spellEnd"/>
            <w:r w:rsidRPr="002D28AB">
              <w:rPr>
                <w:rFonts w:ascii="Times New Roman" w:hAnsi="Times New Roman" w:cs="Times New Roman"/>
                <w:sz w:val="22"/>
                <w:szCs w:val="22"/>
              </w:rPr>
              <w:t xml:space="preserve"> et al., 2015 (Health Expect)</w:t>
            </w:r>
          </w:p>
        </w:tc>
      </w:tr>
      <w:tr w:rsidR="009F2A5C" w:rsidRPr="002D28AB" w14:paraId="594CF5E9" w14:textId="77777777" w:rsidTr="004D13DE">
        <w:tc>
          <w:tcPr>
            <w:tcW w:w="2785" w:type="dxa"/>
          </w:tcPr>
          <w:p w14:paraId="43607D5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w:t>
            </w:r>
          </w:p>
        </w:tc>
        <w:tc>
          <w:tcPr>
            <w:tcW w:w="6120" w:type="dxa"/>
          </w:tcPr>
          <w:p w14:paraId="67B657A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Alexander, 2006 (Nurs Adm Q)</w:t>
            </w:r>
          </w:p>
        </w:tc>
      </w:tr>
      <w:tr w:rsidR="009F2A5C" w:rsidRPr="002D28AB" w14:paraId="08D19BC3" w14:textId="77777777" w:rsidTr="004D13DE">
        <w:tc>
          <w:tcPr>
            <w:tcW w:w="2785" w:type="dxa"/>
          </w:tcPr>
          <w:p w14:paraId="7882C27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w:t>
            </w:r>
          </w:p>
        </w:tc>
        <w:tc>
          <w:tcPr>
            <w:tcW w:w="6120" w:type="dxa"/>
          </w:tcPr>
          <w:p w14:paraId="4B6BFCE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AlSaad et al., 2024 (J Med Internet Res)</w:t>
            </w:r>
          </w:p>
        </w:tc>
      </w:tr>
      <w:tr w:rsidR="009F2A5C" w:rsidRPr="002D28AB" w14:paraId="645A0506" w14:textId="77777777" w:rsidTr="004D13DE">
        <w:tc>
          <w:tcPr>
            <w:tcW w:w="2785" w:type="dxa"/>
          </w:tcPr>
          <w:p w14:paraId="6C512EA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w:t>
            </w:r>
          </w:p>
        </w:tc>
        <w:tc>
          <w:tcPr>
            <w:tcW w:w="6120" w:type="dxa"/>
          </w:tcPr>
          <w:p w14:paraId="017799F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Ancker et al., 2017 (BMC Med Inform </w:t>
            </w:r>
            <w:proofErr w:type="spellStart"/>
            <w:r w:rsidRPr="002D28AB">
              <w:rPr>
                <w:rFonts w:ascii="Times New Roman" w:hAnsi="Times New Roman" w:cs="Times New Roman"/>
                <w:sz w:val="22"/>
                <w:szCs w:val="22"/>
              </w:rPr>
              <w:t>Decis</w:t>
            </w:r>
            <w:proofErr w:type="spellEnd"/>
            <w:r w:rsidRPr="002D28AB">
              <w:rPr>
                <w:rFonts w:ascii="Times New Roman" w:hAnsi="Times New Roman" w:cs="Times New Roman"/>
                <w:sz w:val="22"/>
                <w:szCs w:val="22"/>
              </w:rPr>
              <w:t xml:space="preserve"> Mak)</w:t>
            </w:r>
          </w:p>
        </w:tc>
      </w:tr>
      <w:tr w:rsidR="009F2A5C" w:rsidRPr="002D28AB" w14:paraId="67AF4C38" w14:textId="77777777" w:rsidTr="004D13DE">
        <w:tc>
          <w:tcPr>
            <w:tcW w:w="2785" w:type="dxa"/>
          </w:tcPr>
          <w:p w14:paraId="6C7F99C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w:t>
            </w:r>
          </w:p>
        </w:tc>
        <w:tc>
          <w:tcPr>
            <w:tcW w:w="6120" w:type="dxa"/>
          </w:tcPr>
          <w:p w14:paraId="763B9AD1"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Baysari</w:t>
            </w:r>
            <w:proofErr w:type="spellEnd"/>
            <w:r w:rsidRPr="002D28AB">
              <w:rPr>
                <w:rFonts w:ascii="Times New Roman" w:hAnsi="Times New Roman" w:cs="Times New Roman"/>
                <w:sz w:val="22"/>
                <w:szCs w:val="22"/>
              </w:rPr>
              <w:t xml:space="preserve"> et al., 2011 (JAMIA)</w:t>
            </w:r>
          </w:p>
        </w:tc>
      </w:tr>
      <w:tr w:rsidR="009F2A5C" w:rsidRPr="002D28AB" w14:paraId="4F7E9809" w14:textId="77777777" w:rsidTr="004D13DE">
        <w:tc>
          <w:tcPr>
            <w:tcW w:w="2785" w:type="dxa"/>
          </w:tcPr>
          <w:p w14:paraId="4B0BE9C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IS7</w:t>
            </w:r>
          </w:p>
        </w:tc>
        <w:tc>
          <w:tcPr>
            <w:tcW w:w="6120" w:type="dxa"/>
          </w:tcPr>
          <w:p w14:paraId="2313F3D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Boonstra et al., 2014 (BMC Health Serv Res)</w:t>
            </w:r>
          </w:p>
        </w:tc>
      </w:tr>
      <w:tr w:rsidR="009F2A5C" w:rsidRPr="002D28AB" w14:paraId="1997D30F" w14:textId="77777777" w:rsidTr="004D13DE">
        <w:tc>
          <w:tcPr>
            <w:tcW w:w="2785" w:type="dxa"/>
          </w:tcPr>
          <w:p w14:paraId="469B60B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IS8</w:t>
            </w:r>
          </w:p>
        </w:tc>
        <w:tc>
          <w:tcPr>
            <w:tcW w:w="6120" w:type="dxa"/>
          </w:tcPr>
          <w:p w14:paraId="51D954D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Bowens et al., 2010 (PubMed record)</w:t>
            </w:r>
          </w:p>
        </w:tc>
      </w:tr>
      <w:tr w:rsidR="009F2A5C" w:rsidRPr="002D28AB" w14:paraId="776859EE" w14:textId="77777777" w:rsidTr="004D13DE">
        <w:tc>
          <w:tcPr>
            <w:tcW w:w="2785" w:type="dxa"/>
          </w:tcPr>
          <w:p w14:paraId="7088A6F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IS9</w:t>
            </w:r>
          </w:p>
        </w:tc>
        <w:tc>
          <w:tcPr>
            <w:tcW w:w="6120" w:type="dxa"/>
          </w:tcPr>
          <w:p w14:paraId="457A144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Braun et al., 2020 (J Med Ethics)</w:t>
            </w:r>
          </w:p>
        </w:tc>
      </w:tr>
      <w:tr w:rsidR="009F2A5C" w:rsidRPr="002D28AB" w14:paraId="5E79BAF3" w14:textId="77777777" w:rsidTr="004D13DE">
        <w:tc>
          <w:tcPr>
            <w:tcW w:w="2785" w:type="dxa"/>
          </w:tcPr>
          <w:p w14:paraId="794EE88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IS10</w:t>
            </w:r>
          </w:p>
        </w:tc>
        <w:tc>
          <w:tcPr>
            <w:tcW w:w="6120" w:type="dxa"/>
          </w:tcPr>
          <w:p w14:paraId="633AB68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Campanella et al., 2016 (</w:t>
            </w:r>
            <w:proofErr w:type="spellStart"/>
            <w:r w:rsidRPr="002D28AB">
              <w:rPr>
                <w:rFonts w:ascii="Times New Roman" w:hAnsi="Times New Roman" w:cs="Times New Roman"/>
                <w:sz w:val="22"/>
                <w:szCs w:val="22"/>
              </w:rPr>
              <w:t>Eur</w:t>
            </w:r>
            <w:proofErr w:type="spellEnd"/>
            <w:r w:rsidRPr="002D28AB">
              <w:rPr>
                <w:rFonts w:ascii="Times New Roman" w:hAnsi="Times New Roman" w:cs="Times New Roman"/>
                <w:sz w:val="22"/>
                <w:szCs w:val="22"/>
              </w:rPr>
              <w:t xml:space="preserve"> J Public Health)</w:t>
            </w:r>
          </w:p>
        </w:tc>
      </w:tr>
      <w:tr w:rsidR="009F2A5C" w:rsidRPr="002D28AB" w14:paraId="4BEABA50" w14:textId="77777777" w:rsidTr="004D13DE">
        <w:tc>
          <w:tcPr>
            <w:tcW w:w="2785" w:type="dxa"/>
          </w:tcPr>
          <w:p w14:paraId="7F05EEE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IS11</w:t>
            </w:r>
          </w:p>
        </w:tc>
        <w:tc>
          <w:tcPr>
            <w:tcW w:w="6120" w:type="dxa"/>
          </w:tcPr>
          <w:p w14:paraId="21AB83C4"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Coiera</w:t>
            </w:r>
            <w:proofErr w:type="spellEnd"/>
            <w:r w:rsidRPr="002D28AB">
              <w:rPr>
                <w:rFonts w:ascii="Times New Roman" w:hAnsi="Times New Roman" w:cs="Times New Roman"/>
                <w:sz w:val="22"/>
                <w:szCs w:val="22"/>
              </w:rPr>
              <w:t>, 2000 (JAMIA)</w:t>
            </w:r>
          </w:p>
        </w:tc>
      </w:tr>
      <w:tr w:rsidR="009F2A5C" w:rsidRPr="002D28AB" w14:paraId="04EA0904" w14:textId="77777777" w:rsidTr="004D13DE">
        <w:tc>
          <w:tcPr>
            <w:tcW w:w="2785" w:type="dxa"/>
          </w:tcPr>
          <w:p w14:paraId="06FA6D2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IS12</w:t>
            </w:r>
          </w:p>
        </w:tc>
        <w:tc>
          <w:tcPr>
            <w:tcW w:w="6120" w:type="dxa"/>
          </w:tcPr>
          <w:p w14:paraId="503B103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Cresswell et al., 2012 (BMC Med Inform </w:t>
            </w:r>
            <w:proofErr w:type="spellStart"/>
            <w:r w:rsidRPr="002D28AB">
              <w:rPr>
                <w:rFonts w:ascii="Times New Roman" w:hAnsi="Times New Roman" w:cs="Times New Roman"/>
                <w:sz w:val="22"/>
                <w:szCs w:val="22"/>
              </w:rPr>
              <w:t>Decis</w:t>
            </w:r>
            <w:proofErr w:type="spellEnd"/>
            <w:r w:rsidRPr="002D28AB">
              <w:rPr>
                <w:rFonts w:ascii="Times New Roman" w:hAnsi="Times New Roman" w:cs="Times New Roman"/>
                <w:sz w:val="22"/>
                <w:szCs w:val="22"/>
              </w:rPr>
              <w:t xml:space="preserve"> Mak)</w:t>
            </w:r>
          </w:p>
        </w:tc>
      </w:tr>
      <w:tr w:rsidR="009F2A5C" w:rsidRPr="002D28AB" w14:paraId="4AFF9C87" w14:textId="77777777" w:rsidTr="004D13DE">
        <w:tc>
          <w:tcPr>
            <w:tcW w:w="2785" w:type="dxa"/>
          </w:tcPr>
          <w:p w14:paraId="21689BA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IS13</w:t>
            </w:r>
          </w:p>
        </w:tc>
        <w:tc>
          <w:tcPr>
            <w:tcW w:w="6120" w:type="dxa"/>
          </w:tcPr>
          <w:p w14:paraId="4528D852"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Elendu</w:t>
            </w:r>
            <w:proofErr w:type="spellEnd"/>
            <w:r w:rsidRPr="002D28AB">
              <w:rPr>
                <w:rFonts w:ascii="Times New Roman" w:hAnsi="Times New Roman" w:cs="Times New Roman"/>
                <w:sz w:val="22"/>
                <w:szCs w:val="22"/>
              </w:rPr>
              <w:t xml:space="preserve"> et al., 2023 (Medicine)</w:t>
            </w:r>
          </w:p>
        </w:tc>
      </w:tr>
      <w:tr w:rsidR="009F2A5C" w:rsidRPr="002D28AB" w14:paraId="7807D02D" w14:textId="77777777" w:rsidTr="004D13DE">
        <w:tc>
          <w:tcPr>
            <w:tcW w:w="2785" w:type="dxa"/>
          </w:tcPr>
          <w:p w14:paraId="4B24BF9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IS14</w:t>
            </w:r>
          </w:p>
        </w:tc>
        <w:tc>
          <w:tcPr>
            <w:tcW w:w="6120" w:type="dxa"/>
          </w:tcPr>
          <w:p w14:paraId="5BD791F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Gagnon et al., 2014 (J Biomed Inform)</w:t>
            </w:r>
          </w:p>
        </w:tc>
      </w:tr>
      <w:tr w:rsidR="009F2A5C" w:rsidRPr="002D28AB" w14:paraId="18DCECB2" w14:textId="77777777" w:rsidTr="004D13DE">
        <w:tc>
          <w:tcPr>
            <w:tcW w:w="2785" w:type="dxa"/>
          </w:tcPr>
          <w:p w14:paraId="5ECA3C9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IS15</w:t>
            </w:r>
          </w:p>
        </w:tc>
        <w:tc>
          <w:tcPr>
            <w:tcW w:w="6120" w:type="dxa"/>
          </w:tcPr>
          <w:p w14:paraId="0F8268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Golden et al., 2024 (Health Policy Technol)</w:t>
            </w:r>
          </w:p>
        </w:tc>
      </w:tr>
      <w:tr w:rsidR="009F2A5C" w:rsidRPr="002D28AB" w14:paraId="07EE575E" w14:textId="77777777" w:rsidTr="004D13DE">
        <w:tc>
          <w:tcPr>
            <w:tcW w:w="2785" w:type="dxa"/>
          </w:tcPr>
          <w:p w14:paraId="6E71259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IS16</w:t>
            </w:r>
          </w:p>
        </w:tc>
        <w:tc>
          <w:tcPr>
            <w:tcW w:w="6120" w:type="dxa"/>
          </w:tcPr>
          <w:p w14:paraId="05BB927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Hildt, 2025 (Bioengineering)</w:t>
            </w:r>
          </w:p>
        </w:tc>
      </w:tr>
      <w:tr w:rsidR="009F2A5C" w:rsidRPr="002D28AB" w14:paraId="138A608C" w14:textId="77777777" w:rsidTr="004D13DE">
        <w:tc>
          <w:tcPr>
            <w:tcW w:w="2785" w:type="dxa"/>
          </w:tcPr>
          <w:p w14:paraId="5D9A61D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IS17</w:t>
            </w:r>
          </w:p>
        </w:tc>
        <w:tc>
          <w:tcPr>
            <w:tcW w:w="6120" w:type="dxa"/>
          </w:tcPr>
          <w:p w14:paraId="06A8C49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Holden &amp; Karsh, 2010 (J Biomed Inform)</w:t>
            </w:r>
          </w:p>
        </w:tc>
      </w:tr>
      <w:tr w:rsidR="009F2A5C" w:rsidRPr="002D28AB" w14:paraId="7528F197" w14:textId="77777777" w:rsidTr="004D13DE">
        <w:tc>
          <w:tcPr>
            <w:tcW w:w="2785" w:type="dxa"/>
          </w:tcPr>
          <w:p w14:paraId="3EA69B3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IS18</w:t>
            </w:r>
          </w:p>
        </w:tc>
        <w:tc>
          <w:tcPr>
            <w:tcW w:w="6120" w:type="dxa"/>
          </w:tcPr>
          <w:p w14:paraId="189DB4A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Holmgren et al., 2024 (JAMA </w:t>
            </w:r>
            <w:proofErr w:type="spellStart"/>
            <w:r w:rsidRPr="002D28AB">
              <w:rPr>
                <w:rFonts w:ascii="Times New Roman" w:hAnsi="Times New Roman" w:cs="Times New Roman"/>
                <w:sz w:val="22"/>
                <w:szCs w:val="22"/>
              </w:rPr>
              <w:t>Netw</w:t>
            </w:r>
            <w:proofErr w:type="spellEnd"/>
            <w:r w:rsidRPr="002D28AB">
              <w:rPr>
                <w:rFonts w:ascii="Times New Roman" w:hAnsi="Times New Roman" w:cs="Times New Roman"/>
                <w:sz w:val="22"/>
                <w:szCs w:val="22"/>
              </w:rPr>
              <w:t xml:space="preserve"> Open)</w:t>
            </w:r>
          </w:p>
        </w:tc>
      </w:tr>
      <w:tr w:rsidR="009F2A5C" w:rsidRPr="002D28AB" w14:paraId="673DD687" w14:textId="77777777" w:rsidTr="004D13DE">
        <w:tc>
          <w:tcPr>
            <w:tcW w:w="2785" w:type="dxa"/>
          </w:tcPr>
          <w:p w14:paraId="3EC9162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IS19</w:t>
            </w:r>
          </w:p>
        </w:tc>
        <w:tc>
          <w:tcPr>
            <w:tcW w:w="6120" w:type="dxa"/>
          </w:tcPr>
          <w:p w14:paraId="4363D06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Hosseini </w:t>
            </w:r>
            <w:proofErr w:type="spellStart"/>
            <w:r w:rsidRPr="002D28AB">
              <w:rPr>
                <w:rFonts w:ascii="Times New Roman" w:hAnsi="Times New Roman" w:cs="Times New Roman"/>
                <w:sz w:val="22"/>
                <w:szCs w:val="22"/>
              </w:rPr>
              <w:t>Dolatabad</w:t>
            </w:r>
            <w:proofErr w:type="spellEnd"/>
            <w:r w:rsidRPr="002D28AB">
              <w:rPr>
                <w:rFonts w:ascii="Times New Roman" w:hAnsi="Times New Roman" w:cs="Times New Roman"/>
                <w:sz w:val="22"/>
                <w:szCs w:val="22"/>
              </w:rPr>
              <w:t xml:space="preserve"> et al., 2022 (Environ Dev Sustain)</w:t>
            </w:r>
          </w:p>
        </w:tc>
      </w:tr>
      <w:tr w:rsidR="009F2A5C" w:rsidRPr="002D28AB" w14:paraId="21333DBD" w14:textId="77777777" w:rsidTr="004D13DE">
        <w:tc>
          <w:tcPr>
            <w:tcW w:w="2785" w:type="dxa"/>
          </w:tcPr>
          <w:p w14:paraId="4A5BE93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IS20</w:t>
            </w:r>
          </w:p>
        </w:tc>
        <w:tc>
          <w:tcPr>
            <w:tcW w:w="6120" w:type="dxa"/>
          </w:tcPr>
          <w:p w14:paraId="430E933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Jensen et al., 2012 (Nat Rev Genet)</w:t>
            </w:r>
          </w:p>
        </w:tc>
      </w:tr>
      <w:tr w:rsidR="009F2A5C" w:rsidRPr="002D28AB" w14:paraId="21E20A5A" w14:textId="77777777" w:rsidTr="004D13DE">
        <w:tc>
          <w:tcPr>
            <w:tcW w:w="2785" w:type="dxa"/>
          </w:tcPr>
          <w:p w14:paraId="45D4467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IS21</w:t>
            </w:r>
          </w:p>
        </w:tc>
        <w:tc>
          <w:tcPr>
            <w:tcW w:w="6120" w:type="dxa"/>
          </w:tcPr>
          <w:p w14:paraId="7B9F1B2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Kapa, 2023 (J Compute Commun)</w:t>
            </w:r>
          </w:p>
        </w:tc>
      </w:tr>
      <w:tr w:rsidR="009F2A5C" w:rsidRPr="002D28AB" w14:paraId="366E9476" w14:textId="77777777" w:rsidTr="004D13DE">
        <w:tc>
          <w:tcPr>
            <w:tcW w:w="2785" w:type="dxa"/>
          </w:tcPr>
          <w:p w14:paraId="77B3EE5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IS22</w:t>
            </w:r>
          </w:p>
        </w:tc>
        <w:tc>
          <w:tcPr>
            <w:tcW w:w="6120" w:type="dxa"/>
          </w:tcPr>
          <w:p w14:paraId="4CCB8307"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Labkoff</w:t>
            </w:r>
            <w:proofErr w:type="spellEnd"/>
            <w:r w:rsidRPr="002D28AB">
              <w:rPr>
                <w:rFonts w:ascii="Times New Roman" w:hAnsi="Times New Roman" w:cs="Times New Roman"/>
                <w:sz w:val="22"/>
                <w:szCs w:val="22"/>
              </w:rPr>
              <w:t xml:space="preserve"> et al., 2024 (JAMIA)</w:t>
            </w:r>
          </w:p>
        </w:tc>
      </w:tr>
      <w:tr w:rsidR="009F2A5C" w:rsidRPr="002D28AB" w14:paraId="1FE0BCF8" w14:textId="77777777" w:rsidTr="004D13DE">
        <w:tc>
          <w:tcPr>
            <w:tcW w:w="2785" w:type="dxa"/>
          </w:tcPr>
          <w:p w14:paraId="4B42427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IS23</w:t>
            </w:r>
          </w:p>
        </w:tc>
        <w:tc>
          <w:tcPr>
            <w:tcW w:w="6120" w:type="dxa"/>
          </w:tcPr>
          <w:p w14:paraId="47FBBF2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Lambert et al., 2023 (NPJ Digit Med)</w:t>
            </w:r>
          </w:p>
        </w:tc>
      </w:tr>
      <w:tr w:rsidR="009F2A5C" w:rsidRPr="002D28AB" w14:paraId="135E1664" w14:textId="77777777" w:rsidTr="004D13DE">
        <w:tc>
          <w:tcPr>
            <w:tcW w:w="2785" w:type="dxa"/>
          </w:tcPr>
          <w:p w14:paraId="0BBE375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IS24</w:t>
            </w:r>
          </w:p>
        </w:tc>
        <w:tc>
          <w:tcPr>
            <w:tcW w:w="6120" w:type="dxa"/>
          </w:tcPr>
          <w:p w14:paraId="1B5E7FE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Lindquist et al., 2008 (J Med Internet Res)</w:t>
            </w:r>
          </w:p>
        </w:tc>
      </w:tr>
      <w:tr w:rsidR="009F2A5C" w:rsidRPr="002D28AB" w14:paraId="3FABBFF4" w14:textId="77777777" w:rsidTr="004D13DE">
        <w:tc>
          <w:tcPr>
            <w:tcW w:w="2785" w:type="dxa"/>
          </w:tcPr>
          <w:p w14:paraId="1B8DC0C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IS25</w:t>
            </w:r>
          </w:p>
        </w:tc>
        <w:tc>
          <w:tcPr>
            <w:tcW w:w="6120" w:type="dxa"/>
          </w:tcPr>
          <w:p w14:paraId="2828C8C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Love et al., 2011 (JAMIA)</w:t>
            </w:r>
          </w:p>
        </w:tc>
      </w:tr>
      <w:tr w:rsidR="009F2A5C" w:rsidRPr="002D28AB" w14:paraId="683D440B" w14:textId="77777777" w:rsidTr="004D13DE">
        <w:tc>
          <w:tcPr>
            <w:tcW w:w="2785" w:type="dxa"/>
          </w:tcPr>
          <w:p w14:paraId="3AEFD3E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IS26</w:t>
            </w:r>
          </w:p>
        </w:tc>
        <w:tc>
          <w:tcPr>
            <w:tcW w:w="6120" w:type="dxa"/>
          </w:tcPr>
          <w:p w14:paraId="1DA1EE3C"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McAlearney</w:t>
            </w:r>
            <w:proofErr w:type="spellEnd"/>
            <w:r w:rsidRPr="002D28AB">
              <w:rPr>
                <w:rFonts w:ascii="Times New Roman" w:hAnsi="Times New Roman" w:cs="Times New Roman"/>
                <w:sz w:val="22"/>
                <w:szCs w:val="22"/>
              </w:rPr>
              <w:t xml:space="preserve"> et al., 2015 (JAMIA)</w:t>
            </w:r>
          </w:p>
        </w:tc>
      </w:tr>
      <w:tr w:rsidR="009F2A5C" w:rsidRPr="002D28AB" w14:paraId="3F37FDD4" w14:textId="77777777" w:rsidTr="004D13DE">
        <w:tc>
          <w:tcPr>
            <w:tcW w:w="2785" w:type="dxa"/>
          </w:tcPr>
          <w:p w14:paraId="1168487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IS27</w:t>
            </w:r>
          </w:p>
        </w:tc>
        <w:tc>
          <w:tcPr>
            <w:tcW w:w="6120" w:type="dxa"/>
          </w:tcPr>
          <w:p w14:paraId="68AFE6D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McKnight et al., 2002 (Inf Syst Res)</w:t>
            </w:r>
          </w:p>
        </w:tc>
      </w:tr>
      <w:tr w:rsidR="009F2A5C" w:rsidRPr="002D28AB" w14:paraId="5832F964" w14:textId="77777777" w:rsidTr="004D13DE">
        <w:tc>
          <w:tcPr>
            <w:tcW w:w="2785" w:type="dxa"/>
          </w:tcPr>
          <w:p w14:paraId="6211968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IS28</w:t>
            </w:r>
          </w:p>
        </w:tc>
        <w:tc>
          <w:tcPr>
            <w:tcW w:w="6120" w:type="dxa"/>
          </w:tcPr>
          <w:p w14:paraId="57C914E2"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Menachemi</w:t>
            </w:r>
            <w:proofErr w:type="spellEnd"/>
            <w:r w:rsidRPr="002D28AB">
              <w:rPr>
                <w:rFonts w:ascii="Times New Roman" w:hAnsi="Times New Roman" w:cs="Times New Roman"/>
                <w:sz w:val="22"/>
                <w:szCs w:val="22"/>
              </w:rPr>
              <w:t xml:space="preserve"> &amp; Collum, 2011 (Risk Manag Health Policy)</w:t>
            </w:r>
          </w:p>
        </w:tc>
      </w:tr>
      <w:tr w:rsidR="009F2A5C" w:rsidRPr="002D28AB" w14:paraId="6780C869" w14:textId="77777777" w:rsidTr="004D13DE">
        <w:tc>
          <w:tcPr>
            <w:tcW w:w="2785" w:type="dxa"/>
          </w:tcPr>
          <w:p w14:paraId="3696629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IS29</w:t>
            </w:r>
          </w:p>
        </w:tc>
        <w:tc>
          <w:tcPr>
            <w:tcW w:w="6120" w:type="dxa"/>
          </w:tcPr>
          <w:p w14:paraId="425239D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Mennella et al., 2024 (</w:t>
            </w:r>
            <w:proofErr w:type="spellStart"/>
            <w:r w:rsidRPr="002D28AB">
              <w:rPr>
                <w:rFonts w:ascii="Times New Roman" w:hAnsi="Times New Roman" w:cs="Times New Roman"/>
                <w:sz w:val="22"/>
                <w:szCs w:val="22"/>
              </w:rPr>
              <w:t>Heliyon</w:t>
            </w:r>
            <w:proofErr w:type="spellEnd"/>
            <w:r w:rsidRPr="002D28AB">
              <w:rPr>
                <w:rFonts w:ascii="Times New Roman" w:hAnsi="Times New Roman" w:cs="Times New Roman"/>
                <w:sz w:val="22"/>
                <w:szCs w:val="22"/>
              </w:rPr>
              <w:t>)</w:t>
            </w:r>
          </w:p>
        </w:tc>
      </w:tr>
      <w:tr w:rsidR="009F2A5C" w:rsidRPr="002D28AB" w14:paraId="4CF4ED87" w14:textId="77777777" w:rsidTr="004D13DE">
        <w:tc>
          <w:tcPr>
            <w:tcW w:w="2785" w:type="dxa"/>
          </w:tcPr>
          <w:p w14:paraId="52955AE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IS30</w:t>
            </w:r>
          </w:p>
        </w:tc>
        <w:tc>
          <w:tcPr>
            <w:tcW w:w="6120" w:type="dxa"/>
          </w:tcPr>
          <w:p w14:paraId="46CD4C4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Miller et al., 2018 (JAMIA)</w:t>
            </w:r>
          </w:p>
        </w:tc>
      </w:tr>
      <w:tr w:rsidR="009F2A5C" w:rsidRPr="002D28AB" w14:paraId="32844944" w14:textId="77777777" w:rsidTr="004D13DE">
        <w:tc>
          <w:tcPr>
            <w:tcW w:w="2785" w:type="dxa"/>
          </w:tcPr>
          <w:p w14:paraId="6B493FC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IS31</w:t>
            </w:r>
          </w:p>
        </w:tc>
        <w:tc>
          <w:tcPr>
            <w:tcW w:w="6120" w:type="dxa"/>
          </w:tcPr>
          <w:p w14:paraId="742109D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Murphy, 2014 (PubMed record)</w:t>
            </w:r>
          </w:p>
        </w:tc>
      </w:tr>
      <w:tr w:rsidR="009F2A5C" w:rsidRPr="002D28AB" w14:paraId="087497F8" w14:textId="77777777" w:rsidTr="004D13DE">
        <w:tc>
          <w:tcPr>
            <w:tcW w:w="2785" w:type="dxa"/>
          </w:tcPr>
          <w:p w14:paraId="17FB716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IS32</w:t>
            </w:r>
          </w:p>
        </w:tc>
        <w:tc>
          <w:tcPr>
            <w:tcW w:w="6120" w:type="dxa"/>
          </w:tcPr>
          <w:p w14:paraId="243B0D29" w14:textId="77777777" w:rsidR="009F2A5C" w:rsidRPr="002D28AB" w:rsidRDefault="009F2A5C" w:rsidP="004D13DE">
            <w:pPr>
              <w:rPr>
                <w:rFonts w:ascii="Times New Roman" w:hAnsi="Times New Roman" w:cs="Times New Roman"/>
                <w:sz w:val="22"/>
                <w:szCs w:val="22"/>
              </w:rPr>
            </w:pPr>
            <w:bookmarkStart w:id="4" w:name="OLE_LINK190"/>
            <w:r w:rsidRPr="002D28AB">
              <w:rPr>
                <w:rFonts w:ascii="Times New Roman" w:hAnsi="Times New Roman" w:cs="Times New Roman"/>
                <w:sz w:val="22"/>
                <w:szCs w:val="22"/>
              </w:rPr>
              <w:t>Fraser et al., 2022 (JMIR Med Inform)</w:t>
            </w:r>
            <w:bookmarkEnd w:id="4"/>
          </w:p>
        </w:tc>
      </w:tr>
      <w:tr w:rsidR="009F2A5C" w:rsidRPr="002D28AB" w14:paraId="798EDC5F" w14:textId="77777777" w:rsidTr="004D13DE">
        <w:tc>
          <w:tcPr>
            <w:tcW w:w="2785" w:type="dxa"/>
          </w:tcPr>
          <w:p w14:paraId="7BF6AFC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IS33</w:t>
            </w:r>
          </w:p>
        </w:tc>
        <w:tc>
          <w:tcPr>
            <w:tcW w:w="6120" w:type="dxa"/>
          </w:tcPr>
          <w:p w14:paraId="41C339D8"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Pumplun</w:t>
            </w:r>
            <w:proofErr w:type="spellEnd"/>
            <w:r w:rsidRPr="002D28AB">
              <w:rPr>
                <w:rFonts w:ascii="Times New Roman" w:hAnsi="Times New Roman" w:cs="Times New Roman"/>
                <w:sz w:val="22"/>
                <w:szCs w:val="22"/>
              </w:rPr>
              <w:t xml:space="preserve"> et al., 2021 (HICSS-54)</w:t>
            </w:r>
          </w:p>
        </w:tc>
      </w:tr>
      <w:tr w:rsidR="009F2A5C" w:rsidRPr="002D28AB" w14:paraId="421BC865" w14:textId="77777777" w:rsidTr="004D13DE">
        <w:tc>
          <w:tcPr>
            <w:tcW w:w="2785" w:type="dxa"/>
          </w:tcPr>
          <w:p w14:paraId="78A91E98"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IS34</w:t>
            </w:r>
          </w:p>
        </w:tc>
        <w:tc>
          <w:tcPr>
            <w:tcW w:w="6120" w:type="dxa"/>
          </w:tcPr>
          <w:p w14:paraId="0B07B79D"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2015 (JAMIA)</w:t>
            </w:r>
          </w:p>
        </w:tc>
      </w:tr>
      <w:tr w:rsidR="009F2A5C" w:rsidRPr="002D28AB" w14:paraId="449E1242" w14:textId="77777777" w:rsidTr="004D13DE">
        <w:tc>
          <w:tcPr>
            <w:tcW w:w="2785" w:type="dxa"/>
          </w:tcPr>
          <w:p w14:paraId="3EE393A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IS35</w:t>
            </w:r>
          </w:p>
        </w:tc>
        <w:tc>
          <w:tcPr>
            <w:tcW w:w="6120" w:type="dxa"/>
          </w:tcPr>
          <w:p w14:paraId="3BA5042D"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Ratwani</w:t>
            </w:r>
            <w:proofErr w:type="spellEnd"/>
            <w:r w:rsidRPr="002D28AB">
              <w:rPr>
                <w:rFonts w:ascii="Times New Roman" w:hAnsi="Times New Roman" w:cs="Times New Roman"/>
                <w:sz w:val="22"/>
                <w:szCs w:val="22"/>
              </w:rPr>
              <w:t xml:space="preserve"> et al., 2018 (JAMIA)</w:t>
            </w:r>
          </w:p>
        </w:tc>
      </w:tr>
      <w:tr w:rsidR="009F2A5C" w:rsidRPr="002D28AB" w14:paraId="7D7E591C" w14:textId="77777777" w:rsidTr="004D13DE">
        <w:tc>
          <w:tcPr>
            <w:tcW w:w="2785" w:type="dxa"/>
          </w:tcPr>
          <w:p w14:paraId="7F2F34A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IS36</w:t>
            </w:r>
          </w:p>
        </w:tc>
        <w:tc>
          <w:tcPr>
            <w:tcW w:w="6120" w:type="dxa"/>
          </w:tcPr>
          <w:p w14:paraId="51030FB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Sendak et al., 2020 (NPJ Digit Med)</w:t>
            </w:r>
          </w:p>
        </w:tc>
      </w:tr>
      <w:tr w:rsidR="009F2A5C" w:rsidRPr="002D28AB" w14:paraId="564865AA" w14:textId="77777777" w:rsidTr="004D13DE">
        <w:tc>
          <w:tcPr>
            <w:tcW w:w="2785" w:type="dxa"/>
          </w:tcPr>
          <w:p w14:paraId="732D768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IS37</w:t>
            </w:r>
          </w:p>
        </w:tc>
        <w:tc>
          <w:tcPr>
            <w:tcW w:w="6120" w:type="dxa"/>
          </w:tcPr>
          <w:p w14:paraId="32287CC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 xml:space="preserve">Choudhury &amp; </w:t>
            </w:r>
            <w:proofErr w:type="spellStart"/>
            <w:r w:rsidRPr="002D28AB">
              <w:rPr>
                <w:rFonts w:ascii="Times New Roman" w:hAnsi="Times New Roman" w:cs="Times New Roman"/>
                <w:sz w:val="22"/>
                <w:szCs w:val="22"/>
              </w:rPr>
              <w:t>Shamszare</w:t>
            </w:r>
            <w:proofErr w:type="spellEnd"/>
            <w:r w:rsidRPr="002D28AB">
              <w:rPr>
                <w:rFonts w:ascii="Times New Roman" w:hAnsi="Times New Roman" w:cs="Times New Roman"/>
                <w:sz w:val="22"/>
                <w:szCs w:val="22"/>
              </w:rPr>
              <w:t>, 2023 (J Med Internet Res)</w:t>
            </w:r>
          </w:p>
        </w:tc>
      </w:tr>
      <w:tr w:rsidR="009F2A5C" w:rsidRPr="002D28AB" w14:paraId="3FD9F9DF" w14:textId="77777777" w:rsidTr="004D13DE">
        <w:tc>
          <w:tcPr>
            <w:tcW w:w="2785" w:type="dxa"/>
          </w:tcPr>
          <w:p w14:paraId="3271168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IS38</w:t>
            </w:r>
          </w:p>
        </w:tc>
        <w:tc>
          <w:tcPr>
            <w:tcW w:w="6120" w:type="dxa"/>
          </w:tcPr>
          <w:p w14:paraId="3779345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Shuaib, 2024 (Int J Gen Med)</w:t>
            </w:r>
          </w:p>
        </w:tc>
      </w:tr>
      <w:tr w:rsidR="009F2A5C" w:rsidRPr="002D28AB" w14:paraId="1FD4094A" w14:textId="77777777" w:rsidTr="004D13DE">
        <w:tc>
          <w:tcPr>
            <w:tcW w:w="2785" w:type="dxa"/>
          </w:tcPr>
          <w:p w14:paraId="2853BB0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IS39</w:t>
            </w:r>
          </w:p>
        </w:tc>
        <w:tc>
          <w:tcPr>
            <w:tcW w:w="6120" w:type="dxa"/>
          </w:tcPr>
          <w:p w14:paraId="2F3BAFC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Venkatesh et al., 2012 (MIS Q)</w:t>
            </w:r>
          </w:p>
        </w:tc>
      </w:tr>
      <w:tr w:rsidR="009F2A5C" w:rsidRPr="002D28AB" w14:paraId="61EB4A54" w14:textId="77777777" w:rsidTr="004D13DE">
        <w:tc>
          <w:tcPr>
            <w:tcW w:w="2785" w:type="dxa"/>
          </w:tcPr>
          <w:p w14:paraId="2475301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IS40</w:t>
            </w:r>
          </w:p>
        </w:tc>
        <w:tc>
          <w:tcPr>
            <w:tcW w:w="6120" w:type="dxa"/>
          </w:tcPr>
          <w:p w14:paraId="3EC3359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White et al., 2023 (JAMIA)</w:t>
            </w:r>
          </w:p>
        </w:tc>
      </w:tr>
      <w:tr w:rsidR="009F2A5C" w:rsidRPr="002D28AB" w14:paraId="781AF34A" w14:textId="77777777" w:rsidTr="004D13DE">
        <w:tc>
          <w:tcPr>
            <w:tcW w:w="2785" w:type="dxa"/>
          </w:tcPr>
          <w:p w14:paraId="1A8F5102"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IS41</w:t>
            </w:r>
          </w:p>
        </w:tc>
        <w:tc>
          <w:tcPr>
            <w:tcW w:w="6120" w:type="dxa"/>
          </w:tcPr>
          <w:p w14:paraId="0723811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Wright et al., 2016 (JAMIA)</w:t>
            </w:r>
          </w:p>
        </w:tc>
      </w:tr>
      <w:tr w:rsidR="009F2A5C" w:rsidRPr="002D28AB" w14:paraId="323512AD" w14:textId="77777777" w:rsidTr="004D13DE">
        <w:tc>
          <w:tcPr>
            <w:tcW w:w="2785" w:type="dxa"/>
          </w:tcPr>
          <w:p w14:paraId="3CF44BB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IS42</w:t>
            </w:r>
          </w:p>
        </w:tc>
        <w:tc>
          <w:tcPr>
            <w:tcW w:w="6120" w:type="dxa"/>
          </w:tcPr>
          <w:p w14:paraId="030A038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Yu et al., 2018 (Nat Biomed Eng)</w:t>
            </w:r>
          </w:p>
        </w:tc>
      </w:tr>
      <w:tr w:rsidR="009F2A5C" w:rsidRPr="002D28AB" w14:paraId="10795655" w14:textId="77777777" w:rsidTr="004D13DE">
        <w:tc>
          <w:tcPr>
            <w:tcW w:w="2785" w:type="dxa"/>
          </w:tcPr>
          <w:p w14:paraId="391A542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IS43</w:t>
            </w:r>
          </w:p>
        </w:tc>
        <w:tc>
          <w:tcPr>
            <w:tcW w:w="6120" w:type="dxa"/>
          </w:tcPr>
          <w:p w14:paraId="421A92A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Zhou et al., 2009 (JAMIA)</w:t>
            </w:r>
          </w:p>
        </w:tc>
      </w:tr>
      <w:tr w:rsidR="009F2A5C" w:rsidRPr="002D28AB" w14:paraId="0ADC33EC" w14:textId="77777777" w:rsidTr="004D13DE">
        <w:tc>
          <w:tcPr>
            <w:tcW w:w="2785" w:type="dxa"/>
          </w:tcPr>
          <w:p w14:paraId="19F1B4C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IS44</w:t>
            </w:r>
          </w:p>
        </w:tc>
        <w:tc>
          <w:tcPr>
            <w:tcW w:w="6120" w:type="dxa"/>
          </w:tcPr>
          <w:p w14:paraId="68B1DF9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Apathy et al., 2021 (JAMIA)</w:t>
            </w:r>
          </w:p>
        </w:tc>
      </w:tr>
      <w:tr w:rsidR="009F2A5C" w:rsidRPr="002D28AB" w14:paraId="4D59AD34" w14:textId="77777777" w:rsidTr="004D13DE">
        <w:tc>
          <w:tcPr>
            <w:tcW w:w="2785" w:type="dxa"/>
          </w:tcPr>
          <w:p w14:paraId="3CC0ACD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IS45</w:t>
            </w:r>
          </w:p>
        </w:tc>
        <w:tc>
          <w:tcPr>
            <w:tcW w:w="6120" w:type="dxa"/>
          </w:tcPr>
          <w:p w14:paraId="46B29DB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Azadi &amp; García-</w:t>
            </w:r>
            <w:proofErr w:type="spellStart"/>
            <w:r w:rsidRPr="002D28AB">
              <w:rPr>
                <w:rFonts w:ascii="Times New Roman" w:hAnsi="Times New Roman" w:cs="Times New Roman"/>
                <w:sz w:val="22"/>
                <w:szCs w:val="22"/>
              </w:rPr>
              <w:t>Peñalvo</w:t>
            </w:r>
            <w:proofErr w:type="spellEnd"/>
            <w:r w:rsidRPr="002D28AB">
              <w:rPr>
                <w:rFonts w:ascii="Times New Roman" w:hAnsi="Times New Roman" w:cs="Times New Roman"/>
                <w:sz w:val="22"/>
                <w:szCs w:val="22"/>
              </w:rPr>
              <w:t>, 2025 (JMIR Hum Factors)</w:t>
            </w:r>
          </w:p>
        </w:tc>
      </w:tr>
      <w:tr w:rsidR="009F2A5C" w:rsidRPr="002D28AB" w14:paraId="7BFE6644" w14:textId="77777777" w:rsidTr="004D13DE">
        <w:tc>
          <w:tcPr>
            <w:tcW w:w="2785" w:type="dxa"/>
          </w:tcPr>
          <w:p w14:paraId="04568C6B"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IS46</w:t>
            </w:r>
          </w:p>
        </w:tc>
        <w:tc>
          <w:tcPr>
            <w:tcW w:w="6120" w:type="dxa"/>
          </w:tcPr>
          <w:p w14:paraId="0755A743"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Baysari</w:t>
            </w:r>
            <w:proofErr w:type="spellEnd"/>
            <w:r w:rsidRPr="002D28AB">
              <w:rPr>
                <w:rFonts w:ascii="Times New Roman" w:hAnsi="Times New Roman" w:cs="Times New Roman"/>
                <w:sz w:val="22"/>
                <w:szCs w:val="22"/>
              </w:rPr>
              <w:t xml:space="preserve"> et al., 2011 (JAMIA)</w:t>
            </w:r>
          </w:p>
        </w:tc>
      </w:tr>
      <w:tr w:rsidR="009F2A5C" w:rsidRPr="002D28AB" w14:paraId="4428E8CA" w14:textId="77777777" w:rsidTr="004D13DE">
        <w:tc>
          <w:tcPr>
            <w:tcW w:w="2785" w:type="dxa"/>
          </w:tcPr>
          <w:p w14:paraId="69A62FF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IS47</w:t>
            </w:r>
          </w:p>
        </w:tc>
        <w:tc>
          <w:tcPr>
            <w:tcW w:w="6120" w:type="dxa"/>
          </w:tcPr>
          <w:p w14:paraId="278C15B1"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Blijleven</w:t>
            </w:r>
            <w:proofErr w:type="spellEnd"/>
            <w:r w:rsidRPr="002D28AB">
              <w:rPr>
                <w:rFonts w:ascii="Times New Roman" w:hAnsi="Times New Roman" w:cs="Times New Roman"/>
                <w:sz w:val="22"/>
                <w:szCs w:val="22"/>
              </w:rPr>
              <w:t xml:space="preserve"> et al., 2017 (JMIR Hum Factors)</w:t>
            </w:r>
          </w:p>
        </w:tc>
      </w:tr>
      <w:tr w:rsidR="009F2A5C" w:rsidRPr="002D28AB" w14:paraId="24A88F68" w14:textId="77777777" w:rsidTr="004D13DE">
        <w:tc>
          <w:tcPr>
            <w:tcW w:w="2785" w:type="dxa"/>
          </w:tcPr>
          <w:p w14:paraId="70775DC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IS48</w:t>
            </w:r>
          </w:p>
        </w:tc>
        <w:tc>
          <w:tcPr>
            <w:tcW w:w="6120" w:type="dxa"/>
          </w:tcPr>
          <w:p w14:paraId="2E5597AD"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Čartolovni</w:t>
            </w:r>
            <w:proofErr w:type="spellEnd"/>
            <w:r w:rsidRPr="002D28AB">
              <w:rPr>
                <w:rFonts w:ascii="Times New Roman" w:hAnsi="Times New Roman" w:cs="Times New Roman"/>
                <w:sz w:val="22"/>
                <w:szCs w:val="22"/>
              </w:rPr>
              <w:t xml:space="preserve"> et al., 2022 (Int J Med Inform)</w:t>
            </w:r>
          </w:p>
        </w:tc>
      </w:tr>
      <w:tr w:rsidR="009F2A5C" w:rsidRPr="002D28AB" w14:paraId="2B1D72A4" w14:textId="77777777" w:rsidTr="004D13DE">
        <w:tc>
          <w:tcPr>
            <w:tcW w:w="2785" w:type="dxa"/>
          </w:tcPr>
          <w:p w14:paraId="71924E2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IS49</w:t>
            </w:r>
          </w:p>
        </w:tc>
        <w:tc>
          <w:tcPr>
            <w:tcW w:w="6120" w:type="dxa"/>
          </w:tcPr>
          <w:p w14:paraId="14CD82BE"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Chen et al., 2023 (Nat Biomed Eng)</w:t>
            </w:r>
          </w:p>
        </w:tc>
      </w:tr>
      <w:tr w:rsidR="009F2A5C" w:rsidRPr="002D28AB" w14:paraId="379EFCF3" w14:textId="77777777" w:rsidTr="004D13DE">
        <w:tc>
          <w:tcPr>
            <w:tcW w:w="2785" w:type="dxa"/>
          </w:tcPr>
          <w:p w14:paraId="23C3B93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lastRenderedPageBreak/>
              <w:t>IS50</w:t>
            </w:r>
          </w:p>
        </w:tc>
        <w:tc>
          <w:tcPr>
            <w:tcW w:w="6120" w:type="dxa"/>
          </w:tcPr>
          <w:p w14:paraId="26A589AA"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Alobayli</w:t>
            </w:r>
            <w:proofErr w:type="spellEnd"/>
            <w:r w:rsidRPr="002D28AB">
              <w:rPr>
                <w:rFonts w:ascii="Times New Roman" w:hAnsi="Times New Roman" w:cs="Times New Roman"/>
                <w:sz w:val="22"/>
                <w:szCs w:val="22"/>
              </w:rPr>
              <w:t xml:space="preserve"> et al., 2023 (DIGITAL HEALTH)</w:t>
            </w:r>
          </w:p>
        </w:tc>
      </w:tr>
      <w:tr w:rsidR="009F2A5C" w:rsidRPr="002D28AB" w14:paraId="689BA3C4" w14:textId="77777777" w:rsidTr="004D13DE">
        <w:tc>
          <w:tcPr>
            <w:tcW w:w="2785" w:type="dxa"/>
          </w:tcPr>
          <w:p w14:paraId="695AC6F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IS51</w:t>
            </w:r>
          </w:p>
        </w:tc>
        <w:tc>
          <w:tcPr>
            <w:tcW w:w="6120" w:type="dxa"/>
          </w:tcPr>
          <w:p w14:paraId="5A90305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Fereday &amp; Muir-Cochrane, 2006 (Int J Qual Methods)</w:t>
            </w:r>
          </w:p>
        </w:tc>
      </w:tr>
      <w:tr w:rsidR="009F2A5C" w:rsidRPr="002D28AB" w14:paraId="28ECC632" w14:textId="77777777" w:rsidTr="004D13DE">
        <w:tc>
          <w:tcPr>
            <w:tcW w:w="2785" w:type="dxa"/>
          </w:tcPr>
          <w:p w14:paraId="35E6837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IS52</w:t>
            </w:r>
          </w:p>
        </w:tc>
        <w:tc>
          <w:tcPr>
            <w:tcW w:w="6120" w:type="dxa"/>
          </w:tcPr>
          <w:p w14:paraId="674DA62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Ghassemi et al., 2021 (Lancet Digit Health)</w:t>
            </w:r>
          </w:p>
        </w:tc>
      </w:tr>
      <w:tr w:rsidR="009F2A5C" w:rsidRPr="002D28AB" w14:paraId="2FE973F5" w14:textId="77777777" w:rsidTr="004D13DE">
        <w:tc>
          <w:tcPr>
            <w:tcW w:w="2785" w:type="dxa"/>
          </w:tcPr>
          <w:p w14:paraId="1E7C285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IS53</w:t>
            </w:r>
          </w:p>
        </w:tc>
        <w:tc>
          <w:tcPr>
            <w:tcW w:w="6120" w:type="dxa"/>
          </w:tcPr>
          <w:p w14:paraId="1C24194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Giebel et al., 2025 (JMIR Med Inform)</w:t>
            </w:r>
          </w:p>
        </w:tc>
      </w:tr>
      <w:tr w:rsidR="009F2A5C" w:rsidRPr="002D28AB" w14:paraId="315000FB" w14:textId="77777777" w:rsidTr="004D13DE">
        <w:tc>
          <w:tcPr>
            <w:tcW w:w="2785" w:type="dxa"/>
          </w:tcPr>
          <w:p w14:paraId="2A12515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IS54</w:t>
            </w:r>
          </w:p>
        </w:tc>
        <w:tc>
          <w:tcPr>
            <w:tcW w:w="6120" w:type="dxa"/>
          </w:tcPr>
          <w:p w14:paraId="1BC6B66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Greenhalgh et al., 2010 (UCL report)</w:t>
            </w:r>
          </w:p>
        </w:tc>
      </w:tr>
      <w:tr w:rsidR="009F2A5C" w:rsidRPr="002D28AB" w14:paraId="3AE92B1D" w14:textId="77777777" w:rsidTr="004D13DE">
        <w:tc>
          <w:tcPr>
            <w:tcW w:w="2785" w:type="dxa"/>
          </w:tcPr>
          <w:p w14:paraId="6542712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IS55</w:t>
            </w:r>
          </w:p>
        </w:tc>
        <w:tc>
          <w:tcPr>
            <w:tcW w:w="6120" w:type="dxa"/>
          </w:tcPr>
          <w:p w14:paraId="40FCBCF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Hong et al., 2018 (Educ Inf)</w:t>
            </w:r>
          </w:p>
        </w:tc>
      </w:tr>
      <w:tr w:rsidR="009F2A5C" w:rsidRPr="002D28AB" w14:paraId="48382ADB" w14:textId="77777777" w:rsidTr="004D13DE">
        <w:tc>
          <w:tcPr>
            <w:tcW w:w="2785" w:type="dxa"/>
          </w:tcPr>
          <w:p w14:paraId="1E27CEE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IS56</w:t>
            </w:r>
          </w:p>
        </w:tc>
        <w:tc>
          <w:tcPr>
            <w:tcW w:w="6120" w:type="dxa"/>
          </w:tcPr>
          <w:p w14:paraId="783945D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Khairat et al., 2018 (JMIR Med Inform)</w:t>
            </w:r>
          </w:p>
        </w:tc>
      </w:tr>
      <w:tr w:rsidR="009F2A5C" w:rsidRPr="002D28AB" w14:paraId="600CAAF7" w14:textId="77777777" w:rsidTr="004D13DE">
        <w:tc>
          <w:tcPr>
            <w:tcW w:w="2785" w:type="dxa"/>
          </w:tcPr>
          <w:p w14:paraId="2DD0FBC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IS57</w:t>
            </w:r>
          </w:p>
        </w:tc>
        <w:tc>
          <w:tcPr>
            <w:tcW w:w="6120" w:type="dxa"/>
          </w:tcPr>
          <w:p w14:paraId="45581AE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Choudhury et al., 2022 (Front Digit Health)</w:t>
            </w:r>
          </w:p>
        </w:tc>
      </w:tr>
      <w:tr w:rsidR="009F2A5C" w:rsidRPr="002D28AB" w14:paraId="4424D279" w14:textId="77777777" w:rsidTr="004D13DE">
        <w:tc>
          <w:tcPr>
            <w:tcW w:w="2785" w:type="dxa"/>
          </w:tcPr>
          <w:p w14:paraId="6107B586"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IS58</w:t>
            </w:r>
          </w:p>
        </w:tc>
        <w:tc>
          <w:tcPr>
            <w:tcW w:w="6120" w:type="dxa"/>
          </w:tcPr>
          <w:p w14:paraId="7FCBAFD1"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Schönberger</w:t>
            </w:r>
            <w:proofErr w:type="spellEnd"/>
            <w:r w:rsidRPr="002D28AB">
              <w:rPr>
                <w:rFonts w:ascii="Times New Roman" w:hAnsi="Times New Roman" w:cs="Times New Roman"/>
                <w:sz w:val="22"/>
                <w:szCs w:val="22"/>
              </w:rPr>
              <w:t xml:space="preserve"> et al., 2022 (Health Policy Technol)</w:t>
            </w:r>
          </w:p>
        </w:tc>
      </w:tr>
      <w:tr w:rsidR="009F2A5C" w:rsidRPr="002D28AB" w14:paraId="0B6D4E8A" w14:textId="77777777" w:rsidTr="004D13DE">
        <w:tc>
          <w:tcPr>
            <w:tcW w:w="2785" w:type="dxa"/>
          </w:tcPr>
          <w:p w14:paraId="53AB350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IS59</w:t>
            </w:r>
          </w:p>
        </w:tc>
        <w:tc>
          <w:tcPr>
            <w:tcW w:w="6120" w:type="dxa"/>
          </w:tcPr>
          <w:p w14:paraId="6A1D91B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Page et al., 2021 (BMJ)</w:t>
            </w:r>
          </w:p>
        </w:tc>
      </w:tr>
      <w:tr w:rsidR="009F2A5C" w:rsidRPr="002D28AB" w14:paraId="7D5AD7E5" w14:textId="77777777" w:rsidTr="004D13DE">
        <w:tc>
          <w:tcPr>
            <w:tcW w:w="2785" w:type="dxa"/>
          </w:tcPr>
          <w:p w14:paraId="7B6ACB2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IS60</w:t>
            </w:r>
          </w:p>
        </w:tc>
        <w:tc>
          <w:tcPr>
            <w:tcW w:w="6120" w:type="dxa"/>
          </w:tcPr>
          <w:p w14:paraId="4B00EB9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Payne et al., 2018 (JAMIA)</w:t>
            </w:r>
          </w:p>
        </w:tc>
      </w:tr>
      <w:tr w:rsidR="009F2A5C" w:rsidRPr="002D28AB" w14:paraId="399AC6F4" w14:textId="77777777" w:rsidTr="004D13DE">
        <w:tc>
          <w:tcPr>
            <w:tcW w:w="2785" w:type="dxa"/>
          </w:tcPr>
          <w:p w14:paraId="2119567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IS61</w:t>
            </w:r>
          </w:p>
        </w:tc>
        <w:tc>
          <w:tcPr>
            <w:tcW w:w="6120" w:type="dxa"/>
          </w:tcPr>
          <w:p w14:paraId="6415F667" w14:textId="77777777" w:rsidR="009F2A5C" w:rsidRPr="002D28AB" w:rsidRDefault="009F2A5C" w:rsidP="004D13DE">
            <w:pPr>
              <w:rPr>
                <w:rFonts w:ascii="Times New Roman" w:hAnsi="Times New Roman" w:cs="Times New Roman"/>
                <w:sz w:val="22"/>
                <w:szCs w:val="22"/>
              </w:rPr>
            </w:pPr>
            <w:proofErr w:type="spellStart"/>
            <w:r w:rsidRPr="002D28AB">
              <w:rPr>
                <w:rFonts w:ascii="Times New Roman" w:hAnsi="Times New Roman" w:cs="Times New Roman"/>
                <w:sz w:val="22"/>
                <w:szCs w:val="22"/>
              </w:rPr>
              <w:t>Phansalkar</w:t>
            </w:r>
            <w:proofErr w:type="spellEnd"/>
            <w:r w:rsidRPr="002D28AB">
              <w:rPr>
                <w:rFonts w:ascii="Times New Roman" w:hAnsi="Times New Roman" w:cs="Times New Roman"/>
                <w:sz w:val="22"/>
                <w:szCs w:val="22"/>
              </w:rPr>
              <w:t xml:space="preserve"> et al., 2013 (JAMIA)</w:t>
            </w:r>
          </w:p>
        </w:tc>
      </w:tr>
      <w:tr w:rsidR="009F2A5C" w:rsidRPr="002D28AB" w14:paraId="2F5C95AA" w14:textId="77777777" w:rsidTr="004D13DE">
        <w:tc>
          <w:tcPr>
            <w:tcW w:w="2785" w:type="dxa"/>
          </w:tcPr>
          <w:p w14:paraId="01CF49F3"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IS62</w:t>
            </w:r>
          </w:p>
        </w:tc>
        <w:tc>
          <w:tcPr>
            <w:tcW w:w="6120" w:type="dxa"/>
          </w:tcPr>
          <w:p w14:paraId="08549173" w14:textId="77777777" w:rsidR="009F2A5C" w:rsidRPr="002D28AB" w:rsidRDefault="009F2A5C" w:rsidP="004D13DE">
            <w:pPr>
              <w:rPr>
                <w:rFonts w:ascii="Times New Roman" w:hAnsi="Times New Roman" w:cs="Times New Roman"/>
                <w:sz w:val="22"/>
                <w:szCs w:val="22"/>
              </w:rPr>
            </w:pPr>
            <w:bookmarkStart w:id="5" w:name="OLE_LINK26"/>
            <w:r w:rsidRPr="002D28AB">
              <w:rPr>
                <w:rFonts w:ascii="Times New Roman" w:hAnsi="Times New Roman" w:cs="Times New Roman"/>
                <w:sz w:val="22"/>
                <w:szCs w:val="22"/>
              </w:rPr>
              <w:t>Raj et al., 2021</w:t>
            </w:r>
            <w:bookmarkEnd w:id="5"/>
            <w:r w:rsidRPr="002D28AB">
              <w:rPr>
                <w:rFonts w:ascii="Times New Roman" w:hAnsi="Times New Roman" w:cs="Times New Roman"/>
                <w:sz w:val="22"/>
                <w:szCs w:val="22"/>
              </w:rPr>
              <w:t xml:space="preserve"> (Med Care Res Rev)</w:t>
            </w:r>
          </w:p>
        </w:tc>
      </w:tr>
      <w:tr w:rsidR="009F2A5C" w:rsidRPr="002D28AB" w14:paraId="010F0A36" w14:textId="77777777" w:rsidTr="004D13DE">
        <w:tc>
          <w:tcPr>
            <w:tcW w:w="2785" w:type="dxa"/>
          </w:tcPr>
          <w:p w14:paraId="0DE65DA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IS63</w:t>
            </w:r>
          </w:p>
        </w:tc>
        <w:tc>
          <w:tcPr>
            <w:tcW w:w="6120" w:type="dxa"/>
          </w:tcPr>
          <w:p w14:paraId="59A3EED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Saleem et al., 2009 (Int J Med Inform)</w:t>
            </w:r>
          </w:p>
        </w:tc>
      </w:tr>
      <w:tr w:rsidR="009F2A5C" w:rsidRPr="002D28AB" w14:paraId="08BC725C" w14:textId="77777777" w:rsidTr="004D13DE">
        <w:tc>
          <w:tcPr>
            <w:tcW w:w="2785" w:type="dxa"/>
          </w:tcPr>
          <w:p w14:paraId="39076FB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IS64</w:t>
            </w:r>
          </w:p>
        </w:tc>
        <w:tc>
          <w:tcPr>
            <w:tcW w:w="6120" w:type="dxa"/>
          </w:tcPr>
          <w:p w14:paraId="6D559EDD"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Schiff et al., 2015 (BMJ Qual Saf)</w:t>
            </w:r>
          </w:p>
        </w:tc>
      </w:tr>
      <w:tr w:rsidR="009F2A5C" w:rsidRPr="002D28AB" w14:paraId="288712DD" w14:textId="77777777" w:rsidTr="004D13DE">
        <w:tc>
          <w:tcPr>
            <w:tcW w:w="2785" w:type="dxa"/>
          </w:tcPr>
          <w:p w14:paraId="407BE074"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IS65</w:t>
            </w:r>
          </w:p>
        </w:tc>
        <w:tc>
          <w:tcPr>
            <w:tcW w:w="6120" w:type="dxa"/>
          </w:tcPr>
          <w:p w14:paraId="6B5EA25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Shanafelt et al., 2016 (Mayo Clin Proc)</w:t>
            </w:r>
          </w:p>
        </w:tc>
      </w:tr>
      <w:tr w:rsidR="009F2A5C" w:rsidRPr="002D28AB" w14:paraId="7FE18FDE" w14:textId="77777777" w:rsidTr="004D13DE">
        <w:tc>
          <w:tcPr>
            <w:tcW w:w="2785" w:type="dxa"/>
          </w:tcPr>
          <w:p w14:paraId="60EB7CB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IS66</w:t>
            </w:r>
          </w:p>
        </w:tc>
        <w:tc>
          <w:tcPr>
            <w:tcW w:w="6120" w:type="dxa"/>
          </w:tcPr>
          <w:p w14:paraId="451CE09C"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Shrank et al., 2019 (JAMA)</w:t>
            </w:r>
          </w:p>
        </w:tc>
      </w:tr>
      <w:tr w:rsidR="009F2A5C" w:rsidRPr="002D28AB" w14:paraId="3FF01B5E" w14:textId="77777777" w:rsidTr="004D13DE">
        <w:tc>
          <w:tcPr>
            <w:tcW w:w="2785" w:type="dxa"/>
          </w:tcPr>
          <w:p w14:paraId="0B5937A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IS67</w:t>
            </w:r>
          </w:p>
        </w:tc>
        <w:tc>
          <w:tcPr>
            <w:tcW w:w="6120" w:type="dxa"/>
          </w:tcPr>
          <w:p w14:paraId="78B7D841"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Wysocki et al., 2023 (</w:t>
            </w:r>
            <w:proofErr w:type="spellStart"/>
            <w:r w:rsidRPr="002D28AB">
              <w:rPr>
                <w:rFonts w:ascii="Times New Roman" w:hAnsi="Times New Roman" w:cs="Times New Roman"/>
                <w:sz w:val="22"/>
                <w:szCs w:val="22"/>
              </w:rPr>
              <w:t>Artif</w:t>
            </w:r>
            <w:proofErr w:type="spellEnd"/>
            <w:r w:rsidRPr="002D28AB">
              <w:rPr>
                <w:rFonts w:ascii="Times New Roman" w:hAnsi="Times New Roman" w:cs="Times New Roman"/>
                <w:sz w:val="22"/>
                <w:szCs w:val="22"/>
              </w:rPr>
              <w:t xml:space="preserve"> Intel)</w:t>
            </w:r>
          </w:p>
        </w:tc>
      </w:tr>
      <w:tr w:rsidR="009F2A5C" w:rsidRPr="002D28AB" w14:paraId="377ECD0A" w14:textId="77777777" w:rsidTr="004D13DE">
        <w:tc>
          <w:tcPr>
            <w:tcW w:w="2785" w:type="dxa"/>
          </w:tcPr>
          <w:p w14:paraId="7956B265"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IS68</w:t>
            </w:r>
          </w:p>
        </w:tc>
        <w:tc>
          <w:tcPr>
            <w:tcW w:w="6120" w:type="dxa"/>
          </w:tcPr>
          <w:p w14:paraId="0E06D750"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Zheng et al., 2009 (JAMIA)</w:t>
            </w:r>
          </w:p>
        </w:tc>
      </w:tr>
      <w:tr w:rsidR="009F2A5C" w:rsidRPr="002D28AB" w14:paraId="775F4959" w14:textId="77777777" w:rsidTr="004D13DE">
        <w:tc>
          <w:tcPr>
            <w:tcW w:w="2785" w:type="dxa"/>
          </w:tcPr>
          <w:p w14:paraId="168CBC39"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IS69</w:t>
            </w:r>
          </w:p>
        </w:tc>
        <w:tc>
          <w:tcPr>
            <w:tcW w:w="6120" w:type="dxa"/>
          </w:tcPr>
          <w:p w14:paraId="301D840A"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Richardson et al., 2022 (Digit Health)</w:t>
            </w:r>
          </w:p>
        </w:tc>
      </w:tr>
      <w:tr w:rsidR="009F2A5C" w:rsidRPr="002D28AB" w14:paraId="70E8EBAE" w14:textId="77777777" w:rsidTr="004D13DE">
        <w:tc>
          <w:tcPr>
            <w:tcW w:w="2785" w:type="dxa"/>
          </w:tcPr>
          <w:p w14:paraId="1D8DD3BF"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IS70</w:t>
            </w:r>
          </w:p>
        </w:tc>
        <w:tc>
          <w:tcPr>
            <w:tcW w:w="6120" w:type="dxa"/>
          </w:tcPr>
          <w:p w14:paraId="6500F5F7" w14:textId="77777777" w:rsidR="009F2A5C" w:rsidRPr="002D28AB" w:rsidRDefault="009F2A5C" w:rsidP="004D13DE">
            <w:pPr>
              <w:rPr>
                <w:rFonts w:ascii="Times New Roman" w:hAnsi="Times New Roman" w:cs="Times New Roman"/>
                <w:sz w:val="22"/>
                <w:szCs w:val="22"/>
              </w:rPr>
            </w:pPr>
            <w:r w:rsidRPr="002D28AB">
              <w:rPr>
                <w:rFonts w:ascii="Times New Roman" w:hAnsi="Times New Roman" w:cs="Times New Roman"/>
                <w:sz w:val="22"/>
                <w:szCs w:val="22"/>
              </w:rPr>
              <w:t>Elhaddad &amp; Hamam, 2024 (</w:t>
            </w:r>
            <w:proofErr w:type="spellStart"/>
            <w:r w:rsidRPr="002D28AB">
              <w:rPr>
                <w:rFonts w:ascii="Times New Roman" w:hAnsi="Times New Roman" w:cs="Times New Roman"/>
                <w:sz w:val="22"/>
                <w:szCs w:val="22"/>
              </w:rPr>
              <w:t>Cureus</w:t>
            </w:r>
            <w:proofErr w:type="spellEnd"/>
            <w:r w:rsidRPr="002D28AB">
              <w:rPr>
                <w:rFonts w:ascii="Times New Roman" w:hAnsi="Times New Roman" w:cs="Times New Roman"/>
                <w:sz w:val="22"/>
                <w:szCs w:val="22"/>
              </w:rPr>
              <w:t>)</w:t>
            </w:r>
          </w:p>
        </w:tc>
      </w:tr>
    </w:tbl>
    <w:p w14:paraId="32A66214" w14:textId="77777777" w:rsidR="009F2A5C" w:rsidRPr="002D28AB" w:rsidRDefault="009F2A5C" w:rsidP="009F2A5C">
      <w:pPr>
        <w:pStyle w:val="NormalWeb"/>
        <w:spacing w:before="0" w:beforeAutospacing="0" w:after="0" w:afterAutospacing="0" w:line="480" w:lineRule="auto"/>
        <w:rPr>
          <w:rFonts w:eastAsia="Malgun Gothic" w:cs="Times New Roman"/>
          <w:sz w:val="22"/>
          <w:szCs w:val="22"/>
          <w:lang w:eastAsia="ko-KR"/>
        </w:rPr>
      </w:pPr>
    </w:p>
    <w:p w14:paraId="50E4ED00" w14:textId="77777777" w:rsidR="00D85998" w:rsidRPr="002D28AB" w:rsidRDefault="00D85998">
      <w:pPr>
        <w:rPr>
          <w:rFonts w:ascii="Times New Roman" w:hAnsi="Times New Roman" w:cs="Times New Roman"/>
        </w:rPr>
      </w:pPr>
    </w:p>
    <w:sectPr w:rsidR="00D85998" w:rsidRPr="002D28AB" w:rsidSect="009F2A5C">
      <w:headerReference w:type="even" r:id="rId5"/>
      <w:headerReference w:type="default" r:id="rId6"/>
      <w:footerReference w:type="even" r:id="rId7"/>
      <w:footerReference w:type="default" r:id="rId8"/>
      <w:headerReference w:type="first" r:id="rId9"/>
      <w:footerReference w:type="first" r:id="rId10"/>
      <w:pgSz w:w="11900" w:h="16840"/>
      <w:pgMar w:top="1440" w:right="1440" w:bottom="1440" w:left="1440" w:header="851" w:footer="992" w:gutter="0"/>
      <w:lnNumType w:countBy="1" w:distance="360"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196E8" w14:textId="77777777" w:rsidR="009F2A5C" w:rsidRDefault="009F2A5C">
    <w:pPr>
      <w:suppressLineNumber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1C506" w14:textId="77777777" w:rsidR="009F2A5C" w:rsidRDefault="009F2A5C">
    <w:pPr>
      <w:suppressLineNumbers/>
      <w:jc w:val="center"/>
    </w:pPr>
    <w:r>
      <w:rPr>
        <w:rFonts w:cs="Times New Roman"/>
        <w:sz w:val="20"/>
      </w:rPr>
      <w:fldChar w:fldCharType="begin"/>
    </w:r>
    <w:r>
      <w:rPr>
        <w:rFonts w:cs="Times New Roman"/>
        <w:sz w:val="20"/>
      </w:rPr>
      <w:instrText xml:space="preserve"> PAGE </w:instrText>
    </w:r>
    <w:r>
      <w:rPr>
        <w:rFonts w:cs="Times New Roman"/>
        <w:sz w:val="20"/>
      </w:rPr>
      <w:fldChar w:fldCharType="separate"/>
    </w:r>
    <w:r>
      <w:rPr>
        <w:rFonts w:cs="Times New Roman"/>
        <w:sz w:val="20"/>
      </w:rPr>
      <w:t>1</w:t>
    </w:r>
    <w:r>
      <w:rPr>
        <w:rFonts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3484" w14:textId="77777777" w:rsidR="009F2A5C" w:rsidRDefault="009F2A5C">
    <w:pPr>
      <w:suppressLineNumbers/>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D7A73" w14:textId="77777777" w:rsidR="009F2A5C" w:rsidRDefault="009F2A5C">
    <w:pPr>
      <w:suppressLineNumber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655C" w14:textId="77777777" w:rsidR="009F2A5C" w:rsidRDefault="009F2A5C">
    <w:pPr>
      <w:suppressLineNumber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1E898" w14:textId="77777777" w:rsidR="009F2A5C" w:rsidRDefault="009F2A5C">
    <w:pPr>
      <w:suppressLineNumber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2A1B32"/>
    <w:multiLevelType w:val="hybridMultilevel"/>
    <w:tmpl w:val="10E8097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11BD27A4"/>
    <w:multiLevelType w:val="hybridMultilevel"/>
    <w:tmpl w:val="0610DEAE"/>
    <w:lvl w:ilvl="0" w:tplc="A81CAD04">
      <w:start w:val="1"/>
      <w:numFmt w:val="decimal"/>
      <w:lvlText w:val="%1."/>
      <w:lvlJc w:val="left"/>
      <w:pPr>
        <w:ind w:left="720" w:hanging="360"/>
      </w:pPr>
      <w:rPr>
        <w:rFonts w:eastAsia="Malgun Goth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845BB6"/>
    <w:multiLevelType w:val="hybridMultilevel"/>
    <w:tmpl w:val="6350518C"/>
    <w:lvl w:ilvl="0" w:tplc="BB286146">
      <w:start w:val="1"/>
      <w:numFmt w:val="decimal"/>
      <w:lvlText w:val="%1."/>
      <w:lvlJc w:val="left"/>
      <w:pPr>
        <w:ind w:left="440" w:hanging="440"/>
      </w:pPr>
      <w:rPr>
        <w:rFonts w:ascii="Times" w:hAnsi="Time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1FE55394"/>
    <w:multiLevelType w:val="hybridMultilevel"/>
    <w:tmpl w:val="174E69DE"/>
    <w:lvl w:ilvl="0" w:tplc="48181514">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14F1893"/>
    <w:multiLevelType w:val="hybridMultilevel"/>
    <w:tmpl w:val="11ECE132"/>
    <w:lvl w:ilvl="0" w:tplc="70A2568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22DC0E51"/>
    <w:multiLevelType w:val="multilevel"/>
    <w:tmpl w:val="D408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6968A6"/>
    <w:multiLevelType w:val="hybridMultilevel"/>
    <w:tmpl w:val="13DC5E7E"/>
    <w:lvl w:ilvl="0" w:tplc="802A3C0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66DB3B23"/>
    <w:multiLevelType w:val="hybridMultilevel"/>
    <w:tmpl w:val="F52C4E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69E550A8"/>
    <w:multiLevelType w:val="hybridMultilevel"/>
    <w:tmpl w:val="2370C114"/>
    <w:lvl w:ilvl="0" w:tplc="0409000F">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num w:numId="1" w16cid:durableId="1258322467">
    <w:abstractNumId w:val="15"/>
  </w:num>
  <w:num w:numId="2" w16cid:durableId="1658460407">
    <w:abstractNumId w:val="11"/>
  </w:num>
  <w:num w:numId="3" w16cid:durableId="1906796136">
    <w:abstractNumId w:val="10"/>
  </w:num>
  <w:num w:numId="4" w16cid:durableId="1768843367">
    <w:abstractNumId w:val="8"/>
  </w:num>
  <w:num w:numId="5" w16cid:durableId="128518188">
    <w:abstractNumId w:val="6"/>
  </w:num>
  <w:num w:numId="6" w16cid:durableId="821698195">
    <w:abstractNumId w:val="5"/>
  </w:num>
  <w:num w:numId="7" w16cid:durableId="563834583">
    <w:abstractNumId w:val="4"/>
  </w:num>
  <w:num w:numId="8" w16cid:durableId="140192856">
    <w:abstractNumId w:val="7"/>
  </w:num>
  <w:num w:numId="9" w16cid:durableId="1966539793">
    <w:abstractNumId w:val="3"/>
  </w:num>
  <w:num w:numId="10" w16cid:durableId="1084843961">
    <w:abstractNumId w:val="2"/>
  </w:num>
  <w:num w:numId="11" w16cid:durableId="1912497615">
    <w:abstractNumId w:val="1"/>
  </w:num>
  <w:num w:numId="12" w16cid:durableId="238441081">
    <w:abstractNumId w:val="0"/>
  </w:num>
  <w:num w:numId="13" w16cid:durableId="946962294">
    <w:abstractNumId w:val="14"/>
  </w:num>
  <w:num w:numId="14" w16cid:durableId="690955726">
    <w:abstractNumId w:val="13"/>
  </w:num>
  <w:num w:numId="15" w16cid:durableId="454717912">
    <w:abstractNumId w:val="12"/>
  </w:num>
  <w:num w:numId="16" w16cid:durableId="1224171903">
    <w:abstractNumId w:val="17"/>
  </w:num>
  <w:num w:numId="17" w16cid:durableId="1830057837">
    <w:abstractNumId w:val="16"/>
  </w:num>
  <w:num w:numId="18" w16cid:durableId="52279165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5C"/>
    <w:rsid w:val="002D28AB"/>
    <w:rsid w:val="009F2A5C"/>
    <w:rsid w:val="00B06E84"/>
    <w:rsid w:val="00D85998"/>
    <w:rsid w:val="00F907D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D1EA2"/>
  <w15:chartTrackingRefBased/>
  <w15:docId w15:val="{D90F58A2-C057-48ED-883D-068972C1D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A5C"/>
    <w:pPr>
      <w:spacing w:after="0" w:line="240" w:lineRule="auto"/>
    </w:pPr>
    <w:rPr>
      <w:rFonts w:ascii="SimSun" w:eastAsia="SimSun" w:hAnsi="SimSun" w:cs="SimSun"/>
      <w:kern w:val="0"/>
      <w:lang w:eastAsia="zh-CN"/>
      <w14:ligatures w14:val="none"/>
    </w:rPr>
  </w:style>
  <w:style w:type="paragraph" w:styleId="Heading1">
    <w:name w:val="heading 1"/>
    <w:basedOn w:val="Normal"/>
    <w:next w:val="Normal"/>
    <w:link w:val="Heading1Char"/>
    <w:uiPriority w:val="9"/>
    <w:qFormat/>
    <w:rsid w:val="009F2A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2A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F2A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2A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2A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2A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2A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2A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2A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2A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2A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F2A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2A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2A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2A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2A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2A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2A5C"/>
    <w:rPr>
      <w:rFonts w:eastAsiaTheme="majorEastAsia" w:cstheme="majorBidi"/>
      <w:color w:val="272727" w:themeColor="text1" w:themeTint="D8"/>
    </w:rPr>
  </w:style>
  <w:style w:type="paragraph" w:styleId="Title">
    <w:name w:val="Title"/>
    <w:basedOn w:val="Normal"/>
    <w:next w:val="Normal"/>
    <w:link w:val="TitleChar"/>
    <w:uiPriority w:val="10"/>
    <w:qFormat/>
    <w:rsid w:val="009F2A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A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2A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2A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2A5C"/>
    <w:pPr>
      <w:spacing w:before="160"/>
      <w:jc w:val="center"/>
    </w:pPr>
    <w:rPr>
      <w:i/>
      <w:iCs/>
      <w:color w:val="404040" w:themeColor="text1" w:themeTint="BF"/>
    </w:rPr>
  </w:style>
  <w:style w:type="character" w:customStyle="1" w:styleId="QuoteChar">
    <w:name w:val="Quote Char"/>
    <w:basedOn w:val="DefaultParagraphFont"/>
    <w:link w:val="Quote"/>
    <w:uiPriority w:val="29"/>
    <w:rsid w:val="009F2A5C"/>
    <w:rPr>
      <w:i/>
      <w:iCs/>
      <w:color w:val="404040" w:themeColor="text1" w:themeTint="BF"/>
    </w:rPr>
  </w:style>
  <w:style w:type="paragraph" w:styleId="ListParagraph">
    <w:name w:val="List Paragraph"/>
    <w:basedOn w:val="Normal"/>
    <w:uiPriority w:val="34"/>
    <w:qFormat/>
    <w:rsid w:val="009F2A5C"/>
    <w:pPr>
      <w:ind w:left="720"/>
      <w:contextualSpacing/>
    </w:pPr>
  </w:style>
  <w:style w:type="character" w:styleId="IntenseEmphasis">
    <w:name w:val="Intense Emphasis"/>
    <w:basedOn w:val="DefaultParagraphFont"/>
    <w:uiPriority w:val="21"/>
    <w:qFormat/>
    <w:rsid w:val="009F2A5C"/>
    <w:rPr>
      <w:i/>
      <w:iCs/>
      <w:color w:val="0F4761" w:themeColor="accent1" w:themeShade="BF"/>
    </w:rPr>
  </w:style>
  <w:style w:type="paragraph" w:styleId="IntenseQuote">
    <w:name w:val="Intense Quote"/>
    <w:basedOn w:val="Normal"/>
    <w:next w:val="Normal"/>
    <w:link w:val="IntenseQuoteChar"/>
    <w:uiPriority w:val="30"/>
    <w:qFormat/>
    <w:rsid w:val="009F2A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2A5C"/>
    <w:rPr>
      <w:i/>
      <w:iCs/>
      <w:color w:val="0F4761" w:themeColor="accent1" w:themeShade="BF"/>
    </w:rPr>
  </w:style>
  <w:style w:type="character" w:styleId="IntenseReference">
    <w:name w:val="Intense Reference"/>
    <w:basedOn w:val="DefaultParagraphFont"/>
    <w:uiPriority w:val="32"/>
    <w:qFormat/>
    <w:rsid w:val="009F2A5C"/>
    <w:rPr>
      <w:b/>
      <w:bCs/>
      <w:smallCaps/>
      <w:color w:val="0F4761" w:themeColor="accent1" w:themeShade="BF"/>
      <w:spacing w:val="5"/>
    </w:rPr>
  </w:style>
  <w:style w:type="paragraph" w:styleId="NoSpacing">
    <w:name w:val="No Spacing"/>
    <w:uiPriority w:val="1"/>
    <w:qFormat/>
    <w:rsid w:val="009F2A5C"/>
    <w:pPr>
      <w:widowControl w:val="0"/>
      <w:spacing w:after="0" w:line="240" w:lineRule="auto"/>
      <w:jc w:val="both"/>
    </w:pPr>
    <w:rPr>
      <w:rFonts w:ascii="Times New Roman" w:eastAsia="DengXian" w:hAnsi="Times New Roman" w:cs="Times New Roman"/>
      <w:lang w:eastAsia="zh-CN"/>
      <w14:ligatures w14:val="none"/>
    </w:rPr>
  </w:style>
  <w:style w:type="paragraph" w:styleId="NormalWeb">
    <w:name w:val="Normal (Web)"/>
    <w:basedOn w:val="Normal"/>
    <w:uiPriority w:val="99"/>
    <w:unhideWhenUsed/>
    <w:rsid w:val="009F2A5C"/>
    <w:pPr>
      <w:spacing w:before="100" w:beforeAutospacing="1" w:after="100" w:afterAutospacing="1"/>
    </w:pPr>
    <w:rPr>
      <w:rFonts w:ascii="Times New Roman" w:eastAsia="Times New Roman" w:hAnsi="Times New Roman"/>
    </w:rPr>
  </w:style>
  <w:style w:type="table" w:styleId="TableGrid">
    <w:name w:val="Table Grid"/>
    <w:basedOn w:val="TableNormal"/>
    <w:uiPriority w:val="59"/>
    <w:rsid w:val="009F2A5C"/>
    <w:pPr>
      <w:spacing w:after="0" w:line="240" w:lineRule="auto"/>
    </w:pPr>
    <w:rPr>
      <w:rFonts w:ascii="DengXian" w:eastAsia="DengXian" w:hAnsi="DengXi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F2A5C"/>
    <w:pPr>
      <w:spacing w:after="0" w:line="240" w:lineRule="auto"/>
    </w:pPr>
    <w:rPr>
      <w:rFonts w:ascii="DengXian" w:eastAsia="DengXian" w:hAnsi="DengXian" w:cs="Times New Roman"/>
      <w:kern w:val="0"/>
      <w:sz w:val="20"/>
      <w:szCs w:val="20"/>
      <w:lang w:eastAsia="zh-CN"/>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trong">
    <w:name w:val="Strong"/>
    <w:uiPriority w:val="22"/>
    <w:qFormat/>
    <w:rsid w:val="009F2A5C"/>
    <w:rPr>
      <w:b/>
      <w:bCs/>
    </w:rPr>
  </w:style>
  <w:style w:type="character" w:customStyle="1" w:styleId="apple-converted-space">
    <w:name w:val="apple-converted-space"/>
    <w:basedOn w:val="DefaultParagraphFont"/>
    <w:rsid w:val="009F2A5C"/>
  </w:style>
  <w:style w:type="character" w:styleId="Emphasis">
    <w:name w:val="Emphasis"/>
    <w:uiPriority w:val="20"/>
    <w:qFormat/>
    <w:rsid w:val="009F2A5C"/>
    <w:rPr>
      <w:i/>
      <w:iCs/>
    </w:rPr>
  </w:style>
  <w:style w:type="character" w:styleId="Hyperlink">
    <w:name w:val="Hyperlink"/>
    <w:uiPriority w:val="99"/>
    <w:unhideWhenUsed/>
    <w:rsid w:val="009F2A5C"/>
    <w:rPr>
      <w:color w:val="467886"/>
      <w:u w:val="single"/>
    </w:rPr>
  </w:style>
  <w:style w:type="character" w:styleId="CommentReference">
    <w:name w:val="annotation reference"/>
    <w:uiPriority w:val="99"/>
    <w:semiHidden/>
    <w:unhideWhenUsed/>
    <w:rsid w:val="009F2A5C"/>
    <w:rPr>
      <w:sz w:val="16"/>
      <w:szCs w:val="16"/>
    </w:rPr>
  </w:style>
  <w:style w:type="paragraph" w:styleId="CommentText">
    <w:name w:val="annotation text"/>
    <w:basedOn w:val="Normal"/>
    <w:link w:val="CommentTextChar"/>
    <w:uiPriority w:val="99"/>
    <w:unhideWhenUsed/>
    <w:rsid w:val="009F2A5C"/>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9F2A5C"/>
    <w:rPr>
      <w:rFonts w:ascii="Times New Roman" w:eastAsia="Times New Roman" w:hAnsi="Times New Roman" w:cs="SimSun"/>
      <w:kern w:val="0"/>
      <w:sz w:val="20"/>
      <w:szCs w:val="20"/>
      <w:lang w:eastAsia="zh-CN"/>
      <w14:ligatures w14:val="none"/>
    </w:rPr>
  </w:style>
  <w:style w:type="paragraph" w:styleId="CommentSubject">
    <w:name w:val="annotation subject"/>
    <w:basedOn w:val="CommentText"/>
    <w:next w:val="CommentText"/>
    <w:link w:val="CommentSubjectChar"/>
    <w:uiPriority w:val="99"/>
    <w:semiHidden/>
    <w:unhideWhenUsed/>
    <w:rsid w:val="009F2A5C"/>
    <w:rPr>
      <w:b/>
      <w:bCs/>
    </w:rPr>
  </w:style>
  <w:style w:type="character" w:customStyle="1" w:styleId="CommentSubjectChar">
    <w:name w:val="Comment Subject Char"/>
    <w:basedOn w:val="CommentTextChar"/>
    <w:link w:val="CommentSubject"/>
    <w:uiPriority w:val="99"/>
    <w:semiHidden/>
    <w:rsid w:val="009F2A5C"/>
    <w:rPr>
      <w:rFonts w:ascii="Times New Roman" w:eastAsia="Times New Roman" w:hAnsi="Times New Roman" w:cs="SimSun"/>
      <w:b/>
      <w:bCs/>
      <w:kern w:val="0"/>
      <w:sz w:val="20"/>
      <w:szCs w:val="20"/>
      <w:lang w:eastAsia="zh-CN"/>
      <w14:ligatures w14:val="none"/>
    </w:rPr>
  </w:style>
  <w:style w:type="paragraph" w:styleId="Revision">
    <w:name w:val="Revision"/>
    <w:hidden/>
    <w:uiPriority w:val="99"/>
    <w:semiHidden/>
    <w:rsid w:val="009F2A5C"/>
    <w:pPr>
      <w:spacing w:after="0" w:line="240" w:lineRule="auto"/>
    </w:pPr>
    <w:rPr>
      <w:rFonts w:ascii="SimSun" w:eastAsia="SimSun" w:hAnsi="SimSun" w:cs="SimSun"/>
      <w:kern w:val="0"/>
      <w:lang w:eastAsia="zh-CN"/>
      <w14:ligatures w14:val="none"/>
    </w:rPr>
  </w:style>
  <w:style w:type="paragraph" w:styleId="TableofAuthorities">
    <w:name w:val="table of authorities"/>
    <w:basedOn w:val="Normal"/>
    <w:next w:val="Normal"/>
    <w:uiPriority w:val="99"/>
    <w:unhideWhenUsed/>
    <w:rsid w:val="009F2A5C"/>
    <w:pPr>
      <w:ind w:left="240" w:hanging="240"/>
    </w:pPr>
    <w:rPr>
      <w:rFonts w:ascii="DengXian" w:eastAsia="DengXian" w:hAnsi="Times New Roman"/>
      <w:sz w:val="20"/>
      <w:szCs w:val="20"/>
    </w:rPr>
  </w:style>
  <w:style w:type="paragraph" w:styleId="TOAHeading">
    <w:name w:val="toa heading"/>
    <w:basedOn w:val="Normal"/>
    <w:next w:val="Normal"/>
    <w:uiPriority w:val="99"/>
    <w:unhideWhenUsed/>
    <w:rsid w:val="009F2A5C"/>
    <w:pPr>
      <w:spacing w:before="240" w:after="120"/>
      <w:jc w:val="center"/>
    </w:pPr>
    <w:rPr>
      <w:rFonts w:ascii="DengXian" w:eastAsia="DengXian" w:hAnsi="Arial" w:cs="Arial"/>
      <w:smallCaps/>
      <w:sz w:val="22"/>
      <w:szCs w:val="22"/>
      <w:u w:val="single"/>
    </w:rPr>
  </w:style>
  <w:style w:type="paragraph" w:styleId="Header">
    <w:name w:val="header"/>
    <w:basedOn w:val="Normal"/>
    <w:link w:val="HeaderChar"/>
    <w:uiPriority w:val="99"/>
    <w:unhideWhenUsed/>
    <w:rsid w:val="009F2A5C"/>
    <w:pPr>
      <w:tabs>
        <w:tab w:val="center" w:pos="4680"/>
        <w:tab w:val="right" w:pos="9360"/>
      </w:tabs>
    </w:pPr>
    <w:rPr>
      <w:rFonts w:ascii="Times New Roman" w:eastAsia="Times New Roman" w:hAnsi="Times New Roman"/>
    </w:rPr>
  </w:style>
  <w:style w:type="character" w:customStyle="1" w:styleId="HeaderChar">
    <w:name w:val="Header Char"/>
    <w:basedOn w:val="DefaultParagraphFont"/>
    <w:link w:val="Header"/>
    <w:uiPriority w:val="99"/>
    <w:rsid w:val="009F2A5C"/>
    <w:rPr>
      <w:rFonts w:ascii="Times New Roman" w:eastAsia="Times New Roman" w:hAnsi="Times New Roman" w:cs="SimSun"/>
      <w:kern w:val="0"/>
      <w:lang w:eastAsia="zh-CN"/>
      <w14:ligatures w14:val="none"/>
    </w:rPr>
  </w:style>
  <w:style w:type="paragraph" w:styleId="Footer">
    <w:name w:val="footer"/>
    <w:basedOn w:val="Normal"/>
    <w:link w:val="FooterChar"/>
    <w:uiPriority w:val="99"/>
    <w:unhideWhenUsed/>
    <w:rsid w:val="009F2A5C"/>
    <w:pPr>
      <w:tabs>
        <w:tab w:val="center" w:pos="4680"/>
        <w:tab w:val="right" w:pos="9360"/>
      </w:tabs>
    </w:pPr>
    <w:rPr>
      <w:rFonts w:ascii="Times New Roman" w:eastAsia="Times New Roman" w:hAnsi="Times New Roman"/>
    </w:rPr>
  </w:style>
  <w:style w:type="character" w:customStyle="1" w:styleId="FooterChar">
    <w:name w:val="Footer Char"/>
    <w:basedOn w:val="DefaultParagraphFont"/>
    <w:link w:val="Footer"/>
    <w:uiPriority w:val="99"/>
    <w:rsid w:val="009F2A5C"/>
    <w:rPr>
      <w:rFonts w:ascii="Times New Roman" w:eastAsia="Times New Roman" w:hAnsi="Times New Roman" w:cs="SimSun"/>
      <w:kern w:val="0"/>
      <w:lang w:eastAsia="zh-CN"/>
      <w14:ligatures w14:val="none"/>
    </w:rPr>
  </w:style>
  <w:style w:type="character" w:styleId="UnresolvedMention">
    <w:name w:val="Unresolved Mention"/>
    <w:uiPriority w:val="99"/>
    <w:semiHidden/>
    <w:unhideWhenUsed/>
    <w:rsid w:val="009F2A5C"/>
    <w:rPr>
      <w:color w:val="605E5C"/>
      <w:shd w:val="clear" w:color="auto" w:fill="E1DFDD"/>
    </w:rPr>
  </w:style>
  <w:style w:type="paragraph" w:styleId="BodyText">
    <w:name w:val="Body Text"/>
    <w:basedOn w:val="Normal"/>
    <w:link w:val="BodyTextChar"/>
    <w:uiPriority w:val="99"/>
    <w:unhideWhenUsed/>
    <w:rsid w:val="009F2A5C"/>
    <w:pPr>
      <w:spacing w:after="120" w:line="276" w:lineRule="auto"/>
    </w:pPr>
    <w:rPr>
      <w:rFonts w:ascii="Calibri" w:eastAsia="DengXian" w:hAnsi="Calibri" w:cs="Times New Roman"/>
      <w:sz w:val="22"/>
      <w:szCs w:val="22"/>
      <w:lang w:eastAsia="en-US"/>
    </w:rPr>
  </w:style>
  <w:style w:type="character" w:customStyle="1" w:styleId="BodyTextChar">
    <w:name w:val="Body Text Char"/>
    <w:basedOn w:val="DefaultParagraphFont"/>
    <w:link w:val="BodyText"/>
    <w:uiPriority w:val="99"/>
    <w:rsid w:val="009F2A5C"/>
    <w:rPr>
      <w:rFonts w:ascii="Calibri" w:eastAsia="DengXian" w:hAnsi="Calibri" w:cs="Times New Roman"/>
      <w:kern w:val="0"/>
      <w:sz w:val="22"/>
      <w:szCs w:val="22"/>
      <w:lang w:eastAsia="en-US"/>
      <w14:ligatures w14:val="none"/>
    </w:rPr>
  </w:style>
  <w:style w:type="paragraph" w:styleId="BodyText2">
    <w:name w:val="Body Text 2"/>
    <w:basedOn w:val="Normal"/>
    <w:link w:val="BodyText2Char"/>
    <w:uiPriority w:val="99"/>
    <w:unhideWhenUsed/>
    <w:rsid w:val="009F2A5C"/>
    <w:pPr>
      <w:spacing w:after="120" w:line="480" w:lineRule="auto"/>
    </w:pPr>
    <w:rPr>
      <w:rFonts w:ascii="Calibri" w:eastAsia="DengXian" w:hAnsi="Calibri" w:cs="Times New Roman"/>
      <w:sz w:val="22"/>
      <w:szCs w:val="22"/>
      <w:lang w:eastAsia="en-US"/>
    </w:rPr>
  </w:style>
  <w:style w:type="character" w:customStyle="1" w:styleId="BodyText2Char">
    <w:name w:val="Body Text 2 Char"/>
    <w:basedOn w:val="DefaultParagraphFont"/>
    <w:link w:val="BodyText2"/>
    <w:uiPriority w:val="99"/>
    <w:rsid w:val="009F2A5C"/>
    <w:rPr>
      <w:rFonts w:ascii="Calibri" w:eastAsia="DengXian" w:hAnsi="Calibri" w:cs="Times New Roman"/>
      <w:kern w:val="0"/>
      <w:sz w:val="22"/>
      <w:szCs w:val="22"/>
      <w:lang w:eastAsia="en-US"/>
      <w14:ligatures w14:val="none"/>
    </w:rPr>
  </w:style>
  <w:style w:type="paragraph" w:styleId="BodyText3">
    <w:name w:val="Body Text 3"/>
    <w:basedOn w:val="Normal"/>
    <w:link w:val="BodyText3Char"/>
    <w:uiPriority w:val="99"/>
    <w:unhideWhenUsed/>
    <w:rsid w:val="009F2A5C"/>
    <w:pPr>
      <w:spacing w:after="120" w:line="276" w:lineRule="auto"/>
    </w:pPr>
    <w:rPr>
      <w:rFonts w:ascii="Calibri" w:eastAsia="DengXian" w:hAnsi="Calibri" w:cs="Times New Roman"/>
      <w:sz w:val="16"/>
      <w:szCs w:val="16"/>
      <w:lang w:eastAsia="en-US"/>
    </w:rPr>
  </w:style>
  <w:style w:type="character" w:customStyle="1" w:styleId="BodyText3Char">
    <w:name w:val="Body Text 3 Char"/>
    <w:basedOn w:val="DefaultParagraphFont"/>
    <w:link w:val="BodyText3"/>
    <w:uiPriority w:val="99"/>
    <w:rsid w:val="009F2A5C"/>
    <w:rPr>
      <w:rFonts w:ascii="Calibri" w:eastAsia="DengXian" w:hAnsi="Calibri" w:cs="Times New Roman"/>
      <w:kern w:val="0"/>
      <w:sz w:val="16"/>
      <w:szCs w:val="16"/>
      <w:lang w:eastAsia="en-US"/>
      <w14:ligatures w14:val="none"/>
    </w:rPr>
  </w:style>
  <w:style w:type="paragraph" w:styleId="List">
    <w:name w:val="List"/>
    <w:basedOn w:val="Normal"/>
    <w:uiPriority w:val="99"/>
    <w:unhideWhenUsed/>
    <w:rsid w:val="009F2A5C"/>
    <w:pPr>
      <w:spacing w:after="200" w:line="276" w:lineRule="auto"/>
      <w:ind w:left="360" w:hanging="360"/>
      <w:contextualSpacing/>
    </w:pPr>
    <w:rPr>
      <w:rFonts w:ascii="Calibri" w:eastAsia="DengXian" w:hAnsi="Calibri" w:cs="Times New Roman"/>
      <w:sz w:val="22"/>
      <w:szCs w:val="22"/>
      <w:lang w:eastAsia="en-US"/>
    </w:rPr>
  </w:style>
  <w:style w:type="paragraph" w:styleId="List2">
    <w:name w:val="List 2"/>
    <w:basedOn w:val="Normal"/>
    <w:uiPriority w:val="99"/>
    <w:unhideWhenUsed/>
    <w:rsid w:val="009F2A5C"/>
    <w:pPr>
      <w:spacing w:after="200" w:line="276" w:lineRule="auto"/>
      <w:ind w:left="720" w:hanging="360"/>
      <w:contextualSpacing/>
    </w:pPr>
    <w:rPr>
      <w:rFonts w:ascii="Calibri" w:eastAsia="DengXian" w:hAnsi="Calibri" w:cs="Times New Roman"/>
      <w:sz w:val="22"/>
      <w:szCs w:val="22"/>
      <w:lang w:eastAsia="en-US"/>
    </w:rPr>
  </w:style>
  <w:style w:type="paragraph" w:styleId="List3">
    <w:name w:val="List 3"/>
    <w:basedOn w:val="Normal"/>
    <w:uiPriority w:val="99"/>
    <w:unhideWhenUsed/>
    <w:rsid w:val="009F2A5C"/>
    <w:pPr>
      <w:spacing w:after="200" w:line="276" w:lineRule="auto"/>
      <w:ind w:left="1080" w:hanging="360"/>
      <w:contextualSpacing/>
    </w:pPr>
    <w:rPr>
      <w:rFonts w:ascii="Calibri" w:eastAsia="DengXian" w:hAnsi="Calibri" w:cs="Times New Roman"/>
      <w:sz w:val="22"/>
      <w:szCs w:val="22"/>
      <w:lang w:eastAsia="en-US"/>
    </w:rPr>
  </w:style>
  <w:style w:type="paragraph" w:styleId="ListBullet">
    <w:name w:val="List Bullet"/>
    <w:basedOn w:val="Normal"/>
    <w:uiPriority w:val="99"/>
    <w:unhideWhenUsed/>
    <w:rsid w:val="009F2A5C"/>
    <w:pPr>
      <w:numPr>
        <w:numId w:val="4"/>
      </w:numPr>
      <w:tabs>
        <w:tab w:val="clear" w:pos="360"/>
      </w:tabs>
      <w:spacing w:after="200" w:line="276" w:lineRule="auto"/>
      <w:ind w:left="0" w:firstLine="0"/>
      <w:contextualSpacing/>
    </w:pPr>
    <w:rPr>
      <w:rFonts w:ascii="Calibri" w:eastAsia="DengXian" w:hAnsi="Calibri" w:cs="Times New Roman"/>
      <w:sz w:val="22"/>
      <w:szCs w:val="22"/>
      <w:lang w:eastAsia="en-US"/>
    </w:rPr>
  </w:style>
  <w:style w:type="paragraph" w:styleId="ListBullet2">
    <w:name w:val="List Bullet 2"/>
    <w:basedOn w:val="Normal"/>
    <w:uiPriority w:val="99"/>
    <w:unhideWhenUsed/>
    <w:rsid w:val="009F2A5C"/>
    <w:pPr>
      <w:numPr>
        <w:numId w:val="5"/>
      </w:numPr>
      <w:tabs>
        <w:tab w:val="clear" w:pos="720"/>
      </w:tabs>
      <w:spacing w:after="200" w:line="276" w:lineRule="auto"/>
      <w:ind w:left="0" w:firstLine="0"/>
      <w:contextualSpacing/>
    </w:pPr>
    <w:rPr>
      <w:rFonts w:ascii="Calibri" w:eastAsia="DengXian" w:hAnsi="Calibri" w:cs="Times New Roman"/>
      <w:sz w:val="22"/>
      <w:szCs w:val="22"/>
      <w:lang w:eastAsia="en-US"/>
    </w:rPr>
  </w:style>
  <w:style w:type="paragraph" w:styleId="ListBullet3">
    <w:name w:val="List Bullet 3"/>
    <w:basedOn w:val="Normal"/>
    <w:uiPriority w:val="99"/>
    <w:unhideWhenUsed/>
    <w:rsid w:val="009F2A5C"/>
    <w:pPr>
      <w:numPr>
        <w:numId w:val="6"/>
      </w:numPr>
      <w:tabs>
        <w:tab w:val="clear" w:pos="1080"/>
      </w:tabs>
      <w:spacing w:after="200" w:line="276" w:lineRule="auto"/>
      <w:ind w:left="0" w:firstLine="0"/>
      <w:contextualSpacing/>
    </w:pPr>
    <w:rPr>
      <w:rFonts w:ascii="Calibri" w:eastAsia="DengXian" w:hAnsi="Calibri" w:cs="Times New Roman"/>
      <w:sz w:val="22"/>
      <w:szCs w:val="22"/>
      <w:lang w:eastAsia="en-US"/>
    </w:rPr>
  </w:style>
  <w:style w:type="paragraph" w:styleId="ListNumber">
    <w:name w:val="List Number"/>
    <w:basedOn w:val="Normal"/>
    <w:uiPriority w:val="99"/>
    <w:unhideWhenUsed/>
    <w:rsid w:val="009F2A5C"/>
    <w:pPr>
      <w:numPr>
        <w:numId w:val="8"/>
      </w:numPr>
      <w:tabs>
        <w:tab w:val="clear" w:pos="360"/>
      </w:tabs>
      <w:spacing w:after="200" w:line="276" w:lineRule="auto"/>
      <w:ind w:left="0" w:firstLine="0"/>
      <w:contextualSpacing/>
    </w:pPr>
    <w:rPr>
      <w:rFonts w:ascii="Calibri" w:eastAsia="DengXian" w:hAnsi="Calibri" w:cs="Times New Roman"/>
      <w:sz w:val="22"/>
      <w:szCs w:val="22"/>
      <w:lang w:eastAsia="en-US"/>
    </w:rPr>
  </w:style>
  <w:style w:type="paragraph" w:styleId="ListNumber2">
    <w:name w:val="List Number 2"/>
    <w:basedOn w:val="Normal"/>
    <w:uiPriority w:val="99"/>
    <w:unhideWhenUsed/>
    <w:rsid w:val="009F2A5C"/>
    <w:pPr>
      <w:numPr>
        <w:numId w:val="9"/>
      </w:numPr>
      <w:tabs>
        <w:tab w:val="clear" w:pos="720"/>
      </w:tabs>
      <w:spacing w:after="200" w:line="276" w:lineRule="auto"/>
      <w:ind w:left="0" w:firstLine="0"/>
      <w:contextualSpacing/>
    </w:pPr>
    <w:rPr>
      <w:rFonts w:ascii="Calibri" w:eastAsia="DengXian" w:hAnsi="Calibri" w:cs="Times New Roman"/>
      <w:sz w:val="22"/>
      <w:szCs w:val="22"/>
      <w:lang w:eastAsia="en-US"/>
    </w:rPr>
  </w:style>
  <w:style w:type="paragraph" w:styleId="ListNumber3">
    <w:name w:val="List Number 3"/>
    <w:basedOn w:val="Normal"/>
    <w:uiPriority w:val="99"/>
    <w:unhideWhenUsed/>
    <w:rsid w:val="009F2A5C"/>
    <w:pPr>
      <w:numPr>
        <w:numId w:val="10"/>
      </w:numPr>
      <w:tabs>
        <w:tab w:val="clear" w:pos="1080"/>
      </w:tabs>
      <w:spacing w:after="200" w:line="276" w:lineRule="auto"/>
      <w:ind w:left="0" w:firstLine="0"/>
      <w:contextualSpacing/>
    </w:pPr>
    <w:rPr>
      <w:rFonts w:ascii="Calibri" w:eastAsia="DengXian" w:hAnsi="Calibri" w:cs="Times New Roman"/>
      <w:sz w:val="22"/>
      <w:szCs w:val="22"/>
      <w:lang w:eastAsia="en-US"/>
    </w:rPr>
  </w:style>
  <w:style w:type="paragraph" w:styleId="ListContinue">
    <w:name w:val="List Continue"/>
    <w:basedOn w:val="Normal"/>
    <w:uiPriority w:val="99"/>
    <w:unhideWhenUsed/>
    <w:rsid w:val="009F2A5C"/>
    <w:pPr>
      <w:spacing w:after="120" w:line="276" w:lineRule="auto"/>
      <w:ind w:left="360"/>
      <w:contextualSpacing/>
    </w:pPr>
    <w:rPr>
      <w:rFonts w:ascii="Calibri" w:eastAsia="DengXian" w:hAnsi="Calibri" w:cs="Times New Roman"/>
      <w:sz w:val="22"/>
      <w:szCs w:val="22"/>
      <w:lang w:eastAsia="en-US"/>
    </w:rPr>
  </w:style>
  <w:style w:type="paragraph" w:styleId="ListContinue2">
    <w:name w:val="List Continue 2"/>
    <w:basedOn w:val="Normal"/>
    <w:uiPriority w:val="99"/>
    <w:unhideWhenUsed/>
    <w:rsid w:val="009F2A5C"/>
    <w:pPr>
      <w:spacing w:after="120" w:line="276" w:lineRule="auto"/>
      <w:ind w:left="720"/>
      <w:contextualSpacing/>
    </w:pPr>
    <w:rPr>
      <w:rFonts w:ascii="Calibri" w:eastAsia="DengXian" w:hAnsi="Calibri" w:cs="Times New Roman"/>
      <w:sz w:val="22"/>
      <w:szCs w:val="22"/>
      <w:lang w:eastAsia="en-US"/>
    </w:rPr>
  </w:style>
  <w:style w:type="paragraph" w:styleId="ListContinue3">
    <w:name w:val="List Continue 3"/>
    <w:basedOn w:val="Normal"/>
    <w:uiPriority w:val="99"/>
    <w:unhideWhenUsed/>
    <w:rsid w:val="009F2A5C"/>
    <w:pPr>
      <w:spacing w:after="120" w:line="276" w:lineRule="auto"/>
      <w:ind w:left="1080"/>
      <w:contextualSpacing/>
    </w:pPr>
    <w:rPr>
      <w:rFonts w:ascii="Calibri" w:eastAsia="DengXian" w:hAnsi="Calibri" w:cs="Times New Roman"/>
      <w:sz w:val="22"/>
      <w:szCs w:val="22"/>
      <w:lang w:eastAsia="en-US"/>
    </w:rPr>
  </w:style>
  <w:style w:type="paragraph" w:styleId="MacroText">
    <w:name w:val="macro"/>
    <w:link w:val="MacroTextChar"/>
    <w:uiPriority w:val="99"/>
    <w:unhideWhenUsed/>
    <w:rsid w:val="009F2A5C"/>
    <w:pPr>
      <w:tabs>
        <w:tab w:val="left" w:pos="576"/>
        <w:tab w:val="left" w:pos="1152"/>
        <w:tab w:val="left" w:pos="1728"/>
        <w:tab w:val="left" w:pos="2304"/>
        <w:tab w:val="left" w:pos="2880"/>
        <w:tab w:val="left" w:pos="3456"/>
        <w:tab w:val="left" w:pos="4032"/>
      </w:tabs>
      <w:spacing w:after="200" w:line="276" w:lineRule="auto"/>
    </w:pPr>
    <w:rPr>
      <w:rFonts w:ascii="Courier" w:eastAsia="DengXian" w:hAnsi="Courier" w:cs="Times New Roman"/>
      <w:kern w:val="0"/>
      <w:sz w:val="20"/>
      <w:szCs w:val="20"/>
      <w:lang w:eastAsia="en-US"/>
      <w14:ligatures w14:val="none"/>
    </w:rPr>
  </w:style>
  <w:style w:type="character" w:customStyle="1" w:styleId="MacroTextChar">
    <w:name w:val="Macro Text Char"/>
    <w:basedOn w:val="DefaultParagraphFont"/>
    <w:link w:val="MacroText"/>
    <w:uiPriority w:val="99"/>
    <w:rsid w:val="009F2A5C"/>
    <w:rPr>
      <w:rFonts w:ascii="Courier" w:eastAsia="DengXian" w:hAnsi="Courier" w:cs="Times New Roman"/>
      <w:kern w:val="0"/>
      <w:sz w:val="20"/>
      <w:szCs w:val="20"/>
      <w:lang w:eastAsia="en-US"/>
      <w14:ligatures w14:val="none"/>
    </w:rPr>
  </w:style>
  <w:style w:type="paragraph" w:styleId="Caption">
    <w:name w:val="caption"/>
    <w:basedOn w:val="Normal"/>
    <w:next w:val="Normal"/>
    <w:uiPriority w:val="35"/>
    <w:semiHidden/>
    <w:unhideWhenUsed/>
    <w:qFormat/>
    <w:rsid w:val="009F2A5C"/>
    <w:pPr>
      <w:spacing w:after="200"/>
    </w:pPr>
    <w:rPr>
      <w:rFonts w:ascii="Calibri" w:eastAsia="DengXian" w:hAnsi="Calibri" w:cs="Times New Roman"/>
      <w:b/>
      <w:bCs/>
      <w:color w:val="156082"/>
      <w:sz w:val="18"/>
      <w:szCs w:val="18"/>
      <w:lang w:eastAsia="en-US"/>
    </w:rPr>
  </w:style>
  <w:style w:type="character" w:styleId="SubtleEmphasis">
    <w:name w:val="Subtle Emphasis"/>
    <w:uiPriority w:val="19"/>
    <w:qFormat/>
    <w:rsid w:val="009F2A5C"/>
    <w:rPr>
      <w:i/>
      <w:iCs/>
      <w:color w:val="808080"/>
    </w:rPr>
  </w:style>
  <w:style w:type="character" w:styleId="SubtleReference">
    <w:name w:val="Subtle Reference"/>
    <w:uiPriority w:val="31"/>
    <w:qFormat/>
    <w:rsid w:val="009F2A5C"/>
    <w:rPr>
      <w:smallCaps/>
      <w:color w:val="E97132"/>
      <w:u w:val="single"/>
    </w:rPr>
  </w:style>
  <w:style w:type="character" w:styleId="BookTitle">
    <w:name w:val="Book Title"/>
    <w:uiPriority w:val="33"/>
    <w:qFormat/>
    <w:rsid w:val="009F2A5C"/>
    <w:rPr>
      <w:b/>
      <w:bCs/>
      <w:smallCaps/>
      <w:spacing w:val="5"/>
    </w:rPr>
  </w:style>
  <w:style w:type="paragraph" w:styleId="TOCHeading">
    <w:name w:val="TOC Heading"/>
    <w:basedOn w:val="Heading1"/>
    <w:next w:val="Normal"/>
    <w:uiPriority w:val="39"/>
    <w:semiHidden/>
    <w:unhideWhenUsed/>
    <w:qFormat/>
    <w:rsid w:val="009F2A5C"/>
    <w:pPr>
      <w:spacing w:before="480" w:after="0" w:line="276" w:lineRule="auto"/>
      <w:outlineLvl w:val="9"/>
    </w:pPr>
    <w:rPr>
      <w:rFonts w:ascii="DengXian Light" w:eastAsia="DengXian Light" w:hAnsi="DengXian Light" w:cs="Times New Roman"/>
      <w:b/>
      <w:bCs/>
      <w:color w:val="0F4761"/>
      <w:sz w:val="28"/>
      <w:szCs w:val="28"/>
      <w:lang w:eastAsia="en-US"/>
    </w:rPr>
  </w:style>
  <w:style w:type="table" w:styleId="LightShading">
    <w:name w:val="Light Shading"/>
    <w:basedOn w:val="TableNormal"/>
    <w:uiPriority w:val="60"/>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F2A5C"/>
    <w:pPr>
      <w:spacing w:after="0" w:line="240" w:lineRule="auto"/>
    </w:pPr>
    <w:rPr>
      <w:rFonts w:ascii="DengXian" w:eastAsia="DengXian" w:hAnsi="DengXian" w:cs="Times New Roman"/>
      <w:color w:val="0F4761"/>
      <w:kern w:val="0"/>
      <w:sz w:val="22"/>
      <w:szCs w:val="22"/>
      <w:lang w:eastAsia="en-US"/>
      <w14:ligatures w14:val="none"/>
    </w:rPr>
    <w:tblPr>
      <w:tblStyleRowBandSize w:val="1"/>
      <w:tblStyleColBandSize w:val="1"/>
      <w:tblBorders>
        <w:top w:val="single" w:sz="8" w:space="0" w:color="156082"/>
        <w:bottom w:val="single" w:sz="8" w:space="0" w:color="156082"/>
      </w:tblBorders>
    </w:tblPr>
    <w:tblStylePr w:type="fir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lastRow">
      <w:pPr>
        <w:spacing w:before="0" w:after="0" w:line="240" w:lineRule="auto"/>
      </w:pPr>
      <w:rPr>
        <w:b/>
        <w:bCs/>
      </w:rPr>
      <w:tblPr/>
      <w:tcPr>
        <w:tcBorders>
          <w:top w:val="single" w:sz="8" w:space="0" w:color="156082"/>
          <w:left w:val="nil"/>
          <w:bottom w:val="single" w:sz="8" w:space="0" w:color="15608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cPr>
    </w:tblStylePr>
    <w:tblStylePr w:type="band1Horz">
      <w:tblPr/>
      <w:tcPr>
        <w:tcBorders>
          <w:left w:val="nil"/>
          <w:right w:val="nil"/>
          <w:insideH w:val="nil"/>
          <w:insideV w:val="nil"/>
        </w:tcBorders>
        <w:shd w:val="clear" w:color="auto" w:fill="B2DEF2"/>
      </w:tcPr>
    </w:tblStylePr>
  </w:style>
  <w:style w:type="table" w:styleId="LightShading-Accent2">
    <w:name w:val="Light Shading Accent 2"/>
    <w:basedOn w:val="TableNormal"/>
    <w:uiPriority w:val="60"/>
    <w:rsid w:val="009F2A5C"/>
    <w:pPr>
      <w:spacing w:after="0" w:line="240" w:lineRule="auto"/>
    </w:pPr>
    <w:rPr>
      <w:rFonts w:ascii="DengXian" w:eastAsia="DengXian" w:hAnsi="DengXian" w:cs="Times New Roman"/>
      <w:color w:val="BF4E14"/>
      <w:kern w:val="0"/>
      <w:sz w:val="22"/>
      <w:szCs w:val="22"/>
      <w:lang w:eastAsia="en-US"/>
      <w14:ligatures w14:val="none"/>
    </w:rPr>
    <w:tblPr>
      <w:tblStyleRowBandSize w:val="1"/>
      <w:tblStyleColBandSize w:val="1"/>
      <w:tblBorders>
        <w:top w:val="single" w:sz="8" w:space="0" w:color="E97132"/>
        <w:bottom w:val="single" w:sz="8" w:space="0" w:color="E97132"/>
      </w:tblBorders>
    </w:tblPr>
    <w:tblStylePr w:type="fir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lastRow">
      <w:pPr>
        <w:spacing w:before="0" w:after="0" w:line="240" w:lineRule="auto"/>
      </w:pPr>
      <w:rPr>
        <w:b/>
        <w:bCs/>
      </w:rPr>
      <w:tblPr/>
      <w:tcPr>
        <w:tcBorders>
          <w:top w:val="single" w:sz="8" w:space="0" w:color="E97132"/>
          <w:left w:val="nil"/>
          <w:bottom w:val="single" w:sz="8" w:space="0" w:color="E9713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cPr>
    </w:tblStylePr>
    <w:tblStylePr w:type="band1Horz">
      <w:tblPr/>
      <w:tcPr>
        <w:tcBorders>
          <w:left w:val="nil"/>
          <w:right w:val="nil"/>
          <w:insideH w:val="nil"/>
          <w:insideV w:val="nil"/>
        </w:tcBorders>
        <w:shd w:val="clear" w:color="auto" w:fill="F9DBCC"/>
      </w:tcPr>
    </w:tblStylePr>
  </w:style>
  <w:style w:type="table" w:styleId="LightShading-Accent3">
    <w:name w:val="Light Shading Accent 3"/>
    <w:basedOn w:val="TableNormal"/>
    <w:uiPriority w:val="60"/>
    <w:rsid w:val="009F2A5C"/>
    <w:pPr>
      <w:spacing w:after="0" w:line="240" w:lineRule="auto"/>
    </w:pPr>
    <w:rPr>
      <w:rFonts w:ascii="DengXian" w:eastAsia="DengXian" w:hAnsi="DengXian" w:cs="Times New Roman"/>
      <w:color w:val="124F1A"/>
      <w:kern w:val="0"/>
      <w:sz w:val="22"/>
      <w:szCs w:val="22"/>
      <w:lang w:eastAsia="en-US"/>
      <w14:ligatures w14:val="none"/>
    </w:rPr>
    <w:tblPr>
      <w:tblStyleRowBandSize w:val="1"/>
      <w:tblStyleColBandSize w:val="1"/>
      <w:tblBorders>
        <w:top w:val="single" w:sz="8" w:space="0" w:color="196B24"/>
        <w:bottom w:val="single" w:sz="8" w:space="0" w:color="196B24"/>
      </w:tblBorders>
    </w:tblPr>
    <w:tblStylePr w:type="fir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lastRow">
      <w:pPr>
        <w:spacing w:before="0" w:after="0" w:line="240" w:lineRule="auto"/>
      </w:pPr>
      <w:rPr>
        <w:b/>
        <w:bCs/>
      </w:rPr>
      <w:tblPr/>
      <w:tcPr>
        <w:tcBorders>
          <w:top w:val="single" w:sz="8" w:space="0" w:color="196B24"/>
          <w:left w:val="nil"/>
          <w:bottom w:val="single" w:sz="8" w:space="0" w:color="196B2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cPr>
    </w:tblStylePr>
    <w:tblStylePr w:type="band1Horz">
      <w:tblPr/>
      <w:tcPr>
        <w:tcBorders>
          <w:left w:val="nil"/>
          <w:right w:val="nil"/>
          <w:insideH w:val="nil"/>
          <w:insideV w:val="nil"/>
        </w:tcBorders>
        <w:shd w:val="clear" w:color="auto" w:fill="B3EDBA"/>
      </w:tcPr>
    </w:tblStylePr>
  </w:style>
  <w:style w:type="table" w:styleId="LightShading-Accent4">
    <w:name w:val="Light Shading Accent 4"/>
    <w:basedOn w:val="TableNormal"/>
    <w:uiPriority w:val="60"/>
    <w:rsid w:val="009F2A5C"/>
    <w:pPr>
      <w:spacing w:after="0" w:line="240" w:lineRule="auto"/>
    </w:pPr>
    <w:rPr>
      <w:rFonts w:ascii="DengXian" w:eastAsia="DengXian" w:hAnsi="DengXian" w:cs="Times New Roman"/>
      <w:color w:val="0B769F"/>
      <w:kern w:val="0"/>
      <w:sz w:val="22"/>
      <w:szCs w:val="22"/>
      <w:lang w:eastAsia="en-US"/>
      <w14:ligatures w14:val="none"/>
    </w:rPr>
    <w:tblPr>
      <w:tblStyleRowBandSize w:val="1"/>
      <w:tblStyleColBandSize w:val="1"/>
      <w:tblBorders>
        <w:top w:val="single" w:sz="8" w:space="0" w:color="0F9ED5"/>
        <w:bottom w:val="single" w:sz="8" w:space="0" w:color="0F9ED5"/>
      </w:tblBorders>
    </w:tblPr>
    <w:tblStylePr w:type="fir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lastRow">
      <w:pPr>
        <w:spacing w:before="0" w:after="0" w:line="240" w:lineRule="auto"/>
      </w:pPr>
      <w:rPr>
        <w:b/>
        <w:bCs/>
      </w:rPr>
      <w:tblPr/>
      <w:tcPr>
        <w:tcBorders>
          <w:top w:val="single" w:sz="8" w:space="0" w:color="0F9ED5"/>
          <w:left w:val="nil"/>
          <w:bottom w:val="single" w:sz="8" w:space="0" w:color="0F9E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cPr>
    </w:tblStylePr>
    <w:tblStylePr w:type="band1Horz">
      <w:tblPr/>
      <w:tcPr>
        <w:tcBorders>
          <w:left w:val="nil"/>
          <w:right w:val="nil"/>
          <w:insideH w:val="nil"/>
          <w:insideV w:val="nil"/>
        </w:tcBorders>
        <w:shd w:val="clear" w:color="auto" w:fill="BDE9FA"/>
      </w:tcPr>
    </w:tblStylePr>
  </w:style>
  <w:style w:type="table" w:styleId="LightShading-Accent5">
    <w:name w:val="Light Shading Accent 5"/>
    <w:basedOn w:val="TableNormal"/>
    <w:uiPriority w:val="60"/>
    <w:rsid w:val="009F2A5C"/>
    <w:pPr>
      <w:spacing w:after="0" w:line="240" w:lineRule="auto"/>
    </w:pPr>
    <w:rPr>
      <w:rFonts w:ascii="DengXian" w:eastAsia="DengXian" w:hAnsi="DengXian" w:cs="Times New Roman"/>
      <w:color w:val="77206D"/>
      <w:kern w:val="0"/>
      <w:sz w:val="22"/>
      <w:szCs w:val="22"/>
      <w:lang w:eastAsia="en-US"/>
      <w14:ligatures w14:val="none"/>
    </w:rPr>
    <w:tblPr>
      <w:tblStyleRowBandSize w:val="1"/>
      <w:tblStyleColBandSize w:val="1"/>
      <w:tblBorders>
        <w:top w:val="single" w:sz="8" w:space="0" w:color="A02B93"/>
        <w:bottom w:val="single" w:sz="8" w:space="0" w:color="A02B93"/>
      </w:tblBorders>
    </w:tblPr>
    <w:tblStylePr w:type="fir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lastRow">
      <w:pPr>
        <w:spacing w:before="0" w:after="0" w:line="240" w:lineRule="auto"/>
      </w:pPr>
      <w:rPr>
        <w:b/>
        <w:bCs/>
      </w:rPr>
      <w:tblPr/>
      <w:tcPr>
        <w:tcBorders>
          <w:top w:val="single" w:sz="8" w:space="0" w:color="A02B93"/>
          <w:left w:val="nil"/>
          <w:bottom w:val="single" w:sz="8" w:space="0" w:color="A02B9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cPr>
    </w:tblStylePr>
    <w:tblStylePr w:type="band1Horz">
      <w:tblPr/>
      <w:tcPr>
        <w:tcBorders>
          <w:left w:val="nil"/>
          <w:right w:val="nil"/>
          <w:insideH w:val="nil"/>
          <w:insideV w:val="nil"/>
        </w:tcBorders>
        <w:shd w:val="clear" w:color="auto" w:fill="EFC3E9"/>
      </w:tcPr>
    </w:tblStylePr>
  </w:style>
  <w:style w:type="table" w:styleId="LightShading-Accent6">
    <w:name w:val="Light Shading Accent 6"/>
    <w:basedOn w:val="TableNormal"/>
    <w:uiPriority w:val="60"/>
    <w:rsid w:val="009F2A5C"/>
    <w:pPr>
      <w:spacing w:after="0" w:line="240" w:lineRule="auto"/>
    </w:pPr>
    <w:rPr>
      <w:rFonts w:ascii="DengXian" w:eastAsia="DengXian" w:hAnsi="DengXian" w:cs="Times New Roman"/>
      <w:color w:val="3A7C22"/>
      <w:kern w:val="0"/>
      <w:sz w:val="22"/>
      <w:szCs w:val="22"/>
      <w:lang w:eastAsia="en-US"/>
      <w14:ligatures w14:val="none"/>
    </w:rPr>
    <w:tblPr>
      <w:tblStyleRowBandSize w:val="1"/>
      <w:tblStyleColBandSize w:val="1"/>
      <w:tblBorders>
        <w:top w:val="single" w:sz="8" w:space="0" w:color="4EA72E"/>
        <w:bottom w:val="single" w:sz="8" w:space="0" w:color="4EA72E"/>
      </w:tblBorders>
    </w:tblPr>
    <w:tblStylePr w:type="fir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lastRow">
      <w:pPr>
        <w:spacing w:before="0" w:after="0" w:line="240" w:lineRule="auto"/>
      </w:pPr>
      <w:rPr>
        <w:b/>
        <w:bCs/>
      </w:rPr>
      <w:tblPr/>
      <w:tcPr>
        <w:tcBorders>
          <w:top w:val="single" w:sz="8" w:space="0" w:color="4EA72E"/>
          <w:left w:val="nil"/>
          <w:bottom w:val="single" w:sz="8" w:space="0" w:color="4EA72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cPr>
    </w:tblStylePr>
    <w:tblStylePr w:type="band1Horz">
      <w:tblPr/>
      <w:tcPr>
        <w:tcBorders>
          <w:left w:val="nil"/>
          <w:right w:val="nil"/>
          <w:insideH w:val="nil"/>
          <w:insideV w:val="nil"/>
        </w:tcBorders>
        <w:shd w:val="clear" w:color="auto" w:fill="D0EFC5"/>
      </w:tcPr>
    </w:tblStylePr>
  </w:style>
  <w:style w:type="table" w:styleId="LightList">
    <w:name w:val="Light List"/>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pPr>
        <w:spacing w:before="0" w:after="0" w:line="240" w:lineRule="auto"/>
      </w:pPr>
      <w:rPr>
        <w:b/>
        <w:bCs/>
        <w:color w:val="FFFFFF"/>
      </w:rPr>
      <w:tblPr/>
      <w:tcPr>
        <w:shd w:val="clear" w:color="auto" w:fill="156082"/>
      </w:tcPr>
    </w:tblStylePr>
    <w:tblStylePr w:type="lastRow">
      <w:pPr>
        <w:spacing w:before="0" w:after="0" w:line="240" w:lineRule="auto"/>
      </w:pPr>
      <w:rPr>
        <w:b/>
        <w:bCs/>
      </w:rPr>
      <w:tblPr/>
      <w:tcPr>
        <w:tcBorders>
          <w:top w:val="double" w:sz="6" w:space="0" w:color="156082"/>
          <w:left w:val="single" w:sz="8" w:space="0" w:color="156082"/>
          <w:bottom w:val="single" w:sz="8" w:space="0" w:color="156082"/>
          <w:right w:val="single" w:sz="8" w:space="0" w:color="156082"/>
        </w:tcBorders>
      </w:tcPr>
    </w:tblStylePr>
    <w:tblStylePr w:type="firstCol">
      <w:rPr>
        <w:b/>
        <w:bCs/>
      </w:rPr>
    </w:tblStylePr>
    <w:tblStylePr w:type="lastCol">
      <w:rPr>
        <w:b/>
        <w:bCs/>
      </w:rPr>
    </w:tblStylePr>
    <w:tblStylePr w:type="band1Vert">
      <w:tblPr/>
      <w:tcPr>
        <w:tcBorders>
          <w:top w:val="single" w:sz="8" w:space="0" w:color="156082"/>
          <w:left w:val="single" w:sz="8" w:space="0" w:color="156082"/>
          <w:bottom w:val="single" w:sz="8" w:space="0" w:color="156082"/>
          <w:right w:val="single" w:sz="8" w:space="0" w:color="156082"/>
        </w:tcBorders>
      </w:tcPr>
    </w:tblStylePr>
    <w:tblStylePr w:type="band1Horz">
      <w:tblPr/>
      <w:tcPr>
        <w:tcBorders>
          <w:top w:val="single" w:sz="8" w:space="0" w:color="156082"/>
          <w:left w:val="single" w:sz="8" w:space="0" w:color="156082"/>
          <w:bottom w:val="single" w:sz="8" w:space="0" w:color="156082"/>
          <w:right w:val="single" w:sz="8" w:space="0" w:color="156082"/>
        </w:tcBorders>
      </w:tcPr>
    </w:tblStylePr>
  </w:style>
  <w:style w:type="table" w:styleId="LightList-Accent2">
    <w:name w:val="Light List Accent 2"/>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pPr>
        <w:spacing w:before="0" w:after="0" w:line="240" w:lineRule="auto"/>
      </w:pPr>
      <w:rPr>
        <w:b/>
        <w:bCs/>
        <w:color w:val="FFFFFF"/>
      </w:rPr>
      <w:tblPr/>
      <w:tcPr>
        <w:shd w:val="clear" w:color="auto" w:fill="E97132"/>
      </w:tcPr>
    </w:tblStylePr>
    <w:tblStylePr w:type="lastRow">
      <w:pPr>
        <w:spacing w:before="0" w:after="0" w:line="240" w:lineRule="auto"/>
      </w:pPr>
      <w:rPr>
        <w:b/>
        <w:bCs/>
      </w:rPr>
      <w:tblPr/>
      <w:tcPr>
        <w:tcBorders>
          <w:top w:val="double" w:sz="6" w:space="0" w:color="E97132"/>
          <w:left w:val="single" w:sz="8" w:space="0" w:color="E97132"/>
          <w:bottom w:val="single" w:sz="8" w:space="0" w:color="E97132"/>
          <w:right w:val="single" w:sz="8" w:space="0" w:color="E97132"/>
        </w:tcBorders>
      </w:tcPr>
    </w:tblStylePr>
    <w:tblStylePr w:type="firstCol">
      <w:rPr>
        <w:b/>
        <w:bCs/>
      </w:rPr>
    </w:tblStylePr>
    <w:tblStylePr w:type="lastCol">
      <w:rPr>
        <w:b/>
        <w:bCs/>
      </w:rPr>
    </w:tblStylePr>
    <w:tblStylePr w:type="band1Vert">
      <w:tblPr/>
      <w:tcPr>
        <w:tcBorders>
          <w:top w:val="single" w:sz="8" w:space="0" w:color="E97132"/>
          <w:left w:val="single" w:sz="8" w:space="0" w:color="E97132"/>
          <w:bottom w:val="single" w:sz="8" w:space="0" w:color="E97132"/>
          <w:right w:val="single" w:sz="8" w:space="0" w:color="E97132"/>
        </w:tcBorders>
      </w:tcPr>
    </w:tblStylePr>
    <w:tblStylePr w:type="band1Horz">
      <w:tblPr/>
      <w:tcPr>
        <w:tcBorders>
          <w:top w:val="single" w:sz="8" w:space="0" w:color="E97132"/>
          <w:left w:val="single" w:sz="8" w:space="0" w:color="E97132"/>
          <w:bottom w:val="single" w:sz="8" w:space="0" w:color="E97132"/>
          <w:right w:val="single" w:sz="8" w:space="0" w:color="E97132"/>
        </w:tcBorders>
      </w:tcPr>
    </w:tblStylePr>
  </w:style>
  <w:style w:type="table" w:styleId="LightList-Accent3">
    <w:name w:val="Light List Accent 3"/>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pPr>
        <w:spacing w:before="0" w:after="0" w:line="240" w:lineRule="auto"/>
      </w:pPr>
      <w:rPr>
        <w:b/>
        <w:bCs/>
        <w:color w:val="FFFFFF"/>
      </w:rPr>
      <w:tblPr/>
      <w:tcPr>
        <w:shd w:val="clear" w:color="auto" w:fill="196B24"/>
      </w:tcPr>
    </w:tblStylePr>
    <w:tblStylePr w:type="lastRow">
      <w:pPr>
        <w:spacing w:before="0" w:after="0" w:line="240" w:lineRule="auto"/>
      </w:pPr>
      <w:rPr>
        <w:b/>
        <w:bCs/>
      </w:rPr>
      <w:tblPr/>
      <w:tcPr>
        <w:tcBorders>
          <w:top w:val="double" w:sz="6" w:space="0" w:color="196B24"/>
          <w:left w:val="single" w:sz="8" w:space="0" w:color="196B24"/>
          <w:bottom w:val="single" w:sz="8" w:space="0" w:color="196B24"/>
          <w:right w:val="single" w:sz="8" w:space="0" w:color="196B24"/>
        </w:tcBorders>
      </w:tcPr>
    </w:tblStylePr>
    <w:tblStylePr w:type="firstCol">
      <w:rPr>
        <w:b/>
        <w:bCs/>
      </w:rPr>
    </w:tblStylePr>
    <w:tblStylePr w:type="lastCol">
      <w:rPr>
        <w:b/>
        <w:bCs/>
      </w:rPr>
    </w:tblStylePr>
    <w:tblStylePr w:type="band1Vert">
      <w:tblPr/>
      <w:tcPr>
        <w:tcBorders>
          <w:top w:val="single" w:sz="8" w:space="0" w:color="196B24"/>
          <w:left w:val="single" w:sz="8" w:space="0" w:color="196B24"/>
          <w:bottom w:val="single" w:sz="8" w:space="0" w:color="196B24"/>
          <w:right w:val="single" w:sz="8" w:space="0" w:color="196B24"/>
        </w:tcBorders>
      </w:tcPr>
    </w:tblStylePr>
    <w:tblStylePr w:type="band1Horz">
      <w:tblPr/>
      <w:tcPr>
        <w:tcBorders>
          <w:top w:val="single" w:sz="8" w:space="0" w:color="196B24"/>
          <w:left w:val="single" w:sz="8" w:space="0" w:color="196B24"/>
          <w:bottom w:val="single" w:sz="8" w:space="0" w:color="196B24"/>
          <w:right w:val="single" w:sz="8" w:space="0" w:color="196B24"/>
        </w:tcBorders>
      </w:tcPr>
    </w:tblStylePr>
  </w:style>
  <w:style w:type="table" w:styleId="LightList-Accent4">
    <w:name w:val="Light List Accent 4"/>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pPr>
        <w:spacing w:before="0" w:after="0" w:line="240" w:lineRule="auto"/>
      </w:pPr>
      <w:rPr>
        <w:b/>
        <w:bCs/>
        <w:color w:val="FFFFFF"/>
      </w:rPr>
      <w:tblPr/>
      <w:tcPr>
        <w:shd w:val="clear" w:color="auto" w:fill="0F9ED5"/>
      </w:tcPr>
    </w:tblStylePr>
    <w:tblStylePr w:type="lastRow">
      <w:pPr>
        <w:spacing w:before="0" w:after="0" w:line="240" w:lineRule="auto"/>
      </w:pPr>
      <w:rPr>
        <w:b/>
        <w:bCs/>
      </w:rPr>
      <w:tblPr/>
      <w:tcPr>
        <w:tcBorders>
          <w:top w:val="double" w:sz="6" w:space="0" w:color="0F9ED5"/>
          <w:left w:val="single" w:sz="8" w:space="0" w:color="0F9ED5"/>
          <w:bottom w:val="single" w:sz="8" w:space="0" w:color="0F9ED5"/>
          <w:right w:val="single" w:sz="8" w:space="0" w:color="0F9ED5"/>
        </w:tcBorders>
      </w:tcPr>
    </w:tblStylePr>
    <w:tblStylePr w:type="firstCol">
      <w:rPr>
        <w:b/>
        <w:bCs/>
      </w:rPr>
    </w:tblStylePr>
    <w:tblStylePr w:type="lastCol">
      <w:rPr>
        <w:b/>
        <w:bCs/>
      </w:rPr>
    </w:tblStylePr>
    <w:tblStylePr w:type="band1Vert">
      <w:tblPr/>
      <w:tcPr>
        <w:tcBorders>
          <w:top w:val="single" w:sz="8" w:space="0" w:color="0F9ED5"/>
          <w:left w:val="single" w:sz="8" w:space="0" w:color="0F9ED5"/>
          <w:bottom w:val="single" w:sz="8" w:space="0" w:color="0F9ED5"/>
          <w:right w:val="single" w:sz="8" w:space="0" w:color="0F9ED5"/>
        </w:tcBorders>
      </w:tcPr>
    </w:tblStylePr>
    <w:tblStylePr w:type="band1Horz">
      <w:tblPr/>
      <w:tcPr>
        <w:tcBorders>
          <w:top w:val="single" w:sz="8" w:space="0" w:color="0F9ED5"/>
          <w:left w:val="single" w:sz="8" w:space="0" w:color="0F9ED5"/>
          <w:bottom w:val="single" w:sz="8" w:space="0" w:color="0F9ED5"/>
          <w:right w:val="single" w:sz="8" w:space="0" w:color="0F9ED5"/>
        </w:tcBorders>
      </w:tcPr>
    </w:tblStylePr>
  </w:style>
  <w:style w:type="table" w:styleId="LightList-Accent5">
    <w:name w:val="Light List Accent 5"/>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pPr>
        <w:spacing w:before="0" w:after="0" w:line="240" w:lineRule="auto"/>
      </w:pPr>
      <w:rPr>
        <w:b/>
        <w:bCs/>
        <w:color w:val="FFFFFF"/>
      </w:rPr>
      <w:tblPr/>
      <w:tcPr>
        <w:shd w:val="clear" w:color="auto" w:fill="A02B93"/>
      </w:tcPr>
    </w:tblStylePr>
    <w:tblStylePr w:type="lastRow">
      <w:pPr>
        <w:spacing w:before="0" w:after="0" w:line="240" w:lineRule="auto"/>
      </w:pPr>
      <w:rPr>
        <w:b/>
        <w:bCs/>
      </w:rPr>
      <w:tblPr/>
      <w:tcPr>
        <w:tcBorders>
          <w:top w:val="double" w:sz="6" w:space="0" w:color="A02B93"/>
          <w:left w:val="single" w:sz="8" w:space="0" w:color="A02B93"/>
          <w:bottom w:val="single" w:sz="8" w:space="0" w:color="A02B93"/>
          <w:right w:val="single" w:sz="8" w:space="0" w:color="A02B93"/>
        </w:tcBorders>
      </w:tcPr>
    </w:tblStylePr>
    <w:tblStylePr w:type="firstCol">
      <w:rPr>
        <w:b/>
        <w:bCs/>
      </w:rPr>
    </w:tblStylePr>
    <w:tblStylePr w:type="lastCol">
      <w:rPr>
        <w:b/>
        <w:bCs/>
      </w:rPr>
    </w:tblStylePr>
    <w:tblStylePr w:type="band1Vert">
      <w:tblPr/>
      <w:tcPr>
        <w:tcBorders>
          <w:top w:val="single" w:sz="8" w:space="0" w:color="A02B93"/>
          <w:left w:val="single" w:sz="8" w:space="0" w:color="A02B93"/>
          <w:bottom w:val="single" w:sz="8" w:space="0" w:color="A02B93"/>
          <w:right w:val="single" w:sz="8" w:space="0" w:color="A02B93"/>
        </w:tcBorders>
      </w:tcPr>
    </w:tblStylePr>
    <w:tblStylePr w:type="band1Horz">
      <w:tblPr/>
      <w:tcPr>
        <w:tcBorders>
          <w:top w:val="single" w:sz="8" w:space="0" w:color="A02B93"/>
          <w:left w:val="single" w:sz="8" w:space="0" w:color="A02B93"/>
          <w:bottom w:val="single" w:sz="8" w:space="0" w:color="A02B93"/>
          <w:right w:val="single" w:sz="8" w:space="0" w:color="A02B93"/>
        </w:tcBorders>
      </w:tcPr>
    </w:tblStylePr>
  </w:style>
  <w:style w:type="table" w:styleId="LightList-Accent6">
    <w:name w:val="Light List Accent 6"/>
    <w:basedOn w:val="TableNormal"/>
    <w:uiPriority w:val="61"/>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pPr>
        <w:spacing w:before="0" w:after="0" w:line="240" w:lineRule="auto"/>
      </w:pPr>
      <w:rPr>
        <w:b/>
        <w:bCs/>
        <w:color w:val="FFFFFF"/>
      </w:rPr>
      <w:tblPr/>
      <w:tcPr>
        <w:shd w:val="clear" w:color="auto" w:fill="4EA72E"/>
      </w:tcPr>
    </w:tblStylePr>
    <w:tblStylePr w:type="lastRow">
      <w:pPr>
        <w:spacing w:before="0" w:after="0" w:line="240" w:lineRule="auto"/>
      </w:pPr>
      <w:rPr>
        <w:b/>
        <w:bCs/>
      </w:rPr>
      <w:tblPr/>
      <w:tcPr>
        <w:tcBorders>
          <w:top w:val="double" w:sz="6" w:space="0" w:color="4EA72E"/>
          <w:left w:val="single" w:sz="8" w:space="0" w:color="4EA72E"/>
          <w:bottom w:val="single" w:sz="8" w:space="0" w:color="4EA72E"/>
          <w:right w:val="single" w:sz="8" w:space="0" w:color="4EA72E"/>
        </w:tcBorders>
      </w:tcPr>
    </w:tblStylePr>
    <w:tblStylePr w:type="firstCol">
      <w:rPr>
        <w:b/>
        <w:bCs/>
      </w:rPr>
    </w:tblStylePr>
    <w:tblStylePr w:type="lastCol">
      <w:rPr>
        <w:b/>
        <w:bCs/>
      </w:rPr>
    </w:tblStylePr>
    <w:tblStylePr w:type="band1Vert">
      <w:tblPr/>
      <w:tcPr>
        <w:tcBorders>
          <w:top w:val="single" w:sz="8" w:space="0" w:color="4EA72E"/>
          <w:left w:val="single" w:sz="8" w:space="0" w:color="4EA72E"/>
          <w:bottom w:val="single" w:sz="8" w:space="0" w:color="4EA72E"/>
          <w:right w:val="single" w:sz="8" w:space="0" w:color="4EA72E"/>
        </w:tcBorders>
      </w:tcPr>
    </w:tblStylePr>
    <w:tblStylePr w:type="band1Horz">
      <w:tblPr/>
      <w:tcPr>
        <w:tcBorders>
          <w:top w:val="single" w:sz="8" w:space="0" w:color="4EA72E"/>
          <w:left w:val="single" w:sz="8" w:space="0" w:color="4EA72E"/>
          <w:bottom w:val="single" w:sz="8" w:space="0" w:color="4EA72E"/>
          <w:right w:val="single" w:sz="8" w:space="0" w:color="4EA72E"/>
        </w:tcBorders>
      </w:tcPr>
    </w:tblStylePr>
  </w:style>
  <w:style w:type="table" w:styleId="LightGrid">
    <w:name w:val="Light Grid"/>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Light" w:eastAsia="DengXian Light" w:hAnsi="DengXian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blStylePr w:type="firstRow">
      <w:pPr>
        <w:spacing w:before="0" w:after="0" w:line="240" w:lineRule="auto"/>
      </w:pPr>
      <w:rPr>
        <w:rFonts w:ascii="DengXian Light" w:eastAsia="DengXian Light" w:hAnsi="DengXian Light" w:cs="Times New Roman"/>
        <w:b/>
        <w:bCs/>
      </w:rPr>
      <w:tblPr/>
      <w:tcPr>
        <w:tcBorders>
          <w:top w:val="single" w:sz="8" w:space="0" w:color="156082"/>
          <w:left w:val="single" w:sz="8" w:space="0" w:color="156082"/>
          <w:bottom w:val="single" w:sz="18" w:space="0" w:color="156082"/>
          <w:right w:val="single" w:sz="8" w:space="0" w:color="156082"/>
          <w:insideH w:val="nil"/>
          <w:insideV w:val="single" w:sz="8" w:space="0" w:color="156082"/>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156082"/>
          <w:left w:val="single" w:sz="8" w:space="0" w:color="156082"/>
          <w:bottom w:val="single" w:sz="8" w:space="0" w:color="156082"/>
          <w:right w:val="single" w:sz="8" w:space="0" w:color="156082"/>
          <w:insideH w:val="nil"/>
          <w:insideV w:val="single" w:sz="8" w:space="0" w:color="156082"/>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156082"/>
          <w:left w:val="single" w:sz="8" w:space="0" w:color="156082"/>
          <w:bottom w:val="single" w:sz="8" w:space="0" w:color="156082"/>
          <w:right w:val="single" w:sz="8" w:space="0" w:color="156082"/>
        </w:tcBorders>
      </w:tcPr>
    </w:tblStylePr>
    <w:tblStylePr w:type="band1Vert">
      <w:tblPr/>
      <w:tcPr>
        <w:tcBorders>
          <w:top w:val="single" w:sz="8" w:space="0" w:color="156082"/>
          <w:left w:val="single" w:sz="8" w:space="0" w:color="156082"/>
          <w:bottom w:val="single" w:sz="8" w:space="0" w:color="156082"/>
          <w:right w:val="single" w:sz="8" w:space="0" w:color="156082"/>
        </w:tcBorders>
        <w:shd w:val="clear" w:color="auto" w:fill="B2DEF2"/>
      </w:tcPr>
    </w:tblStylePr>
    <w:tblStylePr w:type="band1Horz">
      <w:tblPr/>
      <w:tcPr>
        <w:tcBorders>
          <w:top w:val="single" w:sz="8" w:space="0" w:color="156082"/>
          <w:left w:val="single" w:sz="8" w:space="0" w:color="156082"/>
          <w:bottom w:val="single" w:sz="8" w:space="0" w:color="156082"/>
          <w:right w:val="single" w:sz="8" w:space="0" w:color="156082"/>
          <w:insideV w:val="single" w:sz="8" w:space="0" w:color="156082"/>
        </w:tcBorders>
        <w:shd w:val="clear" w:color="auto" w:fill="B2DEF2"/>
      </w:tcPr>
    </w:tblStylePr>
    <w:tblStylePr w:type="band2Horz">
      <w:tblPr/>
      <w:tcPr>
        <w:tcBorders>
          <w:top w:val="single" w:sz="8" w:space="0" w:color="156082"/>
          <w:left w:val="single" w:sz="8" w:space="0" w:color="156082"/>
          <w:bottom w:val="single" w:sz="8" w:space="0" w:color="156082"/>
          <w:right w:val="single" w:sz="8" w:space="0" w:color="156082"/>
          <w:insideV w:val="single" w:sz="8" w:space="0" w:color="156082"/>
        </w:tcBorders>
      </w:tcPr>
    </w:tblStylePr>
  </w:style>
  <w:style w:type="table" w:styleId="LightGrid-Accent2">
    <w:name w:val="Light Grid Accent 2"/>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blStylePr w:type="firstRow">
      <w:pPr>
        <w:spacing w:before="0" w:after="0" w:line="240" w:lineRule="auto"/>
      </w:pPr>
      <w:rPr>
        <w:rFonts w:ascii="DengXian Light" w:eastAsia="DengXian Light" w:hAnsi="DengXian Light" w:cs="Times New Roman"/>
        <w:b/>
        <w:bCs/>
      </w:rPr>
      <w:tblPr/>
      <w:tcPr>
        <w:tcBorders>
          <w:top w:val="single" w:sz="8" w:space="0" w:color="E97132"/>
          <w:left w:val="single" w:sz="8" w:space="0" w:color="E97132"/>
          <w:bottom w:val="single" w:sz="18" w:space="0" w:color="E97132"/>
          <w:right w:val="single" w:sz="8" w:space="0" w:color="E97132"/>
          <w:insideH w:val="nil"/>
          <w:insideV w:val="single" w:sz="8" w:space="0" w:color="E97132"/>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E97132"/>
          <w:left w:val="single" w:sz="8" w:space="0" w:color="E97132"/>
          <w:bottom w:val="single" w:sz="8" w:space="0" w:color="E97132"/>
          <w:right w:val="single" w:sz="8" w:space="0" w:color="E97132"/>
          <w:insideH w:val="nil"/>
          <w:insideV w:val="single" w:sz="8" w:space="0" w:color="E97132"/>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E97132"/>
          <w:left w:val="single" w:sz="8" w:space="0" w:color="E97132"/>
          <w:bottom w:val="single" w:sz="8" w:space="0" w:color="E97132"/>
          <w:right w:val="single" w:sz="8" w:space="0" w:color="E97132"/>
        </w:tcBorders>
      </w:tcPr>
    </w:tblStylePr>
    <w:tblStylePr w:type="band1Vert">
      <w:tblPr/>
      <w:tcPr>
        <w:tcBorders>
          <w:top w:val="single" w:sz="8" w:space="0" w:color="E97132"/>
          <w:left w:val="single" w:sz="8" w:space="0" w:color="E97132"/>
          <w:bottom w:val="single" w:sz="8" w:space="0" w:color="E97132"/>
          <w:right w:val="single" w:sz="8" w:space="0" w:color="E97132"/>
        </w:tcBorders>
        <w:shd w:val="clear" w:color="auto" w:fill="F9DBCC"/>
      </w:tcPr>
    </w:tblStylePr>
    <w:tblStylePr w:type="band1Horz">
      <w:tblPr/>
      <w:tcPr>
        <w:tcBorders>
          <w:top w:val="single" w:sz="8" w:space="0" w:color="E97132"/>
          <w:left w:val="single" w:sz="8" w:space="0" w:color="E97132"/>
          <w:bottom w:val="single" w:sz="8" w:space="0" w:color="E97132"/>
          <w:right w:val="single" w:sz="8" w:space="0" w:color="E97132"/>
          <w:insideV w:val="single" w:sz="8" w:space="0" w:color="E97132"/>
        </w:tcBorders>
        <w:shd w:val="clear" w:color="auto" w:fill="F9DBCC"/>
      </w:tcPr>
    </w:tblStylePr>
    <w:tblStylePr w:type="band2Horz">
      <w:tblPr/>
      <w:tcPr>
        <w:tcBorders>
          <w:top w:val="single" w:sz="8" w:space="0" w:color="E97132"/>
          <w:left w:val="single" w:sz="8" w:space="0" w:color="E97132"/>
          <w:bottom w:val="single" w:sz="8" w:space="0" w:color="E97132"/>
          <w:right w:val="single" w:sz="8" w:space="0" w:color="E97132"/>
          <w:insideV w:val="single" w:sz="8" w:space="0" w:color="E97132"/>
        </w:tcBorders>
      </w:tcPr>
    </w:tblStylePr>
  </w:style>
  <w:style w:type="table" w:styleId="LightGrid-Accent3">
    <w:name w:val="Light Grid Accent 3"/>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blStylePr w:type="firstRow">
      <w:pPr>
        <w:spacing w:before="0" w:after="0" w:line="240" w:lineRule="auto"/>
      </w:pPr>
      <w:rPr>
        <w:rFonts w:ascii="DengXian Light" w:eastAsia="DengXian Light" w:hAnsi="DengXian Light" w:cs="Times New Roman"/>
        <w:b/>
        <w:bCs/>
      </w:rPr>
      <w:tblPr/>
      <w:tcPr>
        <w:tcBorders>
          <w:top w:val="single" w:sz="8" w:space="0" w:color="196B24"/>
          <w:left w:val="single" w:sz="8" w:space="0" w:color="196B24"/>
          <w:bottom w:val="single" w:sz="18" w:space="0" w:color="196B24"/>
          <w:right w:val="single" w:sz="8" w:space="0" w:color="196B24"/>
          <w:insideH w:val="nil"/>
          <w:insideV w:val="single" w:sz="8" w:space="0" w:color="196B24"/>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196B24"/>
          <w:left w:val="single" w:sz="8" w:space="0" w:color="196B24"/>
          <w:bottom w:val="single" w:sz="8" w:space="0" w:color="196B24"/>
          <w:right w:val="single" w:sz="8" w:space="0" w:color="196B24"/>
          <w:insideH w:val="nil"/>
          <w:insideV w:val="single" w:sz="8" w:space="0" w:color="196B24"/>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196B24"/>
          <w:left w:val="single" w:sz="8" w:space="0" w:color="196B24"/>
          <w:bottom w:val="single" w:sz="8" w:space="0" w:color="196B24"/>
          <w:right w:val="single" w:sz="8" w:space="0" w:color="196B24"/>
        </w:tcBorders>
      </w:tcPr>
    </w:tblStylePr>
    <w:tblStylePr w:type="band1Vert">
      <w:tblPr/>
      <w:tcPr>
        <w:tcBorders>
          <w:top w:val="single" w:sz="8" w:space="0" w:color="196B24"/>
          <w:left w:val="single" w:sz="8" w:space="0" w:color="196B24"/>
          <w:bottom w:val="single" w:sz="8" w:space="0" w:color="196B24"/>
          <w:right w:val="single" w:sz="8" w:space="0" w:color="196B24"/>
        </w:tcBorders>
        <w:shd w:val="clear" w:color="auto" w:fill="B3EDBA"/>
      </w:tcPr>
    </w:tblStylePr>
    <w:tblStylePr w:type="band1Horz">
      <w:tblPr/>
      <w:tcPr>
        <w:tcBorders>
          <w:top w:val="single" w:sz="8" w:space="0" w:color="196B24"/>
          <w:left w:val="single" w:sz="8" w:space="0" w:color="196B24"/>
          <w:bottom w:val="single" w:sz="8" w:space="0" w:color="196B24"/>
          <w:right w:val="single" w:sz="8" w:space="0" w:color="196B24"/>
          <w:insideV w:val="single" w:sz="8" w:space="0" w:color="196B24"/>
        </w:tcBorders>
        <w:shd w:val="clear" w:color="auto" w:fill="B3EDBA"/>
      </w:tcPr>
    </w:tblStylePr>
    <w:tblStylePr w:type="band2Horz">
      <w:tblPr/>
      <w:tcPr>
        <w:tcBorders>
          <w:top w:val="single" w:sz="8" w:space="0" w:color="196B24"/>
          <w:left w:val="single" w:sz="8" w:space="0" w:color="196B24"/>
          <w:bottom w:val="single" w:sz="8" w:space="0" w:color="196B24"/>
          <w:right w:val="single" w:sz="8" w:space="0" w:color="196B24"/>
          <w:insideV w:val="single" w:sz="8" w:space="0" w:color="196B24"/>
        </w:tcBorders>
      </w:tcPr>
    </w:tblStylePr>
  </w:style>
  <w:style w:type="table" w:styleId="LightGrid-Accent4">
    <w:name w:val="Light Grid Accent 4"/>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blStylePr w:type="firstRow">
      <w:pPr>
        <w:spacing w:before="0" w:after="0" w:line="240" w:lineRule="auto"/>
      </w:pPr>
      <w:rPr>
        <w:rFonts w:ascii="DengXian Light" w:eastAsia="DengXian Light" w:hAnsi="DengXian Light" w:cs="Times New Roman"/>
        <w:b/>
        <w:bCs/>
      </w:rPr>
      <w:tblPr/>
      <w:tcPr>
        <w:tcBorders>
          <w:top w:val="single" w:sz="8" w:space="0" w:color="0F9ED5"/>
          <w:left w:val="single" w:sz="8" w:space="0" w:color="0F9ED5"/>
          <w:bottom w:val="single" w:sz="18" w:space="0" w:color="0F9ED5"/>
          <w:right w:val="single" w:sz="8" w:space="0" w:color="0F9ED5"/>
          <w:insideH w:val="nil"/>
          <w:insideV w:val="single" w:sz="8" w:space="0" w:color="0F9ED5"/>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0F9ED5"/>
          <w:left w:val="single" w:sz="8" w:space="0" w:color="0F9ED5"/>
          <w:bottom w:val="single" w:sz="8" w:space="0" w:color="0F9ED5"/>
          <w:right w:val="single" w:sz="8" w:space="0" w:color="0F9ED5"/>
          <w:insideH w:val="nil"/>
          <w:insideV w:val="single" w:sz="8" w:space="0" w:color="0F9ED5"/>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0F9ED5"/>
          <w:left w:val="single" w:sz="8" w:space="0" w:color="0F9ED5"/>
          <w:bottom w:val="single" w:sz="8" w:space="0" w:color="0F9ED5"/>
          <w:right w:val="single" w:sz="8" w:space="0" w:color="0F9ED5"/>
        </w:tcBorders>
      </w:tcPr>
    </w:tblStylePr>
    <w:tblStylePr w:type="band1Vert">
      <w:tblPr/>
      <w:tcPr>
        <w:tcBorders>
          <w:top w:val="single" w:sz="8" w:space="0" w:color="0F9ED5"/>
          <w:left w:val="single" w:sz="8" w:space="0" w:color="0F9ED5"/>
          <w:bottom w:val="single" w:sz="8" w:space="0" w:color="0F9ED5"/>
          <w:right w:val="single" w:sz="8" w:space="0" w:color="0F9ED5"/>
        </w:tcBorders>
        <w:shd w:val="clear" w:color="auto" w:fill="BDE9FA"/>
      </w:tcPr>
    </w:tblStylePr>
    <w:tblStylePr w:type="band1Horz">
      <w:tblPr/>
      <w:tcPr>
        <w:tcBorders>
          <w:top w:val="single" w:sz="8" w:space="0" w:color="0F9ED5"/>
          <w:left w:val="single" w:sz="8" w:space="0" w:color="0F9ED5"/>
          <w:bottom w:val="single" w:sz="8" w:space="0" w:color="0F9ED5"/>
          <w:right w:val="single" w:sz="8" w:space="0" w:color="0F9ED5"/>
          <w:insideV w:val="single" w:sz="8" w:space="0" w:color="0F9ED5"/>
        </w:tcBorders>
        <w:shd w:val="clear" w:color="auto" w:fill="BDE9FA"/>
      </w:tcPr>
    </w:tblStylePr>
    <w:tblStylePr w:type="band2Horz">
      <w:tblPr/>
      <w:tcPr>
        <w:tcBorders>
          <w:top w:val="single" w:sz="8" w:space="0" w:color="0F9ED5"/>
          <w:left w:val="single" w:sz="8" w:space="0" w:color="0F9ED5"/>
          <w:bottom w:val="single" w:sz="8" w:space="0" w:color="0F9ED5"/>
          <w:right w:val="single" w:sz="8" w:space="0" w:color="0F9ED5"/>
          <w:insideV w:val="single" w:sz="8" w:space="0" w:color="0F9ED5"/>
        </w:tcBorders>
      </w:tcPr>
    </w:tblStylePr>
  </w:style>
  <w:style w:type="table" w:styleId="LightGrid-Accent5">
    <w:name w:val="Light Grid Accent 5"/>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blStylePr w:type="firstRow">
      <w:pPr>
        <w:spacing w:before="0" w:after="0" w:line="240" w:lineRule="auto"/>
      </w:pPr>
      <w:rPr>
        <w:rFonts w:ascii="DengXian Light" w:eastAsia="DengXian Light" w:hAnsi="DengXian Light" w:cs="Times New Roman"/>
        <w:b/>
        <w:bCs/>
      </w:rPr>
      <w:tblPr/>
      <w:tcPr>
        <w:tcBorders>
          <w:top w:val="single" w:sz="8" w:space="0" w:color="A02B93"/>
          <w:left w:val="single" w:sz="8" w:space="0" w:color="A02B93"/>
          <w:bottom w:val="single" w:sz="18" w:space="0" w:color="A02B93"/>
          <w:right w:val="single" w:sz="8" w:space="0" w:color="A02B93"/>
          <w:insideH w:val="nil"/>
          <w:insideV w:val="single" w:sz="8" w:space="0" w:color="A02B93"/>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A02B93"/>
          <w:left w:val="single" w:sz="8" w:space="0" w:color="A02B93"/>
          <w:bottom w:val="single" w:sz="8" w:space="0" w:color="A02B93"/>
          <w:right w:val="single" w:sz="8" w:space="0" w:color="A02B93"/>
          <w:insideH w:val="nil"/>
          <w:insideV w:val="single" w:sz="8" w:space="0" w:color="A02B93"/>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A02B93"/>
          <w:left w:val="single" w:sz="8" w:space="0" w:color="A02B93"/>
          <w:bottom w:val="single" w:sz="8" w:space="0" w:color="A02B93"/>
          <w:right w:val="single" w:sz="8" w:space="0" w:color="A02B93"/>
        </w:tcBorders>
      </w:tcPr>
    </w:tblStylePr>
    <w:tblStylePr w:type="band1Vert">
      <w:tblPr/>
      <w:tcPr>
        <w:tcBorders>
          <w:top w:val="single" w:sz="8" w:space="0" w:color="A02B93"/>
          <w:left w:val="single" w:sz="8" w:space="0" w:color="A02B93"/>
          <w:bottom w:val="single" w:sz="8" w:space="0" w:color="A02B93"/>
          <w:right w:val="single" w:sz="8" w:space="0" w:color="A02B93"/>
        </w:tcBorders>
        <w:shd w:val="clear" w:color="auto" w:fill="EFC3E9"/>
      </w:tcPr>
    </w:tblStylePr>
    <w:tblStylePr w:type="band1Horz">
      <w:tblPr/>
      <w:tcPr>
        <w:tcBorders>
          <w:top w:val="single" w:sz="8" w:space="0" w:color="A02B93"/>
          <w:left w:val="single" w:sz="8" w:space="0" w:color="A02B93"/>
          <w:bottom w:val="single" w:sz="8" w:space="0" w:color="A02B93"/>
          <w:right w:val="single" w:sz="8" w:space="0" w:color="A02B93"/>
          <w:insideV w:val="single" w:sz="8" w:space="0" w:color="A02B93"/>
        </w:tcBorders>
        <w:shd w:val="clear" w:color="auto" w:fill="EFC3E9"/>
      </w:tcPr>
    </w:tblStylePr>
    <w:tblStylePr w:type="band2Horz">
      <w:tblPr/>
      <w:tcPr>
        <w:tcBorders>
          <w:top w:val="single" w:sz="8" w:space="0" w:color="A02B93"/>
          <w:left w:val="single" w:sz="8" w:space="0" w:color="A02B93"/>
          <w:bottom w:val="single" w:sz="8" w:space="0" w:color="A02B93"/>
          <w:right w:val="single" w:sz="8" w:space="0" w:color="A02B93"/>
          <w:insideV w:val="single" w:sz="8" w:space="0" w:color="A02B93"/>
        </w:tcBorders>
      </w:tcPr>
    </w:tblStylePr>
  </w:style>
  <w:style w:type="table" w:styleId="LightGrid-Accent6">
    <w:name w:val="Light Grid Accent 6"/>
    <w:basedOn w:val="TableNormal"/>
    <w:uiPriority w:val="62"/>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blStylePr w:type="firstRow">
      <w:pPr>
        <w:spacing w:before="0" w:after="0" w:line="240" w:lineRule="auto"/>
      </w:pPr>
      <w:rPr>
        <w:rFonts w:ascii="DengXian Light" w:eastAsia="DengXian Light" w:hAnsi="DengXian Light" w:cs="Times New Roman"/>
        <w:b/>
        <w:bCs/>
      </w:rPr>
      <w:tblPr/>
      <w:tcPr>
        <w:tcBorders>
          <w:top w:val="single" w:sz="8" w:space="0" w:color="4EA72E"/>
          <w:left w:val="single" w:sz="8" w:space="0" w:color="4EA72E"/>
          <w:bottom w:val="single" w:sz="18" w:space="0" w:color="4EA72E"/>
          <w:right w:val="single" w:sz="8" w:space="0" w:color="4EA72E"/>
          <w:insideH w:val="nil"/>
          <w:insideV w:val="single" w:sz="8" w:space="0" w:color="4EA72E"/>
        </w:tcBorders>
      </w:tcPr>
    </w:tblStylePr>
    <w:tblStylePr w:type="lastRow">
      <w:pPr>
        <w:spacing w:before="0" w:after="0" w:line="240" w:lineRule="auto"/>
      </w:pPr>
      <w:rPr>
        <w:rFonts w:ascii="DengXian Light" w:eastAsia="DengXian Light" w:hAnsi="DengXian Light" w:cs="Times New Roman"/>
        <w:b/>
        <w:bCs/>
      </w:rPr>
      <w:tblPr/>
      <w:tcPr>
        <w:tcBorders>
          <w:top w:val="double" w:sz="6" w:space="0" w:color="4EA72E"/>
          <w:left w:val="single" w:sz="8" w:space="0" w:color="4EA72E"/>
          <w:bottom w:val="single" w:sz="8" w:space="0" w:color="4EA72E"/>
          <w:right w:val="single" w:sz="8" w:space="0" w:color="4EA72E"/>
          <w:insideH w:val="nil"/>
          <w:insideV w:val="single" w:sz="8" w:space="0" w:color="4EA72E"/>
        </w:tcBorders>
      </w:tcPr>
    </w:tblStylePr>
    <w:tblStylePr w:type="firstCol">
      <w:rPr>
        <w:rFonts w:ascii="DengXian Light" w:eastAsia="DengXian Light" w:hAnsi="DengXian Light" w:cs="Times New Roman"/>
        <w:b/>
        <w:bCs/>
      </w:rPr>
    </w:tblStylePr>
    <w:tblStylePr w:type="lastCol">
      <w:rPr>
        <w:rFonts w:ascii="DengXian Light" w:eastAsia="DengXian Light" w:hAnsi="DengXian Light" w:cs="Times New Roman"/>
        <w:b/>
        <w:bCs/>
      </w:rPr>
      <w:tblPr/>
      <w:tcPr>
        <w:tcBorders>
          <w:top w:val="single" w:sz="8" w:space="0" w:color="4EA72E"/>
          <w:left w:val="single" w:sz="8" w:space="0" w:color="4EA72E"/>
          <w:bottom w:val="single" w:sz="8" w:space="0" w:color="4EA72E"/>
          <w:right w:val="single" w:sz="8" w:space="0" w:color="4EA72E"/>
        </w:tcBorders>
      </w:tcPr>
    </w:tblStylePr>
    <w:tblStylePr w:type="band1Vert">
      <w:tblPr/>
      <w:tcPr>
        <w:tcBorders>
          <w:top w:val="single" w:sz="8" w:space="0" w:color="4EA72E"/>
          <w:left w:val="single" w:sz="8" w:space="0" w:color="4EA72E"/>
          <w:bottom w:val="single" w:sz="8" w:space="0" w:color="4EA72E"/>
          <w:right w:val="single" w:sz="8" w:space="0" w:color="4EA72E"/>
        </w:tcBorders>
        <w:shd w:val="clear" w:color="auto" w:fill="D0EFC5"/>
      </w:tcPr>
    </w:tblStylePr>
    <w:tblStylePr w:type="band1Horz">
      <w:tblPr/>
      <w:tcPr>
        <w:tcBorders>
          <w:top w:val="single" w:sz="8" w:space="0" w:color="4EA72E"/>
          <w:left w:val="single" w:sz="8" w:space="0" w:color="4EA72E"/>
          <w:bottom w:val="single" w:sz="8" w:space="0" w:color="4EA72E"/>
          <w:right w:val="single" w:sz="8" w:space="0" w:color="4EA72E"/>
          <w:insideV w:val="single" w:sz="8" w:space="0" w:color="4EA72E"/>
        </w:tcBorders>
        <w:shd w:val="clear" w:color="auto" w:fill="D0EFC5"/>
      </w:tcPr>
    </w:tblStylePr>
    <w:tblStylePr w:type="band2Horz">
      <w:tblPr/>
      <w:tcPr>
        <w:tcBorders>
          <w:top w:val="single" w:sz="8" w:space="0" w:color="4EA72E"/>
          <w:left w:val="single" w:sz="8" w:space="0" w:color="4EA72E"/>
          <w:bottom w:val="single" w:sz="8" w:space="0" w:color="4EA72E"/>
          <w:right w:val="single" w:sz="8" w:space="0" w:color="4EA72E"/>
          <w:insideV w:val="single" w:sz="8" w:space="0" w:color="4EA72E"/>
        </w:tcBorders>
      </w:tcPr>
    </w:tblStylePr>
  </w:style>
  <w:style w:type="table" w:styleId="MediumShading1">
    <w:name w:val="Medium Shading 1"/>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tblBorders>
    </w:tblPr>
    <w:tblStylePr w:type="firstRow">
      <w:pPr>
        <w:spacing w:before="0" w:after="0" w:line="240" w:lineRule="auto"/>
      </w:pPr>
      <w:rPr>
        <w:b/>
        <w:bCs/>
        <w:color w:val="FFFFFF"/>
      </w:rPr>
      <w:tblPr/>
      <w:tcPr>
        <w:tcBorders>
          <w:top w:val="single" w:sz="8" w:space="0" w:color="2198CF"/>
          <w:left w:val="single" w:sz="8" w:space="0" w:color="2198CF"/>
          <w:bottom w:val="single" w:sz="8" w:space="0" w:color="2198CF"/>
          <w:right w:val="single" w:sz="8" w:space="0" w:color="2198CF"/>
          <w:insideH w:val="nil"/>
          <w:insideV w:val="nil"/>
        </w:tcBorders>
        <w:shd w:val="clear" w:color="auto" w:fill="156082"/>
      </w:tcPr>
    </w:tblStylePr>
    <w:tblStylePr w:type="lastRow">
      <w:pPr>
        <w:spacing w:before="0" w:after="0" w:line="240" w:lineRule="auto"/>
      </w:pPr>
      <w:rPr>
        <w:b/>
        <w:bCs/>
      </w:rPr>
      <w:tblPr/>
      <w:tcPr>
        <w:tcBorders>
          <w:top w:val="double" w:sz="6" w:space="0" w:color="2198CF"/>
          <w:left w:val="single" w:sz="8" w:space="0" w:color="2198CF"/>
          <w:bottom w:val="single" w:sz="8" w:space="0" w:color="2198CF"/>
          <w:right w:val="single" w:sz="8" w:space="0" w:color="2198CF"/>
          <w:insideH w:val="nil"/>
          <w:insideV w:val="nil"/>
        </w:tcBorders>
      </w:tcPr>
    </w:tblStylePr>
    <w:tblStylePr w:type="firstCol">
      <w:rPr>
        <w:b/>
        <w:bCs/>
      </w:rPr>
    </w:tblStylePr>
    <w:tblStylePr w:type="lastCol">
      <w:rPr>
        <w:b/>
        <w:bCs/>
      </w:rPr>
    </w:tblStylePr>
    <w:tblStylePr w:type="band1Vert">
      <w:tblPr/>
      <w:tcPr>
        <w:shd w:val="clear" w:color="auto" w:fill="B2DEF2"/>
      </w:tcPr>
    </w:tblStylePr>
    <w:tblStylePr w:type="band1Horz">
      <w:tblPr/>
      <w:tcPr>
        <w:tcBorders>
          <w:insideH w:val="nil"/>
          <w:insideV w:val="nil"/>
        </w:tcBorders>
        <w:shd w:val="clear" w:color="auto" w:fill="B2DEF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tblBorders>
    </w:tblPr>
    <w:tblStylePr w:type="firstRow">
      <w:pPr>
        <w:spacing w:before="0" w:after="0" w:line="240" w:lineRule="auto"/>
      </w:pPr>
      <w:rPr>
        <w:b/>
        <w:bCs/>
        <w:color w:val="FFFFFF"/>
      </w:rPr>
      <w:tblPr/>
      <w:tcPr>
        <w:tcBorders>
          <w:top w:val="single" w:sz="8" w:space="0" w:color="EE9465"/>
          <w:left w:val="single" w:sz="8" w:space="0" w:color="EE9465"/>
          <w:bottom w:val="single" w:sz="8" w:space="0" w:color="EE9465"/>
          <w:right w:val="single" w:sz="8" w:space="0" w:color="EE9465"/>
          <w:insideH w:val="nil"/>
          <w:insideV w:val="nil"/>
        </w:tcBorders>
        <w:shd w:val="clear" w:color="auto" w:fill="E97132"/>
      </w:tcPr>
    </w:tblStylePr>
    <w:tblStylePr w:type="lastRow">
      <w:pPr>
        <w:spacing w:before="0" w:after="0" w:line="240" w:lineRule="auto"/>
      </w:pPr>
      <w:rPr>
        <w:b/>
        <w:bCs/>
      </w:rPr>
      <w:tblPr/>
      <w:tcPr>
        <w:tcBorders>
          <w:top w:val="double" w:sz="6" w:space="0" w:color="EE9465"/>
          <w:left w:val="single" w:sz="8" w:space="0" w:color="EE9465"/>
          <w:bottom w:val="single" w:sz="8" w:space="0" w:color="EE9465"/>
          <w:right w:val="single" w:sz="8" w:space="0" w:color="EE9465"/>
          <w:insideH w:val="nil"/>
          <w:insideV w:val="nil"/>
        </w:tcBorders>
      </w:tcPr>
    </w:tblStylePr>
    <w:tblStylePr w:type="firstCol">
      <w:rPr>
        <w:b/>
        <w:bCs/>
      </w:rPr>
    </w:tblStylePr>
    <w:tblStylePr w:type="lastCol">
      <w:rPr>
        <w:b/>
        <w:bCs/>
      </w:rPr>
    </w:tblStylePr>
    <w:tblStylePr w:type="band1Vert">
      <w:tblPr/>
      <w:tcPr>
        <w:shd w:val="clear" w:color="auto" w:fill="F9DBCC"/>
      </w:tcPr>
    </w:tblStylePr>
    <w:tblStylePr w:type="band1Horz">
      <w:tblPr/>
      <w:tcPr>
        <w:tcBorders>
          <w:insideH w:val="nil"/>
          <w:insideV w:val="nil"/>
        </w:tcBorders>
        <w:shd w:val="clear" w:color="auto" w:fill="F9DBCC"/>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tblBorders>
    </w:tblPr>
    <w:tblStylePr w:type="firstRow">
      <w:pPr>
        <w:spacing w:before="0" w:after="0" w:line="240" w:lineRule="auto"/>
      </w:pPr>
      <w:rPr>
        <w:b/>
        <w:bCs/>
        <w:color w:val="FFFFFF"/>
      </w:rPr>
      <w:tblPr/>
      <w:tcPr>
        <w:tcBorders>
          <w:top w:val="single" w:sz="8" w:space="0" w:color="2BB73D"/>
          <w:left w:val="single" w:sz="8" w:space="0" w:color="2BB73D"/>
          <w:bottom w:val="single" w:sz="8" w:space="0" w:color="2BB73D"/>
          <w:right w:val="single" w:sz="8" w:space="0" w:color="2BB73D"/>
          <w:insideH w:val="nil"/>
          <w:insideV w:val="nil"/>
        </w:tcBorders>
        <w:shd w:val="clear" w:color="auto" w:fill="196B24"/>
      </w:tcPr>
    </w:tblStylePr>
    <w:tblStylePr w:type="lastRow">
      <w:pPr>
        <w:spacing w:before="0" w:after="0" w:line="240" w:lineRule="auto"/>
      </w:pPr>
      <w:rPr>
        <w:b/>
        <w:bCs/>
      </w:rPr>
      <w:tblPr/>
      <w:tcPr>
        <w:tcBorders>
          <w:top w:val="double" w:sz="6" w:space="0" w:color="2BB73D"/>
          <w:left w:val="single" w:sz="8" w:space="0" w:color="2BB73D"/>
          <w:bottom w:val="single" w:sz="8" w:space="0" w:color="2BB73D"/>
          <w:right w:val="single" w:sz="8" w:space="0" w:color="2BB73D"/>
          <w:insideH w:val="nil"/>
          <w:insideV w:val="nil"/>
        </w:tcBorders>
      </w:tcPr>
    </w:tblStylePr>
    <w:tblStylePr w:type="firstCol">
      <w:rPr>
        <w:b/>
        <w:bCs/>
      </w:rPr>
    </w:tblStylePr>
    <w:tblStylePr w:type="lastCol">
      <w:rPr>
        <w:b/>
        <w:bCs/>
      </w:rPr>
    </w:tblStylePr>
    <w:tblStylePr w:type="band1Vert">
      <w:tblPr/>
      <w:tcPr>
        <w:shd w:val="clear" w:color="auto" w:fill="B3EDBA"/>
      </w:tcPr>
    </w:tblStylePr>
    <w:tblStylePr w:type="band1Horz">
      <w:tblPr/>
      <w:tcPr>
        <w:tcBorders>
          <w:insideH w:val="nil"/>
          <w:insideV w:val="nil"/>
        </w:tcBorders>
        <w:shd w:val="clear" w:color="auto" w:fill="B3EDBA"/>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tblBorders>
    </w:tblPr>
    <w:tblStylePr w:type="firstRow">
      <w:pPr>
        <w:spacing w:before="0" w:after="0" w:line="240" w:lineRule="auto"/>
      </w:pPr>
      <w:rPr>
        <w:b/>
        <w:bCs/>
        <w:color w:val="FFFFFF"/>
      </w:rPr>
      <w:tblPr/>
      <w:tcPr>
        <w:tcBorders>
          <w:top w:val="single" w:sz="8" w:space="0" w:color="39BEF1"/>
          <w:left w:val="single" w:sz="8" w:space="0" w:color="39BEF1"/>
          <w:bottom w:val="single" w:sz="8" w:space="0" w:color="39BEF1"/>
          <w:right w:val="single" w:sz="8" w:space="0" w:color="39BEF1"/>
          <w:insideH w:val="nil"/>
          <w:insideV w:val="nil"/>
        </w:tcBorders>
        <w:shd w:val="clear" w:color="auto" w:fill="0F9ED5"/>
      </w:tcPr>
    </w:tblStylePr>
    <w:tblStylePr w:type="lastRow">
      <w:pPr>
        <w:spacing w:before="0" w:after="0" w:line="240" w:lineRule="auto"/>
      </w:pPr>
      <w:rPr>
        <w:b/>
        <w:bCs/>
      </w:rPr>
      <w:tblPr/>
      <w:tcPr>
        <w:tcBorders>
          <w:top w:val="double" w:sz="6" w:space="0" w:color="39BEF1"/>
          <w:left w:val="single" w:sz="8" w:space="0" w:color="39BEF1"/>
          <w:bottom w:val="single" w:sz="8" w:space="0" w:color="39BEF1"/>
          <w:right w:val="single" w:sz="8" w:space="0" w:color="39BEF1"/>
          <w:insideH w:val="nil"/>
          <w:insideV w:val="nil"/>
        </w:tcBorders>
      </w:tcPr>
    </w:tblStylePr>
    <w:tblStylePr w:type="firstCol">
      <w:rPr>
        <w:b/>
        <w:bCs/>
      </w:rPr>
    </w:tblStylePr>
    <w:tblStylePr w:type="lastCol">
      <w:rPr>
        <w:b/>
        <w:bCs/>
      </w:rPr>
    </w:tblStylePr>
    <w:tblStylePr w:type="band1Vert">
      <w:tblPr/>
      <w:tcPr>
        <w:shd w:val="clear" w:color="auto" w:fill="BDE9FA"/>
      </w:tcPr>
    </w:tblStylePr>
    <w:tblStylePr w:type="band1Horz">
      <w:tblPr/>
      <w:tcPr>
        <w:tcBorders>
          <w:insideH w:val="nil"/>
          <w:insideV w:val="nil"/>
        </w:tcBorders>
        <w:shd w:val="clear" w:color="auto" w:fill="BDE9FA"/>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tblBorders>
    </w:tblPr>
    <w:tblStylePr w:type="firstRow">
      <w:pPr>
        <w:spacing w:before="0" w:after="0" w:line="240" w:lineRule="auto"/>
      </w:pPr>
      <w:rPr>
        <w:b/>
        <w:bCs/>
        <w:color w:val="FFFFFF"/>
      </w:rPr>
      <w:tblPr/>
      <w:tcPr>
        <w:tcBorders>
          <w:top w:val="single" w:sz="8" w:space="0" w:color="CE49BF"/>
          <w:left w:val="single" w:sz="8" w:space="0" w:color="CE49BF"/>
          <w:bottom w:val="single" w:sz="8" w:space="0" w:color="CE49BF"/>
          <w:right w:val="single" w:sz="8" w:space="0" w:color="CE49BF"/>
          <w:insideH w:val="nil"/>
          <w:insideV w:val="nil"/>
        </w:tcBorders>
        <w:shd w:val="clear" w:color="auto" w:fill="A02B93"/>
      </w:tcPr>
    </w:tblStylePr>
    <w:tblStylePr w:type="lastRow">
      <w:pPr>
        <w:spacing w:before="0" w:after="0" w:line="240" w:lineRule="auto"/>
      </w:pPr>
      <w:rPr>
        <w:b/>
        <w:bCs/>
      </w:rPr>
      <w:tblPr/>
      <w:tcPr>
        <w:tcBorders>
          <w:top w:val="double" w:sz="6" w:space="0" w:color="CE49BF"/>
          <w:left w:val="single" w:sz="8" w:space="0" w:color="CE49BF"/>
          <w:bottom w:val="single" w:sz="8" w:space="0" w:color="CE49BF"/>
          <w:right w:val="single" w:sz="8" w:space="0" w:color="CE49BF"/>
          <w:insideH w:val="nil"/>
          <w:insideV w:val="nil"/>
        </w:tcBorders>
      </w:tcPr>
    </w:tblStylePr>
    <w:tblStylePr w:type="firstCol">
      <w:rPr>
        <w:b/>
        <w:bCs/>
      </w:rPr>
    </w:tblStylePr>
    <w:tblStylePr w:type="lastCol">
      <w:rPr>
        <w:b/>
        <w:bCs/>
      </w:rPr>
    </w:tblStylePr>
    <w:tblStylePr w:type="band1Vert">
      <w:tblPr/>
      <w:tcPr>
        <w:shd w:val="clear" w:color="auto" w:fill="EFC3E9"/>
      </w:tcPr>
    </w:tblStylePr>
    <w:tblStylePr w:type="band1Horz">
      <w:tblPr/>
      <w:tcPr>
        <w:tcBorders>
          <w:insideH w:val="nil"/>
          <w:insideV w:val="nil"/>
        </w:tcBorders>
        <w:shd w:val="clear" w:color="auto" w:fill="EFC3E9"/>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tblBorders>
    </w:tblPr>
    <w:tblStylePr w:type="firstRow">
      <w:pPr>
        <w:spacing w:before="0" w:after="0" w:line="240" w:lineRule="auto"/>
      </w:pPr>
      <w:rPr>
        <w:b/>
        <w:bCs/>
        <w:color w:val="FFFFFF"/>
      </w:rPr>
      <w:tblPr/>
      <w:tcPr>
        <w:tcBorders>
          <w:top w:val="single" w:sz="8" w:space="0" w:color="71CF50"/>
          <w:left w:val="single" w:sz="8" w:space="0" w:color="71CF50"/>
          <w:bottom w:val="single" w:sz="8" w:space="0" w:color="71CF50"/>
          <w:right w:val="single" w:sz="8" w:space="0" w:color="71CF50"/>
          <w:insideH w:val="nil"/>
          <w:insideV w:val="nil"/>
        </w:tcBorders>
        <w:shd w:val="clear" w:color="auto" w:fill="4EA72E"/>
      </w:tcPr>
    </w:tblStylePr>
    <w:tblStylePr w:type="lastRow">
      <w:pPr>
        <w:spacing w:before="0" w:after="0" w:line="240" w:lineRule="auto"/>
      </w:pPr>
      <w:rPr>
        <w:b/>
        <w:bCs/>
      </w:rPr>
      <w:tblPr/>
      <w:tcPr>
        <w:tcBorders>
          <w:top w:val="double" w:sz="6" w:space="0" w:color="71CF50"/>
          <w:left w:val="single" w:sz="8" w:space="0" w:color="71CF50"/>
          <w:bottom w:val="single" w:sz="8" w:space="0" w:color="71CF50"/>
          <w:right w:val="single" w:sz="8" w:space="0" w:color="71CF50"/>
          <w:insideH w:val="nil"/>
          <w:insideV w:val="nil"/>
        </w:tcBorders>
      </w:tcPr>
    </w:tblStylePr>
    <w:tblStylePr w:type="firstCol">
      <w:rPr>
        <w:b/>
        <w:bCs/>
      </w:rPr>
    </w:tblStylePr>
    <w:tblStylePr w:type="lastCol">
      <w:rPr>
        <w:b/>
        <w:bCs/>
      </w:rPr>
    </w:tblStylePr>
    <w:tblStylePr w:type="band1Vert">
      <w:tblPr/>
      <w:tcPr>
        <w:shd w:val="clear" w:color="auto" w:fill="D0EFC5"/>
      </w:tcPr>
    </w:tblStylePr>
    <w:tblStylePr w:type="band1Horz">
      <w:tblPr/>
      <w:tcPr>
        <w:tcBorders>
          <w:insideH w:val="nil"/>
          <w:insideV w:val="nil"/>
        </w:tcBorders>
        <w:shd w:val="clear" w:color="auto" w:fill="D0EFC5"/>
      </w:tcPr>
    </w:tblStylePr>
    <w:tblStylePr w:type="band2Horz">
      <w:tblPr/>
      <w:tcPr>
        <w:tcBorders>
          <w:insideH w:val="nil"/>
          <w:insideV w:val="nil"/>
        </w:tcBorders>
      </w:tcPr>
    </w:tblStylePr>
  </w:style>
  <w:style w:type="table" w:styleId="MediumShading2">
    <w:name w:val="Medium Shading 2"/>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5608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56082"/>
      </w:tcPr>
    </w:tblStylePr>
    <w:tblStylePr w:type="lastCol">
      <w:rPr>
        <w:b/>
        <w:bCs/>
        <w:color w:val="FFFFFF"/>
      </w:rPr>
      <w:tblPr/>
      <w:tcPr>
        <w:tcBorders>
          <w:left w:val="nil"/>
          <w:right w:val="nil"/>
          <w:insideH w:val="nil"/>
          <w:insideV w:val="nil"/>
        </w:tcBorders>
        <w:shd w:val="clear" w:color="auto" w:fill="15608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9713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E97132"/>
      </w:tcPr>
    </w:tblStylePr>
    <w:tblStylePr w:type="lastCol">
      <w:rPr>
        <w:b/>
        <w:bCs/>
        <w:color w:val="FFFFFF"/>
      </w:rPr>
      <w:tblPr/>
      <w:tcPr>
        <w:tcBorders>
          <w:left w:val="nil"/>
          <w:right w:val="nil"/>
          <w:insideH w:val="nil"/>
          <w:insideV w:val="nil"/>
        </w:tcBorders>
        <w:shd w:val="clear" w:color="auto" w:fill="E9713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96B2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196B24"/>
      </w:tcPr>
    </w:tblStylePr>
    <w:tblStylePr w:type="lastCol">
      <w:rPr>
        <w:b/>
        <w:bCs/>
        <w:color w:val="FFFFFF"/>
      </w:rPr>
      <w:tblPr/>
      <w:tcPr>
        <w:tcBorders>
          <w:left w:val="nil"/>
          <w:right w:val="nil"/>
          <w:insideH w:val="nil"/>
          <w:insideV w:val="nil"/>
        </w:tcBorders>
        <w:shd w:val="clear" w:color="auto" w:fill="196B2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F9E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F9ED5"/>
      </w:tcPr>
    </w:tblStylePr>
    <w:tblStylePr w:type="lastCol">
      <w:rPr>
        <w:b/>
        <w:bCs/>
        <w:color w:val="FFFFFF"/>
      </w:rPr>
      <w:tblPr/>
      <w:tcPr>
        <w:tcBorders>
          <w:left w:val="nil"/>
          <w:right w:val="nil"/>
          <w:insideH w:val="nil"/>
          <w:insideV w:val="nil"/>
        </w:tcBorders>
        <w:shd w:val="clear" w:color="auto" w:fill="0F9E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02B9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A02B93"/>
      </w:tcPr>
    </w:tblStylePr>
    <w:tblStylePr w:type="lastCol">
      <w:rPr>
        <w:b/>
        <w:bCs/>
        <w:color w:val="FFFFFF"/>
      </w:rPr>
      <w:tblPr/>
      <w:tcPr>
        <w:tcBorders>
          <w:left w:val="nil"/>
          <w:right w:val="nil"/>
          <w:insideH w:val="nil"/>
          <w:insideV w:val="nil"/>
        </w:tcBorders>
        <w:shd w:val="clear" w:color="auto" w:fill="A02B9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EA72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EA72E"/>
      </w:tcPr>
    </w:tblStylePr>
    <w:tblStylePr w:type="lastCol">
      <w:rPr>
        <w:b/>
        <w:bCs/>
        <w:color w:val="FFFFFF"/>
      </w:rPr>
      <w:tblPr/>
      <w:tcPr>
        <w:tcBorders>
          <w:left w:val="nil"/>
          <w:right w:val="nil"/>
          <w:insideH w:val="nil"/>
          <w:insideV w:val="nil"/>
        </w:tcBorders>
        <w:shd w:val="clear" w:color="auto" w:fill="4EA72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000000"/>
        <w:bottom w:val="single" w:sz="8" w:space="0" w:color="000000"/>
      </w:tblBorders>
    </w:tblPr>
    <w:tblStylePr w:type="firstRow">
      <w:rPr>
        <w:rFonts w:ascii="DengXian Light" w:eastAsia="DengXian Light" w:hAnsi="DengXian Light" w:cs="Times New Roman"/>
      </w:rPr>
      <w:tblPr/>
      <w:tcPr>
        <w:tcBorders>
          <w:top w:val="nil"/>
          <w:bottom w:val="single" w:sz="8" w:space="0" w:color="000000"/>
        </w:tcBorders>
      </w:tcPr>
    </w:tblStylePr>
    <w:tblStylePr w:type="lastRow">
      <w:rPr>
        <w:b/>
        <w:bCs/>
        <w:color w:val="0E2841"/>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156082"/>
        <w:bottom w:val="single" w:sz="8" w:space="0" w:color="156082"/>
      </w:tblBorders>
    </w:tblPr>
    <w:tblStylePr w:type="firstRow">
      <w:rPr>
        <w:rFonts w:ascii="DengXian Light" w:eastAsia="DengXian Light" w:hAnsi="DengXian Light" w:cs="Times New Roman"/>
      </w:rPr>
      <w:tblPr/>
      <w:tcPr>
        <w:tcBorders>
          <w:top w:val="nil"/>
          <w:bottom w:val="single" w:sz="8" w:space="0" w:color="156082"/>
        </w:tcBorders>
      </w:tcPr>
    </w:tblStylePr>
    <w:tblStylePr w:type="lastRow">
      <w:rPr>
        <w:b/>
        <w:bCs/>
        <w:color w:val="0E2841"/>
      </w:rPr>
      <w:tblPr/>
      <w:tcPr>
        <w:tcBorders>
          <w:top w:val="single" w:sz="8" w:space="0" w:color="156082"/>
          <w:bottom w:val="single" w:sz="8" w:space="0" w:color="156082"/>
        </w:tcBorders>
      </w:tcPr>
    </w:tblStylePr>
    <w:tblStylePr w:type="firstCol">
      <w:rPr>
        <w:b/>
        <w:bCs/>
      </w:rPr>
    </w:tblStylePr>
    <w:tblStylePr w:type="lastCol">
      <w:rPr>
        <w:b/>
        <w:bCs/>
      </w:rPr>
      <w:tblPr/>
      <w:tcPr>
        <w:tcBorders>
          <w:top w:val="single" w:sz="8" w:space="0" w:color="156082"/>
          <w:bottom w:val="single" w:sz="8" w:space="0" w:color="156082"/>
        </w:tcBorders>
      </w:tcPr>
    </w:tblStylePr>
    <w:tblStylePr w:type="band1Vert">
      <w:tblPr/>
      <w:tcPr>
        <w:shd w:val="clear" w:color="auto" w:fill="B2DEF2"/>
      </w:tcPr>
    </w:tblStylePr>
    <w:tblStylePr w:type="band1Horz">
      <w:tblPr/>
      <w:tcPr>
        <w:shd w:val="clear" w:color="auto" w:fill="B2DEF2"/>
      </w:tcPr>
    </w:tblStylePr>
  </w:style>
  <w:style w:type="table" w:styleId="MediumList1-Accent2">
    <w:name w:val="Medium List 1 Accent 2"/>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E97132"/>
        <w:bottom w:val="single" w:sz="8" w:space="0" w:color="E97132"/>
      </w:tblBorders>
    </w:tblPr>
    <w:tblStylePr w:type="firstRow">
      <w:rPr>
        <w:rFonts w:ascii="DengXian Light" w:eastAsia="DengXian Light" w:hAnsi="DengXian Light" w:cs="Times New Roman"/>
      </w:rPr>
      <w:tblPr/>
      <w:tcPr>
        <w:tcBorders>
          <w:top w:val="nil"/>
          <w:bottom w:val="single" w:sz="8" w:space="0" w:color="E97132"/>
        </w:tcBorders>
      </w:tcPr>
    </w:tblStylePr>
    <w:tblStylePr w:type="lastRow">
      <w:rPr>
        <w:b/>
        <w:bCs/>
        <w:color w:val="0E2841"/>
      </w:rPr>
      <w:tblPr/>
      <w:tcPr>
        <w:tcBorders>
          <w:top w:val="single" w:sz="8" w:space="0" w:color="E97132"/>
          <w:bottom w:val="single" w:sz="8" w:space="0" w:color="E97132"/>
        </w:tcBorders>
      </w:tcPr>
    </w:tblStylePr>
    <w:tblStylePr w:type="firstCol">
      <w:rPr>
        <w:b/>
        <w:bCs/>
      </w:rPr>
    </w:tblStylePr>
    <w:tblStylePr w:type="lastCol">
      <w:rPr>
        <w:b/>
        <w:bCs/>
      </w:rPr>
      <w:tblPr/>
      <w:tcPr>
        <w:tcBorders>
          <w:top w:val="single" w:sz="8" w:space="0" w:color="E97132"/>
          <w:bottom w:val="single" w:sz="8" w:space="0" w:color="E97132"/>
        </w:tcBorders>
      </w:tcPr>
    </w:tblStylePr>
    <w:tblStylePr w:type="band1Vert">
      <w:tblPr/>
      <w:tcPr>
        <w:shd w:val="clear" w:color="auto" w:fill="F9DBCC"/>
      </w:tcPr>
    </w:tblStylePr>
    <w:tblStylePr w:type="band1Horz">
      <w:tblPr/>
      <w:tcPr>
        <w:shd w:val="clear" w:color="auto" w:fill="F9DBCC"/>
      </w:tcPr>
    </w:tblStylePr>
  </w:style>
  <w:style w:type="table" w:styleId="MediumList1-Accent3">
    <w:name w:val="Medium List 1 Accent 3"/>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196B24"/>
        <w:bottom w:val="single" w:sz="8" w:space="0" w:color="196B24"/>
      </w:tblBorders>
    </w:tblPr>
    <w:tblStylePr w:type="firstRow">
      <w:rPr>
        <w:rFonts w:ascii="DengXian Light" w:eastAsia="DengXian Light" w:hAnsi="DengXian Light" w:cs="Times New Roman"/>
      </w:rPr>
      <w:tblPr/>
      <w:tcPr>
        <w:tcBorders>
          <w:top w:val="nil"/>
          <w:bottom w:val="single" w:sz="8" w:space="0" w:color="196B24"/>
        </w:tcBorders>
      </w:tcPr>
    </w:tblStylePr>
    <w:tblStylePr w:type="lastRow">
      <w:rPr>
        <w:b/>
        <w:bCs/>
        <w:color w:val="0E2841"/>
      </w:rPr>
      <w:tblPr/>
      <w:tcPr>
        <w:tcBorders>
          <w:top w:val="single" w:sz="8" w:space="0" w:color="196B24"/>
          <w:bottom w:val="single" w:sz="8" w:space="0" w:color="196B24"/>
        </w:tcBorders>
      </w:tcPr>
    </w:tblStylePr>
    <w:tblStylePr w:type="firstCol">
      <w:rPr>
        <w:b/>
        <w:bCs/>
      </w:rPr>
    </w:tblStylePr>
    <w:tblStylePr w:type="lastCol">
      <w:rPr>
        <w:b/>
        <w:bCs/>
      </w:rPr>
      <w:tblPr/>
      <w:tcPr>
        <w:tcBorders>
          <w:top w:val="single" w:sz="8" w:space="0" w:color="196B24"/>
          <w:bottom w:val="single" w:sz="8" w:space="0" w:color="196B24"/>
        </w:tcBorders>
      </w:tcPr>
    </w:tblStylePr>
    <w:tblStylePr w:type="band1Vert">
      <w:tblPr/>
      <w:tcPr>
        <w:shd w:val="clear" w:color="auto" w:fill="B3EDBA"/>
      </w:tcPr>
    </w:tblStylePr>
    <w:tblStylePr w:type="band1Horz">
      <w:tblPr/>
      <w:tcPr>
        <w:shd w:val="clear" w:color="auto" w:fill="B3EDBA"/>
      </w:tcPr>
    </w:tblStylePr>
  </w:style>
  <w:style w:type="table" w:styleId="MediumList1-Accent4">
    <w:name w:val="Medium List 1 Accent 4"/>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0F9ED5"/>
        <w:bottom w:val="single" w:sz="8" w:space="0" w:color="0F9ED5"/>
      </w:tblBorders>
    </w:tblPr>
    <w:tblStylePr w:type="firstRow">
      <w:rPr>
        <w:rFonts w:ascii="DengXian Light" w:eastAsia="DengXian Light" w:hAnsi="DengXian Light" w:cs="Times New Roman"/>
      </w:rPr>
      <w:tblPr/>
      <w:tcPr>
        <w:tcBorders>
          <w:top w:val="nil"/>
          <w:bottom w:val="single" w:sz="8" w:space="0" w:color="0F9ED5"/>
        </w:tcBorders>
      </w:tcPr>
    </w:tblStylePr>
    <w:tblStylePr w:type="lastRow">
      <w:rPr>
        <w:b/>
        <w:bCs/>
        <w:color w:val="0E2841"/>
      </w:rPr>
      <w:tblPr/>
      <w:tcPr>
        <w:tcBorders>
          <w:top w:val="single" w:sz="8" w:space="0" w:color="0F9ED5"/>
          <w:bottom w:val="single" w:sz="8" w:space="0" w:color="0F9ED5"/>
        </w:tcBorders>
      </w:tcPr>
    </w:tblStylePr>
    <w:tblStylePr w:type="firstCol">
      <w:rPr>
        <w:b/>
        <w:bCs/>
      </w:rPr>
    </w:tblStylePr>
    <w:tblStylePr w:type="lastCol">
      <w:rPr>
        <w:b/>
        <w:bCs/>
      </w:rPr>
      <w:tblPr/>
      <w:tcPr>
        <w:tcBorders>
          <w:top w:val="single" w:sz="8" w:space="0" w:color="0F9ED5"/>
          <w:bottom w:val="single" w:sz="8" w:space="0" w:color="0F9ED5"/>
        </w:tcBorders>
      </w:tcPr>
    </w:tblStylePr>
    <w:tblStylePr w:type="band1Vert">
      <w:tblPr/>
      <w:tcPr>
        <w:shd w:val="clear" w:color="auto" w:fill="BDE9FA"/>
      </w:tcPr>
    </w:tblStylePr>
    <w:tblStylePr w:type="band1Horz">
      <w:tblPr/>
      <w:tcPr>
        <w:shd w:val="clear" w:color="auto" w:fill="BDE9FA"/>
      </w:tcPr>
    </w:tblStylePr>
  </w:style>
  <w:style w:type="table" w:styleId="MediumList1-Accent5">
    <w:name w:val="Medium List 1 Accent 5"/>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A02B93"/>
        <w:bottom w:val="single" w:sz="8" w:space="0" w:color="A02B93"/>
      </w:tblBorders>
    </w:tblPr>
    <w:tblStylePr w:type="firstRow">
      <w:rPr>
        <w:rFonts w:ascii="DengXian Light" w:eastAsia="DengXian Light" w:hAnsi="DengXian Light" w:cs="Times New Roman"/>
      </w:rPr>
      <w:tblPr/>
      <w:tcPr>
        <w:tcBorders>
          <w:top w:val="nil"/>
          <w:bottom w:val="single" w:sz="8" w:space="0" w:color="A02B93"/>
        </w:tcBorders>
      </w:tcPr>
    </w:tblStylePr>
    <w:tblStylePr w:type="lastRow">
      <w:rPr>
        <w:b/>
        <w:bCs/>
        <w:color w:val="0E2841"/>
      </w:rPr>
      <w:tblPr/>
      <w:tcPr>
        <w:tcBorders>
          <w:top w:val="single" w:sz="8" w:space="0" w:color="A02B93"/>
          <w:bottom w:val="single" w:sz="8" w:space="0" w:color="A02B93"/>
        </w:tcBorders>
      </w:tcPr>
    </w:tblStylePr>
    <w:tblStylePr w:type="firstCol">
      <w:rPr>
        <w:b/>
        <w:bCs/>
      </w:rPr>
    </w:tblStylePr>
    <w:tblStylePr w:type="lastCol">
      <w:rPr>
        <w:b/>
        <w:bCs/>
      </w:rPr>
      <w:tblPr/>
      <w:tcPr>
        <w:tcBorders>
          <w:top w:val="single" w:sz="8" w:space="0" w:color="A02B93"/>
          <w:bottom w:val="single" w:sz="8" w:space="0" w:color="A02B93"/>
        </w:tcBorders>
      </w:tcPr>
    </w:tblStylePr>
    <w:tblStylePr w:type="band1Vert">
      <w:tblPr/>
      <w:tcPr>
        <w:shd w:val="clear" w:color="auto" w:fill="EFC3E9"/>
      </w:tcPr>
    </w:tblStylePr>
    <w:tblStylePr w:type="band1Horz">
      <w:tblPr/>
      <w:tcPr>
        <w:shd w:val="clear" w:color="auto" w:fill="EFC3E9"/>
      </w:tcPr>
    </w:tblStylePr>
  </w:style>
  <w:style w:type="table" w:styleId="MediumList1-Accent6">
    <w:name w:val="Medium List 1 Accent 6"/>
    <w:basedOn w:val="TableNormal"/>
    <w:uiPriority w:val="65"/>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8" w:space="0" w:color="4EA72E"/>
        <w:bottom w:val="single" w:sz="8" w:space="0" w:color="4EA72E"/>
      </w:tblBorders>
    </w:tblPr>
    <w:tblStylePr w:type="firstRow">
      <w:rPr>
        <w:rFonts w:ascii="DengXian Light" w:eastAsia="DengXian Light" w:hAnsi="DengXian Light" w:cs="Times New Roman"/>
      </w:rPr>
      <w:tblPr/>
      <w:tcPr>
        <w:tcBorders>
          <w:top w:val="nil"/>
          <w:bottom w:val="single" w:sz="8" w:space="0" w:color="4EA72E"/>
        </w:tcBorders>
      </w:tcPr>
    </w:tblStylePr>
    <w:tblStylePr w:type="lastRow">
      <w:rPr>
        <w:b/>
        <w:bCs/>
        <w:color w:val="0E2841"/>
      </w:rPr>
      <w:tblPr/>
      <w:tcPr>
        <w:tcBorders>
          <w:top w:val="single" w:sz="8" w:space="0" w:color="4EA72E"/>
          <w:bottom w:val="single" w:sz="8" w:space="0" w:color="4EA72E"/>
        </w:tcBorders>
      </w:tcPr>
    </w:tblStylePr>
    <w:tblStylePr w:type="firstCol">
      <w:rPr>
        <w:b/>
        <w:bCs/>
      </w:rPr>
    </w:tblStylePr>
    <w:tblStylePr w:type="lastCol">
      <w:rPr>
        <w:b/>
        <w:bCs/>
      </w:rPr>
      <w:tblPr/>
      <w:tcPr>
        <w:tcBorders>
          <w:top w:val="single" w:sz="8" w:space="0" w:color="4EA72E"/>
          <w:bottom w:val="single" w:sz="8" w:space="0" w:color="4EA72E"/>
        </w:tcBorders>
      </w:tcPr>
    </w:tblStylePr>
    <w:tblStylePr w:type="band1Vert">
      <w:tblPr/>
      <w:tcPr>
        <w:shd w:val="clear" w:color="auto" w:fill="D0EFC5"/>
      </w:tcPr>
    </w:tblStylePr>
    <w:tblStylePr w:type="band1Horz">
      <w:tblPr/>
      <w:tcPr>
        <w:shd w:val="clear" w:color="auto" w:fill="D0EFC5"/>
      </w:tcPr>
    </w:tblStylePr>
  </w:style>
  <w:style w:type="table" w:styleId="MediumList2">
    <w:name w:val="Medium List 2"/>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156082"/>
        <w:left w:val="single" w:sz="8" w:space="0" w:color="156082"/>
        <w:bottom w:val="single" w:sz="8" w:space="0" w:color="156082"/>
        <w:right w:val="single" w:sz="8" w:space="0" w:color="156082"/>
      </w:tblBorders>
    </w:tblPr>
    <w:tblStylePr w:type="firstRow">
      <w:rPr>
        <w:sz w:val="24"/>
        <w:szCs w:val="24"/>
      </w:rPr>
      <w:tblPr/>
      <w:tcPr>
        <w:tcBorders>
          <w:top w:val="nil"/>
          <w:left w:val="nil"/>
          <w:bottom w:val="single" w:sz="24" w:space="0" w:color="156082"/>
          <w:right w:val="nil"/>
          <w:insideH w:val="nil"/>
          <w:insideV w:val="nil"/>
        </w:tcBorders>
        <w:shd w:val="clear" w:color="auto" w:fill="FFFFFF"/>
      </w:tcPr>
    </w:tblStylePr>
    <w:tblStylePr w:type="lastRow">
      <w:tblPr/>
      <w:tcPr>
        <w:tcBorders>
          <w:top w:val="single" w:sz="8" w:space="0" w:color="156082"/>
          <w:left w:val="nil"/>
          <w:bottom w:val="nil"/>
          <w:right w:val="nil"/>
          <w:insideH w:val="nil"/>
          <w:insideV w:val="nil"/>
        </w:tcBorders>
        <w:shd w:val="clear" w:color="auto" w:fill="FFFFFF"/>
      </w:tcPr>
    </w:tblStylePr>
    <w:tblStylePr w:type="firstCol">
      <w:tblPr/>
      <w:tcPr>
        <w:tcBorders>
          <w:top w:val="nil"/>
          <w:left w:val="nil"/>
          <w:bottom w:val="nil"/>
          <w:right w:val="single" w:sz="8" w:space="0" w:color="156082"/>
          <w:insideH w:val="nil"/>
          <w:insideV w:val="nil"/>
        </w:tcBorders>
        <w:shd w:val="clear" w:color="auto" w:fill="FFFFFF"/>
      </w:tcPr>
    </w:tblStylePr>
    <w:tblStylePr w:type="lastCol">
      <w:tblPr/>
      <w:tcPr>
        <w:tcBorders>
          <w:top w:val="nil"/>
          <w:left w:val="single" w:sz="8" w:space="0" w:color="15608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2DEF2"/>
      </w:tcPr>
    </w:tblStylePr>
    <w:tblStylePr w:type="band1Horz">
      <w:tblPr/>
      <w:tcPr>
        <w:tcBorders>
          <w:top w:val="nil"/>
          <w:bottom w:val="nil"/>
          <w:insideH w:val="nil"/>
          <w:insideV w:val="nil"/>
        </w:tcBorders>
        <w:shd w:val="clear" w:color="auto" w:fill="B2DEF2"/>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E97132"/>
        <w:left w:val="single" w:sz="8" w:space="0" w:color="E97132"/>
        <w:bottom w:val="single" w:sz="8" w:space="0" w:color="E97132"/>
        <w:right w:val="single" w:sz="8" w:space="0" w:color="E97132"/>
      </w:tblBorders>
    </w:tblPr>
    <w:tblStylePr w:type="firstRow">
      <w:rPr>
        <w:sz w:val="24"/>
        <w:szCs w:val="24"/>
      </w:rPr>
      <w:tblPr/>
      <w:tcPr>
        <w:tcBorders>
          <w:top w:val="nil"/>
          <w:left w:val="nil"/>
          <w:bottom w:val="single" w:sz="24" w:space="0" w:color="E97132"/>
          <w:right w:val="nil"/>
          <w:insideH w:val="nil"/>
          <w:insideV w:val="nil"/>
        </w:tcBorders>
        <w:shd w:val="clear" w:color="auto" w:fill="FFFFFF"/>
      </w:tcPr>
    </w:tblStylePr>
    <w:tblStylePr w:type="lastRow">
      <w:tblPr/>
      <w:tcPr>
        <w:tcBorders>
          <w:top w:val="single" w:sz="8" w:space="0" w:color="E97132"/>
          <w:left w:val="nil"/>
          <w:bottom w:val="nil"/>
          <w:right w:val="nil"/>
          <w:insideH w:val="nil"/>
          <w:insideV w:val="nil"/>
        </w:tcBorders>
        <w:shd w:val="clear" w:color="auto" w:fill="FFFFFF"/>
      </w:tcPr>
    </w:tblStylePr>
    <w:tblStylePr w:type="firstCol">
      <w:tblPr/>
      <w:tcPr>
        <w:tcBorders>
          <w:top w:val="nil"/>
          <w:left w:val="nil"/>
          <w:bottom w:val="nil"/>
          <w:right w:val="single" w:sz="8" w:space="0" w:color="E97132"/>
          <w:insideH w:val="nil"/>
          <w:insideV w:val="nil"/>
        </w:tcBorders>
        <w:shd w:val="clear" w:color="auto" w:fill="FFFFFF"/>
      </w:tcPr>
    </w:tblStylePr>
    <w:tblStylePr w:type="lastCol">
      <w:tblPr/>
      <w:tcPr>
        <w:tcBorders>
          <w:top w:val="nil"/>
          <w:left w:val="single" w:sz="8" w:space="0" w:color="E9713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BCC"/>
      </w:tcPr>
    </w:tblStylePr>
    <w:tblStylePr w:type="band1Horz">
      <w:tblPr/>
      <w:tcPr>
        <w:tcBorders>
          <w:top w:val="nil"/>
          <w:bottom w:val="nil"/>
          <w:insideH w:val="nil"/>
          <w:insideV w:val="nil"/>
        </w:tcBorders>
        <w:shd w:val="clear" w:color="auto" w:fill="F9DBCC"/>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196B24"/>
        <w:left w:val="single" w:sz="8" w:space="0" w:color="196B24"/>
        <w:bottom w:val="single" w:sz="8" w:space="0" w:color="196B24"/>
        <w:right w:val="single" w:sz="8" w:space="0" w:color="196B24"/>
      </w:tblBorders>
    </w:tblPr>
    <w:tblStylePr w:type="firstRow">
      <w:rPr>
        <w:sz w:val="24"/>
        <w:szCs w:val="24"/>
      </w:rPr>
      <w:tblPr/>
      <w:tcPr>
        <w:tcBorders>
          <w:top w:val="nil"/>
          <w:left w:val="nil"/>
          <w:bottom w:val="single" w:sz="24" w:space="0" w:color="196B24"/>
          <w:right w:val="nil"/>
          <w:insideH w:val="nil"/>
          <w:insideV w:val="nil"/>
        </w:tcBorders>
        <w:shd w:val="clear" w:color="auto" w:fill="FFFFFF"/>
      </w:tcPr>
    </w:tblStylePr>
    <w:tblStylePr w:type="lastRow">
      <w:tblPr/>
      <w:tcPr>
        <w:tcBorders>
          <w:top w:val="single" w:sz="8" w:space="0" w:color="196B24"/>
          <w:left w:val="nil"/>
          <w:bottom w:val="nil"/>
          <w:right w:val="nil"/>
          <w:insideH w:val="nil"/>
          <w:insideV w:val="nil"/>
        </w:tcBorders>
        <w:shd w:val="clear" w:color="auto" w:fill="FFFFFF"/>
      </w:tcPr>
    </w:tblStylePr>
    <w:tblStylePr w:type="firstCol">
      <w:tblPr/>
      <w:tcPr>
        <w:tcBorders>
          <w:top w:val="nil"/>
          <w:left w:val="nil"/>
          <w:bottom w:val="nil"/>
          <w:right w:val="single" w:sz="8" w:space="0" w:color="196B24"/>
          <w:insideH w:val="nil"/>
          <w:insideV w:val="nil"/>
        </w:tcBorders>
        <w:shd w:val="clear" w:color="auto" w:fill="FFFFFF"/>
      </w:tcPr>
    </w:tblStylePr>
    <w:tblStylePr w:type="lastCol">
      <w:tblPr/>
      <w:tcPr>
        <w:tcBorders>
          <w:top w:val="nil"/>
          <w:left w:val="single" w:sz="8" w:space="0" w:color="196B2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3EDBA"/>
      </w:tcPr>
    </w:tblStylePr>
    <w:tblStylePr w:type="band1Horz">
      <w:tblPr/>
      <w:tcPr>
        <w:tcBorders>
          <w:top w:val="nil"/>
          <w:bottom w:val="nil"/>
          <w:insideH w:val="nil"/>
          <w:insideV w:val="nil"/>
        </w:tcBorders>
        <w:shd w:val="clear" w:color="auto" w:fill="B3EDBA"/>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0F9ED5"/>
        <w:left w:val="single" w:sz="8" w:space="0" w:color="0F9ED5"/>
        <w:bottom w:val="single" w:sz="8" w:space="0" w:color="0F9ED5"/>
        <w:right w:val="single" w:sz="8" w:space="0" w:color="0F9ED5"/>
      </w:tblBorders>
    </w:tblPr>
    <w:tblStylePr w:type="firstRow">
      <w:rPr>
        <w:sz w:val="24"/>
        <w:szCs w:val="24"/>
      </w:rPr>
      <w:tblPr/>
      <w:tcPr>
        <w:tcBorders>
          <w:top w:val="nil"/>
          <w:left w:val="nil"/>
          <w:bottom w:val="single" w:sz="24" w:space="0" w:color="0F9ED5"/>
          <w:right w:val="nil"/>
          <w:insideH w:val="nil"/>
          <w:insideV w:val="nil"/>
        </w:tcBorders>
        <w:shd w:val="clear" w:color="auto" w:fill="FFFFFF"/>
      </w:tcPr>
    </w:tblStylePr>
    <w:tblStylePr w:type="lastRow">
      <w:tblPr/>
      <w:tcPr>
        <w:tcBorders>
          <w:top w:val="single" w:sz="8" w:space="0" w:color="0F9ED5"/>
          <w:left w:val="nil"/>
          <w:bottom w:val="nil"/>
          <w:right w:val="nil"/>
          <w:insideH w:val="nil"/>
          <w:insideV w:val="nil"/>
        </w:tcBorders>
        <w:shd w:val="clear" w:color="auto" w:fill="FFFFFF"/>
      </w:tcPr>
    </w:tblStylePr>
    <w:tblStylePr w:type="firstCol">
      <w:tblPr/>
      <w:tcPr>
        <w:tcBorders>
          <w:top w:val="nil"/>
          <w:left w:val="nil"/>
          <w:bottom w:val="nil"/>
          <w:right w:val="single" w:sz="8" w:space="0" w:color="0F9ED5"/>
          <w:insideH w:val="nil"/>
          <w:insideV w:val="nil"/>
        </w:tcBorders>
        <w:shd w:val="clear" w:color="auto" w:fill="FFFFFF"/>
      </w:tcPr>
    </w:tblStylePr>
    <w:tblStylePr w:type="lastCol">
      <w:tblPr/>
      <w:tcPr>
        <w:tcBorders>
          <w:top w:val="nil"/>
          <w:left w:val="single" w:sz="8" w:space="0" w:color="0F9E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DE9FA"/>
      </w:tcPr>
    </w:tblStylePr>
    <w:tblStylePr w:type="band1Horz">
      <w:tblPr/>
      <w:tcPr>
        <w:tcBorders>
          <w:top w:val="nil"/>
          <w:bottom w:val="nil"/>
          <w:insideH w:val="nil"/>
          <w:insideV w:val="nil"/>
        </w:tcBorders>
        <w:shd w:val="clear" w:color="auto" w:fill="BDE9FA"/>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A02B93"/>
        <w:left w:val="single" w:sz="8" w:space="0" w:color="A02B93"/>
        <w:bottom w:val="single" w:sz="8" w:space="0" w:color="A02B93"/>
        <w:right w:val="single" w:sz="8" w:space="0" w:color="A02B93"/>
      </w:tblBorders>
    </w:tblPr>
    <w:tblStylePr w:type="firstRow">
      <w:rPr>
        <w:sz w:val="24"/>
        <w:szCs w:val="24"/>
      </w:rPr>
      <w:tblPr/>
      <w:tcPr>
        <w:tcBorders>
          <w:top w:val="nil"/>
          <w:left w:val="nil"/>
          <w:bottom w:val="single" w:sz="24" w:space="0" w:color="A02B93"/>
          <w:right w:val="nil"/>
          <w:insideH w:val="nil"/>
          <w:insideV w:val="nil"/>
        </w:tcBorders>
        <w:shd w:val="clear" w:color="auto" w:fill="FFFFFF"/>
      </w:tcPr>
    </w:tblStylePr>
    <w:tblStylePr w:type="lastRow">
      <w:tblPr/>
      <w:tcPr>
        <w:tcBorders>
          <w:top w:val="single" w:sz="8" w:space="0" w:color="A02B93"/>
          <w:left w:val="nil"/>
          <w:bottom w:val="nil"/>
          <w:right w:val="nil"/>
          <w:insideH w:val="nil"/>
          <w:insideV w:val="nil"/>
        </w:tcBorders>
        <w:shd w:val="clear" w:color="auto" w:fill="FFFFFF"/>
      </w:tcPr>
    </w:tblStylePr>
    <w:tblStylePr w:type="firstCol">
      <w:tblPr/>
      <w:tcPr>
        <w:tcBorders>
          <w:top w:val="nil"/>
          <w:left w:val="nil"/>
          <w:bottom w:val="nil"/>
          <w:right w:val="single" w:sz="8" w:space="0" w:color="A02B93"/>
          <w:insideH w:val="nil"/>
          <w:insideV w:val="nil"/>
        </w:tcBorders>
        <w:shd w:val="clear" w:color="auto" w:fill="FFFFFF"/>
      </w:tcPr>
    </w:tblStylePr>
    <w:tblStylePr w:type="lastCol">
      <w:tblPr/>
      <w:tcPr>
        <w:tcBorders>
          <w:top w:val="nil"/>
          <w:left w:val="single" w:sz="8" w:space="0" w:color="A02B9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C3E9"/>
      </w:tcPr>
    </w:tblStylePr>
    <w:tblStylePr w:type="band1Horz">
      <w:tblPr/>
      <w:tcPr>
        <w:tcBorders>
          <w:top w:val="nil"/>
          <w:bottom w:val="nil"/>
          <w:insideH w:val="nil"/>
          <w:insideV w:val="nil"/>
        </w:tcBorders>
        <w:shd w:val="clear" w:color="auto" w:fill="EFC3E9"/>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4EA72E"/>
        <w:left w:val="single" w:sz="8" w:space="0" w:color="4EA72E"/>
        <w:bottom w:val="single" w:sz="8" w:space="0" w:color="4EA72E"/>
        <w:right w:val="single" w:sz="8" w:space="0" w:color="4EA72E"/>
      </w:tblBorders>
    </w:tblPr>
    <w:tblStylePr w:type="firstRow">
      <w:rPr>
        <w:sz w:val="24"/>
        <w:szCs w:val="24"/>
      </w:rPr>
      <w:tblPr/>
      <w:tcPr>
        <w:tcBorders>
          <w:top w:val="nil"/>
          <w:left w:val="nil"/>
          <w:bottom w:val="single" w:sz="24" w:space="0" w:color="4EA72E"/>
          <w:right w:val="nil"/>
          <w:insideH w:val="nil"/>
          <w:insideV w:val="nil"/>
        </w:tcBorders>
        <w:shd w:val="clear" w:color="auto" w:fill="FFFFFF"/>
      </w:tcPr>
    </w:tblStylePr>
    <w:tblStylePr w:type="lastRow">
      <w:tblPr/>
      <w:tcPr>
        <w:tcBorders>
          <w:top w:val="single" w:sz="8" w:space="0" w:color="4EA72E"/>
          <w:left w:val="nil"/>
          <w:bottom w:val="nil"/>
          <w:right w:val="nil"/>
          <w:insideH w:val="nil"/>
          <w:insideV w:val="nil"/>
        </w:tcBorders>
        <w:shd w:val="clear" w:color="auto" w:fill="FFFFFF"/>
      </w:tcPr>
    </w:tblStylePr>
    <w:tblStylePr w:type="firstCol">
      <w:tblPr/>
      <w:tcPr>
        <w:tcBorders>
          <w:top w:val="nil"/>
          <w:left w:val="nil"/>
          <w:bottom w:val="nil"/>
          <w:right w:val="single" w:sz="8" w:space="0" w:color="4EA72E"/>
          <w:insideH w:val="nil"/>
          <w:insideV w:val="nil"/>
        </w:tcBorders>
        <w:shd w:val="clear" w:color="auto" w:fill="FFFFFF"/>
      </w:tcPr>
    </w:tblStylePr>
    <w:tblStylePr w:type="lastCol">
      <w:tblPr/>
      <w:tcPr>
        <w:tcBorders>
          <w:top w:val="nil"/>
          <w:left w:val="single" w:sz="8" w:space="0" w:color="4EA72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FC5"/>
      </w:tcPr>
    </w:tblStylePr>
    <w:tblStylePr w:type="band1Horz">
      <w:tblPr/>
      <w:tcPr>
        <w:tcBorders>
          <w:top w:val="nil"/>
          <w:bottom w:val="nil"/>
          <w:insideH w:val="nil"/>
          <w:insideV w:val="nil"/>
        </w:tcBorders>
        <w:shd w:val="clear" w:color="auto" w:fill="D0EFC5"/>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2198CF"/>
        <w:left w:val="single" w:sz="8" w:space="0" w:color="2198CF"/>
        <w:bottom w:val="single" w:sz="8" w:space="0" w:color="2198CF"/>
        <w:right w:val="single" w:sz="8" w:space="0" w:color="2198CF"/>
        <w:insideH w:val="single" w:sz="8" w:space="0" w:color="2198CF"/>
        <w:insideV w:val="single" w:sz="8" w:space="0" w:color="2198CF"/>
      </w:tblBorders>
    </w:tblPr>
    <w:tcPr>
      <w:shd w:val="clear" w:color="auto" w:fill="B2DEF2"/>
    </w:tcPr>
    <w:tblStylePr w:type="firstRow">
      <w:rPr>
        <w:b/>
        <w:bCs/>
      </w:rPr>
    </w:tblStylePr>
    <w:tblStylePr w:type="lastRow">
      <w:rPr>
        <w:b/>
        <w:bCs/>
      </w:rPr>
      <w:tblPr/>
      <w:tcPr>
        <w:tcBorders>
          <w:top w:val="single" w:sz="18" w:space="0" w:color="2198CF"/>
        </w:tcBorders>
      </w:tcPr>
    </w:tblStylePr>
    <w:tblStylePr w:type="firstCol">
      <w:rPr>
        <w:b/>
        <w:bCs/>
      </w:rPr>
    </w:tblStylePr>
    <w:tblStylePr w:type="lastCol">
      <w:rPr>
        <w:b/>
        <w:bCs/>
      </w:rPr>
    </w:tblStylePr>
    <w:tblStylePr w:type="band1Vert">
      <w:tblPr/>
      <w:tcPr>
        <w:shd w:val="clear" w:color="auto" w:fill="64BDE6"/>
      </w:tcPr>
    </w:tblStylePr>
    <w:tblStylePr w:type="band1Horz">
      <w:tblPr/>
      <w:tcPr>
        <w:shd w:val="clear" w:color="auto" w:fill="64BDE6"/>
      </w:tcPr>
    </w:tblStylePr>
  </w:style>
  <w:style w:type="table" w:styleId="MediumGrid1-Accent2">
    <w:name w:val="Medium Grid 1 Accent 2"/>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EE9465"/>
        <w:left w:val="single" w:sz="8" w:space="0" w:color="EE9465"/>
        <w:bottom w:val="single" w:sz="8" w:space="0" w:color="EE9465"/>
        <w:right w:val="single" w:sz="8" w:space="0" w:color="EE9465"/>
        <w:insideH w:val="single" w:sz="8" w:space="0" w:color="EE9465"/>
        <w:insideV w:val="single" w:sz="8" w:space="0" w:color="EE9465"/>
      </w:tblBorders>
    </w:tblPr>
    <w:tcPr>
      <w:shd w:val="clear" w:color="auto" w:fill="F9DBCC"/>
    </w:tcPr>
    <w:tblStylePr w:type="firstRow">
      <w:rPr>
        <w:b/>
        <w:bCs/>
      </w:rPr>
    </w:tblStylePr>
    <w:tblStylePr w:type="lastRow">
      <w:rPr>
        <w:b/>
        <w:bCs/>
      </w:rPr>
      <w:tblPr/>
      <w:tcPr>
        <w:tcBorders>
          <w:top w:val="single" w:sz="18" w:space="0" w:color="EE9465"/>
        </w:tcBorders>
      </w:tcPr>
    </w:tblStylePr>
    <w:tblStylePr w:type="firstCol">
      <w:rPr>
        <w:b/>
        <w:bCs/>
      </w:rPr>
    </w:tblStylePr>
    <w:tblStylePr w:type="lastCol">
      <w:rPr>
        <w:b/>
        <w:bCs/>
      </w:rPr>
    </w:tblStylePr>
    <w:tblStylePr w:type="band1Vert">
      <w:tblPr/>
      <w:tcPr>
        <w:shd w:val="clear" w:color="auto" w:fill="F4B798"/>
      </w:tcPr>
    </w:tblStylePr>
    <w:tblStylePr w:type="band1Horz">
      <w:tblPr/>
      <w:tcPr>
        <w:shd w:val="clear" w:color="auto" w:fill="F4B798"/>
      </w:tcPr>
    </w:tblStylePr>
  </w:style>
  <w:style w:type="table" w:styleId="MediumGrid1-Accent3">
    <w:name w:val="Medium Grid 1 Accent 3"/>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2BB73D"/>
        <w:left w:val="single" w:sz="8" w:space="0" w:color="2BB73D"/>
        <w:bottom w:val="single" w:sz="8" w:space="0" w:color="2BB73D"/>
        <w:right w:val="single" w:sz="8" w:space="0" w:color="2BB73D"/>
        <w:insideH w:val="single" w:sz="8" w:space="0" w:color="2BB73D"/>
        <w:insideV w:val="single" w:sz="8" w:space="0" w:color="2BB73D"/>
      </w:tblBorders>
    </w:tblPr>
    <w:tcPr>
      <w:shd w:val="clear" w:color="auto" w:fill="B3EDBA"/>
    </w:tcPr>
    <w:tblStylePr w:type="firstRow">
      <w:rPr>
        <w:b/>
        <w:bCs/>
      </w:rPr>
    </w:tblStylePr>
    <w:tblStylePr w:type="lastRow">
      <w:rPr>
        <w:b/>
        <w:bCs/>
      </w:rPr>
      <w:tblPr/>
      <w:tcPr>
        <w:tcBorders>
          <w:top w:val="single" w:sz="18" w:space="0" w:color="2BB73D"/>
        </w:tcBorders>
      </w:tcPr>
    </w:tblStylePr>
    <w:tblStylePr w:type="firstCol">
      <w:rPr>
        <w:b/>
        <w:bCs/>
      </w:rPr>
    </w:tblStylePr>
    <w:tblStylePr w:type="lastCol">
      <w:rPr>
        <w:b/>
        <w:bCs/>
      </w:rPr>
    </w:tblStylePr>
    <w:tblStylePr w:type="band1Vert">
      <w:tblPr/>
      <w:tcPr>
        <w:shd w:val="clear" w:color="auto" w:fill="66DB75"/>
      </w:tcPr>
    </w:tblStylePr>
    <w:tblStylePr w:type="band1Horz">
      <w:tblPr/>
      <w:tcPr>
        <w:shd w:val="clear" w:color="auto" w:fill="66DB75"/>
      </w:tcPr>
    </w:tblStylePr>
  </w:style>
  <w:style w:type="table" w:styleId="MediumGrid1-Accent4">
    <w:name w:val="Medium Grid 1 Accent 4"/>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39BEF1"/>
        <w:left w:val="single" w:sz="8" w:space="0" w:color="39BEF1"/>
        <w:bottom w:val="single" w:sz="8" w:space="0" w:color="39BEF1"/>
        <w:right w:val="single" w:sz="8" w:space="0" w:color="39BEF1"/>
        <w:insideH w:val="single" w:sz="8" w:space="0" w:color="39BEF1"/>
        <w:insideV w:val="single" w:sz="8" w:space="0" w:color="39BEF1"/>
      </w:tblBorders>
    </w:tblPr>
    <w:tcPr>
      <w:shd w:val="clear" w:color="auto" w:fill="BDE9FA"/>
    </w:tcPr>
    <w:tblStylePr w:type="firstRow">
      <w:rPr>
        <w:b/>
        <w:bCs/>
      </w:rPr>
    </w:tblStylePr>
    <w:tblStylePr w:type="lastRow">
      <w:rPr>
        <w:b/>
        <w:bCs/>
      </w:rPr>
      <w:tblPr/>
      <w:tcPr>
        <w:tcBorders>
          <w:top w:val="single" w:sz="18" w:space="0" w:color="39BEF1"/>
        </w:tcBorders>
      </w:tcPr>
    </w:tblStylePr>
    <w:tblStylePr w:type="firstCol">
      <w:rPr>
        <w:b/>
        <w:bCs/>
      </w:rPr>
    </w:tblStylePr>
    <w:tblStylePr w:type="lastCol">
      <w:rPr>
        <w:b/>
        <w:bCs/>
      </w:rPr>
    </w:tblStylePr>
    <w:tblStylePr w:type="band1Vert">
      <w:tblPr/>
      <w:tcPr>
        <w:shd w:val="clear" w:color="auto" w:fill="7BD3F5"/>
      </w:tcPr>
    </w:tblStylePr>
    <w:tblStylePr w:type="band1Horz">
      <w:tblPr/>
      <w:tcPr>
        <w:shd w:val="clear" w:color="auto" w:fill="7BD3F5"/>
      </w:tcPr>
    </w:tblStylePr>
  </w:style>
  <w:style w:type="table" w:styleId="MediumGrid1-Accent5">
    <w:name w:val="Medium Grid 1 Accent 5"/>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CE49BF"/>
        <w:left w:val="single" w:sz="8" w:space="0" w:color="CE49BF"/>
        <w:bottom w:val="single" w:sz="8" w:space="0" w:color="CE49BF"/>
        <w:right w:val="single" w:sz="8" w:space="0" w:color="CE49BF"/>
        <w:insideH w:val="single" w:sz="8" w:space="0" w:color="CE49BF"/>
        <w:insideV w:val="single" w:sz="8" w:space="0" w:color="CE49BF"/>
      </w:tblBorders>
    </w:tblPr>
    <w:tcPr>
      <w:shd w:val="clear" w:color="auto" w:fill="EFC3E9"/>
    </w:tcPr>
    <w:tblStylePr w:type="firstRow">
      <w:rPr>
        <w:b/>
        <w:bCs/>
      </w:rPr>
    </w:tblStylePr>
    <w:tblStylePr w:type="lastRow">
      <w:rPr>
        <w:b/>
        <w:bCs/>
      </w:rPr>
      <w:tblPr/>
      <w:tcPr>
        <w:tcBorders>
          <w:top w:val="single" w:sz="18" w:space="0" w:color="CE49BF"/>
        </w:tcBorders>
      </w:tcPr>
    </w:tblStylePr>
    <w:tblStylePr w:type="firstCol">
      <w:rPr>
        <w:b/>
        <w:bCs/>
      </w:rPr>
    </w:tblStylePr>
    <w:tblStylePr w:type="lastCol">
      <w:rPr>
        <w:b/>
        <w:bCs/>
      </w:rPr>
    </w:tblStylePr>
    <w:tblStylePr w:type="band1Vert">
      <w:tblPr/>
      <w:tcPr>
        <w:shd w:val="clear" w:color="auto" w:fill="DE86D4"/>
      </w:tcPr>
    </w:tblStylePr>
    <w:tblStylePr w:type="band1Horz">
      <w:tblPr/>
      <w:tcPr>
        <w:shd w:val="clear" w:color="auto" w:fill="DE86D4"/>
      </w:tcPr>
    </w:tblStylePr>
  </w:style>
  <w:style w:type="table" w:styleId="MediumGrid1-Accent6">
    <w:name w:val="Medium Grid 1 Accent 6"/>
    <w:basedOn w:val="TableNormal"/>
    <w:uiPriority w:val="67"/>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71CF50"/>
        <w:left w:val="single" w:sz="8" w:space="0" w:color="71CF50"/>
        <w:bottom w:val="single" w:sz="8" w:space="0" w:color="71CF50"/>
        <w:right w:val="single" w:sz="8" w:space="0" w:color="71CF50"/>
        <w:insideH w:val="single" w:sz="8" w:space="0" w:color="71CF50"/>
        <w:insideV w:val="single" w:sz="8" w:space="0" w:color="71CF50"/>
      </w:tblBorders>
    </w:tblPr>
    <w:tcPr>
      <w:shd w:val="clear" w:color="auto" w:fill="D0EFC5"/>
    </w:tcPr>
    <w:tblStylePr w:type="firstRow">
      <w:rPr>
        <w:b/>
        <w:bCs/>
      </w:rPr>
    </w:tblStylePr>
    <w:tblStylePr w:type="lastRow">
      <w:rPr>
        <w:b/>
        <w:bCs/>
      </w:rPr>
      <w:tblPr/>
      <w:tcPr>
        <w:tcBorders>
          <w:top w:val="single" w:sz="18" w:space="0" w:color="71CF50"/>
        </w:tcBorders>
      </w:tcPr>
    </w:tblStylePr>
    <w:tblStylePr w:type="firstCol">
      <w:rPr>
        <w:b/>
        <w:bCs/>
      </w:rPr>
    </w:tblStylePr>
    <w:tblStylePr w:type="lastCol">
      <w:rPr>
        <w:b/>
        <w:bCs/>
      </w:rPr>
    </w:tblStylePr>
    <w:tblStylePr w:type="band1Vert">
      <w:tblPr/>
      <w:tcPr>
        <w:shd w:val="clear" w:color="auto" w:fill="A0DF8A"/>
      </w:tcPr>
    </w:tblStylePr>
    <w:tblStylePr w:type="band1Horz">
      <w:tblPr/>
      <w:tcPr>
        <w:shd w:val="clear" w:color="auto" w:fill="A0DF8A"/>
      </w:tcPr>
    </w:tblStylePr>
  </w:style>
  <w:style w:type="table" w:styleId="MediumGrid2">
    <w:name w:val="Medium Grid 2"/>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156082"/>
        <w:left w:val="single" w:sz="8" w:space="0" w:color="156082"/>
        <w:bottom w:val="single" w:sz="8" w:space="0" w:color="156082"/>
        <w:right w:val="single" w:sz="8" w:space="0" w:color="156082"/>
        <w:insideH w:val="single" w:sz="8" w:space="0" w:color="156082"/>
        <w:insideV w:val="single" w:sz="8" w:space="0" w:color="156082"/>
      </w:tblBorders>
    </w:tblPr>
    <w:tcPr>
      <w:shd w:val="clear" w:color="auto" w:fill="B2DEF2"/>
    </w:tcPr>
    <w:tblStylePr w:type="firstRow">
      <w:rPr>
        <w:b/>
        <w:bCs/>
        <w:color w:val="000000"/>
      </w:rPr>
      <w:tblPr/>
      <w:tcPr>
        <w:shd w:val="clear" w:color="auto" w:fill="E0F2F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E4F5"/>
      </w:tcPr>
    </w:tblStylePr>
    <w:tblStylePr w:type="band1Vert">
      <w:tblPr/>
      <w:tcPr>
        <w:shd w:val="clear" w:color="auto" w:fill="64BDE6"/>
      </w:tcPr>
    </w:tblStylePr>
    <w:tblStylePr w:type="band1Horz">
      <w:tblPr/>
      <w:tcPr>
        <w:tcBorders>
          <w:insideH w:val="single" w:sz="6" w:space="0" w:color="156082"/>
          <w:insideV w:val="single" w:sz="6" w:space="0" w:color="156082"/>
        </w:tcBorders>
        <w:shd w:val="clear" w:color="auto" w:fill="64BDE6"/>
      </w:tcPr>
    </w:tblStylePr>
    <w:tblStylePr w:type="nwCell">
      <w:tblPr/>
      <w:tcPr>
        <w:shd w:val="clear" w:color="auto" w:fill="FFFFFF"/>
      </w:tcPr>
    </w:tblStylePr>
  </w:style>
  <w:style w:type="table" w:styleId="MediumGrid2-Accent2">
    <w:name w:val="Medium Grid 2 Accent 2"/>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E97132"/>
        <w:left w:val="single" w:sz="8" w:space="0" w:color="E97132"/>
        <w:bottom w:val="single" w:sz="8" w:space="0" w:color="E97132"/>
        <w:right w:val="single" w:sz="8" w:space="0" w:color="E97132"/>
        <w:insideH w:val="single" w:sz="8" w:space="0" w:color="E97132"/>
        <w:insideV w:val="single" w:sz="8" w:space="0" w:color="E97132"/>
      </w:tblBorders>
    </w:tblPr>
    <w:tcPr>
      <w:shd w:val="clear" w:color="auto" w:fill="F9DBCC"/>
    </w:tcPr>
    <w:tblStylePr w:type="firstRow">
      <w:rPr>
        <w:b/>
        <w:bCs/>
        <w:color w:val="000000"/>
      </w:rPr>
      <w:tblPr/>
      <w:tcPr>
        <w:shd w:val="clear" w:color="auto" w:fill="FC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2D5"/>
      </w:tcPr>
    </w:tblStylePr>
    <w:tblStylePr w:type="band1Vert">
      <w:tblPr/>
      <w:tcPr>
        <w:shd w:val="clear" w:color="auto" w:fill="F4B798"/>
      </w:tcPr>
    </w:tblStylePr>
    <w:tblStylePr w:type="band1Horz">
      <w:tblPr/>
      <w:tcPr>
        <w:tcBorders>
          <w:insideH w:val="single" w:sz="6" w:space="0" w:color="E97132"/>
          <w:insideV w:val="single" w:sz="6" w:space="0" w:color="E97132"/>
        </w:tcBorders>
        <w:shd w:val="clear" w:color="auto" w:fill="F4B798"/>
      </w:tcPr>
    </w:tblStylePr>
    <w:tblStylePr w:type="nwCell">
      <w:tblPr/>
      <w:tcPr>
        <w:shd w:val="clear" w:color="auto" w:fill="FFFFFF"/>
      </w:tcPr>
    </w:tblStylePr>
  </w:style>
  <w:style w:type="table" w:styleId="MediumGrid2-Accent3">
    <w:name w:val="Medium Grid 2 Accent 3"/>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196B24"/>
        <w:left w:val="single" w:sz="8" w:space="0" w:color="196B24"/>
        <w:bottom w:val="single" w:sz="8" w:space="0" w:color="196B24"/>
        <w:right w:val="single" w:sz="8" w:space="0" w:color="196B24"/>
        <w:insideH w:val="single" w:sz="8" w:space="0" w:color="196B24"/>
        <w:insideV w:val="single" w:sz="8" w:space="0" w:color="196B24"/>
      </w:tblBorders>
    </w:tblPr>
    <w:tcPr>
      <w:shd w:val="clear" w:color="auto" w:fill="B3EDBA"/>
    </w:tcPr>
    <w:tblStylePr w:type="firstRow">
      <w:rPr>
        <w:b/>
        <w:bCs/>
        <w:color w:val="000000"/>
      </w:rPr>
      <w:tblPr/>
      <w:tcPr>
        <w:shd w:val="clear" w:color="auto" w:fill="E0F8E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1F0C7"/>
      </w:tcPr>
    </w:tblStylePr>
    <w:tblStylePr w:type="band1Vert">
      <w:tblPr/>
      <w:tcPr>
        <w:shd w:val="clear" w:color="auto" w:fill="66DB75"/>
      </w:tcPr>
    </w:tblStylePr>
    <w:tblStylePr w:type="band1Horz">
      <w:tblPr/>
      <w:tcPr>
        <w:tcBorders>
          <w:insideH w:val="single" w:sz="6" w:space="0" w:color="196B24"/>
          <w:insideV w:val="single" w:sz="6" w:space="0" w:color="196B24"/>
        </w:tcBorders>
        <w:shd w:val="clear" w:color="auto" w:fill="66DB75"/>
      </w:tcPr>
    </w:tblStylePr>
    <w:tblStylePr w:type="nwCell">
      <w:tblPr/>
      <w:tcPr>
        <w:shd w:val="clear" w:color="auto" w:fill="FFFFFF"/>
      </w:tcPr>
    </w:tblStylePr>
  </w:style>
  <w:style w:type="table" w:styleId="MediumGrid2-Accent4">
    <w:name w:val="Medium Grid 2 Accent 4"/>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Pr>
    <w:tcPr>
      <w:shd w:val="clear" w:color="auto" w:fill="BDE9FA"/>
    </w:tcPr>
    <w:tblStylePr w:type="firstRow">
      <w:rPr>
        <w:b/>
        <w:bCs/>
        <w:color w:val="000000"/>
      </w:rPr>
      <w:tblPr/>
      <w:tcPr>
        <w:shd w:val="clear" w:color="auto" w:fill="E5F6F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AEDFB"/>
      </w:tcPr>
    </w:tblStylePr>
    <w:tblStylePr w:type="band1Vert">
      <w:tblPr/>
      <w:tcPr>
        <w:shd w:val="clear" w:color="auto" w:fill="7BD3F5"/>
      </w:tcPr>
    </w:tblStylePr>
    <w:tblStylePr w:type="band1Horz">
      <w:tblPr/>
      <w:tcPr>
        <w:tcBorders>
          <w:insideH w:val="single" w:sz="6" w:space="0" w:color="0F9ED5"/>
          <w:insideV w:val="single" w:sz="6" w:space="0" w:color="0F9ED5"/>
        </w:tcBorders>
        <w:shd w:val="clear" w:color="auto" w:fill="7BD3F5"/>
      </w:tcPr>
    </w:tblStylePr>
    <w:tblStylePr w:type="nwCell">
      <w:tblPr/>
      <w:tcPr>
        <w:shd w:val="clear" w:color="auto" w:fill="FFFFFF"/>
      </w:tcPr>
    </w:tblStylePr>
  </w:style>
  <w:style w:type="table" w:styleId="MediumGrid2-Accent5">
    <w:name w:val="Medium Grid 2 Accent 5"/>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A02B93"/>
        <w:left w:val="single" w:sz="8" w:space="0" w:color="A02B93"/>
        <w:bottom w:val="single" w:sz="8" w:space="0" w:color="A02B93"/>
        <w:right w:val="single" w:sz="8" w:space="0" w:color="A02B93"/>
        <w:insideH w:val="single" w:sz="8" w:space="0" w:color="A02B93"/>
        <w:insideV w:val="single" w:sz="8" w:space="0" w:color="A02B93"/>
      </w:tblBorders>
    </w:tblPr>
    <w:tcPr>
      <w:shd w:val="clear" w:color="auto" w:fill="EFC3E9"/>
    </w:tcPr>
    <w:tblStylePr w:type="firstRow">
      <w:rPr>
        <w:b/>
        <w:bCs/>
        <w:color w:val="000000"/>
      </w:rPr>
      <w:tblPr/>
      <w:tcPr>
        <w:shd w:val="clear" w:color="auto" w:fill="F8E7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CEED"/>
      </w:tcPr>
    </w:tblStylePr>
    <w:tblStylePr w:type="band1Vert">
      <w:tblPr/>
      <w:tcPr>
        <w:shd w:val="clear" w:color="auto" w:fill="DE86D4"/>
      </w:tcPr>
    </w:tblStylePr>
    <w:tblStylePr w:type="band1Horz">
      <w:tblPr/>
      <w:tcPr>
        <w:tcBorders>
          <w:insideH w:val="single" w:sz="6" w:space="0" w:color="A02B93"/>
          <w:insideV w:val="single" w:sz="6" w:space="0" w:color="A02B93"/>
        </w:tcBorders>
        <w:shd w:val="clear" w:color="auto" w:fill="DE86D4"/>
      </w:tcPr>
    </w:tblStylePr>
    <w:tblStylePr w:type="nwCell">
      <w:tblPr/>
      <w:tcPr>
        <w:shd w:val="clear" w:color="auto" w:fill="FFFFFF"/>
      </w:tcPr>
    </w:tblStylePr>
  </w:style>
  <w:style w:type="table" w:styleId="MediumGrid2-Accent6">
    <w:name w:val="Medium Grid 2 Accent 6"/>
    <w:basedOn w:val="TableNormal"/>
    <w:uiPriority w:val="68"/>
    <w:rsid w:val="009F2A5C"/>
    <w:pPr>
      <w:spacing w:after="0" w:line="240" w:lineRule="auto"/>
    </w:pPr>
    <w:rPr>
      <w:rFonts w:ascii="DengXian Light" w:eastAsia="DengXian Light" w:hAnsi="DengXian Light" w:cs="Times New Roman"/>
      <w:color w:val="000000"/>
      <w:kern w:val="0"/>
      <w:sz w:val="22"/>
      <w:szCs w:val="22"/>
      <w:lang w:eastAsia="en-US"/>
      <w14:ligatures w14:val="none"/>
    </w:rPr>
    <w:tblPr>
      <w:tblStyleRowBandSize w:val="1"/>
      <w:tblStyleColBandSize w:val="1"/>
      <w:tblBorders>
        <w:top w:val="single" w:sz="8" w:space="0" w:color="4EA72E"/>
        <w:left w:val="single" w:sz="8" w:space="0" w:color="4EA72E"/>
        <w:bottom w:val="single" w:sz="8" w:space="0" w:color="4EA72E"/>
        <w:right w:val="single" w:sz="8" w:space="0" w:color="4EA72E"/>
        <w:insideH w:val="single" w:sz="8" w:space="0" w:color="4EA72E"/>
        <w:insideV w:val="single" w:sz="8" w:space="0" w:color="4EA72E"/>
      </w:tblBorders>
    </w:tblPr>
    <w:tcPr>
      <w:shd w:val="clear" w:color="auto" w:fill="D0EFC5"/>
    </w:tcPr>
    <w:tblStylePr w:type="firstRow">
      <w:rPr>
        <w:b/>
        <w:bCs/>
        <w:color w:val="000000"/>
      </w:rPr>
      <w:tblPr/>
      <w:tcPr>
        <w:shd w:val="clear" w:color="auto" w:fill="ECF8E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2D0"/>
      </w:tcPr>
    </w:tblStylePr>
    <w:tblStylePr w:type="band1Vert">
      <w:tblPr/>
      <w:tcPr>
        <w:shd w:val="clear" w:color="auto" w:fill="A0DF8A"/>
      </w:tcPr>
    </w:tblStylePr>
    <w:tblStylePr w:type="band1Horz">
      <w:tblPr/>
      <w:tcPr>
        <w:tcBorders>
          <w:insideH w:val="single" w:sz="6" w:space="0" w:color="4EA72E"/>
          <w:insideV w:val="single" w:sz="6" w:space="0" w:color="4EA72E"/>
        </w:tcBorders>
        <w:shd w:val="clear" w:color="auto" w:fill="A0DF8A"/>
      </w:tcPr>
    </w:tblStylePr>
    <w:tblStylePr w:type="nwCell">
      <w:tblPr/>
      <w:tcPr>
        <w:shd w:val="clear" w:color="auto" w:fill="FFFFFF"/>
      </w:tcPr>
    </w:tblStylePr>
  </w:style>
  <w:style w:type="table" w:styleId="MediumGrid3">
    <w:name w:val="Medium Grid 3"/>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2DEF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5608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5608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5608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5608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4BDE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4BDE6"/>
      </w:tcPr>
    </w:tblStylePr>
  </w:style>
  <w:style w:type="table" w:styleId="MediumGrid3-Accent2">
    <w:name w:val="Medium Grid 3 Accent 2"/>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BCC"/>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9713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9713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9713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9713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4B7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4B798"/>
      </w:tcPr>
    </w:tblStylePr>
  </w:style>
  <w:style w:type="table" w:styleId="MediumGrid3-Accent3">
    <w:name w:val="Medium Grid 3 Accent 3"/>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3EDB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96B2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96B2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96B2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96B2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66DB7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66DB75"/>
      </w:tcPr>
    </w:tblStylePr>
  </w:style>
  <w:style w:type="table" w:styleId="MediumGrid3-Accent4">
    <w:name w:val="Medium Grid 3 Accent 4"/>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DE9F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9E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9E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9E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9E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BD3F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BD3F5"/>
      </w:tcPr>
    </w:tblStylePr>
  </w:style>
  <w:style w:type="table" w:styleId="MediumGrid3-Accent5">
    <w:name w:val="Medium Grid 3 Accent 5"/>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C3E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02B9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02B9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02B9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02B9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E86D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E86D4"/>
      </w:tcPr>
    </w:tblStylePr>
  </w:style>
  <w:style w:type="table" w:styleId="MediumGrid3-Accent6">
    <w:name w:val="Medium Grid 3 Accent 6"/>
    <w:basedOn w:val="TableNormal"/>
    <w:uiPriority w:val="69"/>
    <w:rsid w:val="009F2A5C"/>
    <w:pPr>
      <w:spacing w:after="0" w:line="240" w:lineRule="auto"/>
    </w:pPr>
    <w:rPr>
      <w:rFonts w:ascii="DengXian" w:eastAsia="DengXian" w:hAnsi="DengXian" w:cs="Times New Roman"/>
      <w:kern w:val="0"/>
      <w:sz w:val="22"/>
      <w:szCs w:val="22"/>
      <w:lang w:eastAsia="en-US"/>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FC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EA72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EA72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EA72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EA72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0DF8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0DF8A"/>
      </w:tcPr>
    </w:tblStylePr>
  </w:style>
  <w:style w:type="table" w:styleId="DarkList">
    <w:name w:val="Dark List"/>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15608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A2F40"/>
      </w:tcPr>
    </w:tblStylePr>
    <w:tblStylePr w:type="firstCol">
      <w:tblPr/>
      <w:tcPr>
        <w:tcBorders>
          <w:top w:val="nil"/>
          <w:left w:val="nil"/>
          <w:bottom w:val="nil"/>
          <w:right w:val="single" w:sz="18" w:space="0" w:color="FFFFFF"/>
          <w:insideH w:val="nil"/>
          <w:insideV w:val="nil"/>
        </w:tcBorders>
        <w:shd w:val="clear" w:color="auto" w:fill="0F4761"/>
      </w:tcPr>
    </w:tblStylePr>
    <w:tblStylePr w:type="lastCol">
      <w:tblPr/>
      <w:tcPr>
        <w:tcBorders>
          <w:top w:val="nil"/>
          <w:left w:val="single" w:sz="18" w:space="0" w:color="FFFFFF"/>
          <w:bottom w:val="nil"/>
          <w:right w:val="nil"/>
          <w:insideH w:val="nil"/>
          <w:insideV w:val="nil"/>
        </w:tcBorders>
        <w:shd w:val="clear" w:color="auto" w:fill="0F4761"/>
      </w:tcPr>
    </w:tblStylePr>
    <w:tblStylePr w:type="band1Vert">
      <w:tblPr/>
      <w:tcPr>
        <w:tcBorders>
          <w:top w:val="nil"/>
          <w:left w:val="nil"/>
          <w:bottom w:val="nil"/>
          <w:right w:val="nil"/>
          <w:insideH w:val="nil"/>
          <w:insideV w:val="nil"/>
        </w:tcBorders>
        <w:shd w:val="clear" w:color="auto" w:fill="0F4761"/>
      </w:tcPr>
    </w:tblStylePr>
    <w:tblStylePr w:type="band1Horz">
      <w:tblPr/>
      <w:tcPr>
        <w:tcBorders>
          <w:top w:val="nil"/>
          <w:left w:val="nil"/>
          <w:bottom w:val="nil"/>
          <w:right w:val="nil"/>
          <w:insideH w:val="nil"/>
          <w:insideV w:val="nil"/>
        </w:tcBorders>
        <w:shd w:val="clear" w:color="auto" w:fill="0F4761"/>
      </w:tcPr>
    </w:tblStylePr>
  </w:style>
  <w:style w:type="table" w:styleId="DarkList-Accent2">
    <w:name w:val="Dark List Accent 2"/>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E9713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340D"/>
      </w:tcPr>
    </w:tblStylePr>
    <w:tblStylePr w:type="firstCol">
      <w:tblPr/>
      <w:tcPr>
        <w:tcBorders>
          <w:top w:val="nil"/>
          <w:left w:val="nil"/>
          <w:bottom w:val="nil"/>
          <w:right w:val="single" w:sz="18" w:space="0" w:color="FFFFFF"/>
          <w:insideH w:val="nil"/>
          <w:insideV w:val="nil"/>
        </w:tcBorders>
        <w:shd w:val="clear" w:color="auto" w:fill="BF4E14"/>
      </w:tcPr>
    </w:tblStylePr>
    <w:tblStylePr w:type="lastCol">
      <w:tblPr/>
      <w:tcPr>
        <w:tcBorders>
          <w:top w:val="nil"/>
          <w:left w:val="single" w:sz="18" w:space="0" w:color="FFFFFF"/>
          <w:bottom w:val="nil"/>
          <w:right w:val="nil"/>
          <w:insideH w:val="nil"/>
          <w:insideV w:val="nil"/>
        </w:tcBorders>
        <w:shd w:val="clear" w:color="auto" w:fill="BF4E14"/>
      </w:tcPr>
    </w:tblStylePr>
    <w:tblStylePr w:type="band1Vert">
      <w:tblPr/>
      <w:tcPr>
        <w:tcBorders>
          <w:top w:val="nil"/>
          <w:left w:val="nil"/>
          <w:bottom w:val="nil"/>
          <w:right w:val="nil"/>
          <w:insideH w:val="nil"/>
          <w:insideV w:val="nil"/>
        </w:tcBorders>
        <w:shd w:val="clear" w:color="auto" w:fill="BF4E14"/>
      </w:tcPr>
    </w:tblStylePr>
    <w:tblStylePr w:type="band1Horz">
      <w:tblPr/>
      <w:tcPr>
        <w:tcBorders>
          <w:top w:val="nil"/>
          <w:left w:val="nil"/>
          <w:bottom w:val="nil"/>
          <w:right w:val="nil"/>
          <w:insideH w:val="nil"/>
          <w:insideV w:val="nil"/>
        </w:tcBorders>
        <w:shd w:val="clear" w:color="auto" w:fill="BF4E14"/>
      </w:tcPr>
    </w:tblStylePr>
  </w:style>
  <w:style w:type="table" w:styleId="DarkList-Accent3">
    <w:name w:val="Dark List Accent 3"/>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196B2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C3511"/>
      </w:tcPr>
    </w:tblStylePr>
    <w:tblStylePr w:type="firstCol">
      <w:tblPr/>
      <w:tcPr>
        <w:tcBorders>
          <w:top w:val="nil"/>
          <w:left w:val="nil"/>
          <w:bottom w:val="nil"/>
          <w:right w:val="single" w:sz="18" w:space="0" w:color="FFFFFF"/>
          <w:insideH w:val="nil"/>
          <w:insideV w:val="nil"/>
        </w:tcBorders>
        <w:shd w:val="clear" w:color="auto" w:fill="124F1A"/>
      </w:tcPr>
    </w:tblStylePr>
    <w:tblStylePr w:type="lastCol">
      <w:tblPr/>
      <w:tcPr>
        <w:tcBorders>
          <w:top w:val="nil"/>
          <w:left w:val="single" w:sz="18" w:space="0" w:color="FFFFFF"/>
          <w:bottom w:val="nil"/>
          <w:right w:val="nil"/>
          <w:insideH w:val="nil"/>
          <w:insideV w:val="nil"/>
        </w:tcBorders>
        <w:shd w:val="clear" w:color="auto" w:fill="124F1A"/>
      </w:tcPr>
    </w:tblStylePr>
    <w:tblStylePr w:type="band1Vert">
      <w:tblPr/>
      <w:tcPr>
        <w:tcBorders>
          <w:top w:val="nil"/>
          <w:left w:val="nil"/>
          <w:bottom w:val="nil"/>
          <w:right w:val="nil"/>
          <w:insideH w:val="nil"/>
          <w:insideV w:val="nil"/>
        </w:tcBorders>
        <w:shd w:val="clear" w:color="auto" w:fill="124F1A"/>
      </w:tcPr>
    </w:tblStylePr>
    <w:tblStylePr w:type="band1Horz">
      <w:tblPr/>
      <w:tcPr>
        <w:tcBorders>
          <w:top w:val="nil"/>
          <w:left w:val="nil"/>
          <w:bottom w:val="nil"/>
          <w:right w:val="nil"/>
          <w:insideH w:val="nil"/>
          <w:insideV w:val="nil"/>
        </w:tcBorders>
        <w:shd w:val="clear" w:color="auto" w:fill="124F1A"/>
      </w:tcPr>
    </w:tblStylePr>
  </w:style>
  <w:style w:type="table" w:styleId="DarkList-Accent4">
    <w:name w:val="Dark List Accent 4"/>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0F9E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74E69"/>
      </w:tcPr>
    </w:tblStylePr>
    <w:tblStylePr w:type="firstCol">
      <w:tblPr/>
      <w:tcPr>
        <w:tcBorders>
          <w:top w:val="nil"/>
          <w:left w:val="nil"/>
          <w:bottom w:val="nil"/>
          <w:right w:val="single" w:sz="18" w:space="0" w:color="FFFFFF"/>
          <w:insideH w:val="nil"/>
          <w:insideV w:val="nil"/>
        </w:tcBorders>
        <w:shd w:val="clear" w:color="auto" w:fill="0B769F"/>
      </w:tcPr>
    </w:tblStylePr>
    <w:tblStylePr w:type="lastCol">
      <w:tblPr/>
      <w:tcPr>
        <w:tcBorders>
          <w:top w:val="nil"/>
          <w:left w:val="single" w:sz="18" w:space="0" w:color="FFFFFF"/>
          <w:bottom w:val="nil"/>
          <w:right w:val="nil"/>
          <w:insideH w:val="nil"/>
          <w:insideV w:val="nil"/>
        </w:tcBorders>
        <w:shd w:val="clear" w:color="auto" w:fill="0B769F"/>
      </w:tcPr>
    </w:tblStylePr>
    <w:tblStylePr w:type="band1Vert">
      <w:tblPr/>
      <w:tcPr>
        <w:tcBorders>
          <w:top w:val="nil"/>
          <w:left w:val="nil"/>
          <w:bottom w:val="nil"/>
          <w:right w:val="nil"/>
          <w:insideH w:val="nil"/>
          <w:insideV w:val="nil"/>
        </w:tcBorders>
        <w:shd w:val="clear" w:color="auto" w:fill="0B769F"/>
      </w:tcPr>
    </w:tblStylePr>
    <w:tblStylePr w:type="band1Horz">
      <w:tblPr/>
      <w:tcPr>
        <w:tcBorders>
          <w:top w:val="nil"/>
          <w:left w:val="nil"/>
          <w:bottom w:val="nil"/>
          <w:right w:val="nil"/>
          <w:insideH w:val="nil"/>
          <w:insideV w:val="nil"/>
        </w:tcBorders>
        <w:shd w:val="clear" w:color="auto" w:fill="0B769F"/>
      </w:tcPr>
    </w:tblStylePr>
  </w:style>
  <w:style w:type="table" w:styleId="DarkList-Accent5">
    <w:name w:val="Dark List Accent 5"/>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A02B9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F1548"/>
      </w:tcPr>
    </w:tblStylePr>
    <w:tblStylePr w:type="firstCol">
      <w:tblPr/>
      <w:tcPr>
        <w:tcBorders>
          <w:top w:val="nil"/>
          <w:left w:val="nil"/>
          <w:bottom w:val="nil"/>
          <w:right w:val="single" w:sz="18" w:space="0" w:color="FFFFFF"/>
          <w:insideH w:val="nil"/>
          <w:insideV w:val="nil"/>
        </w:tcBorders>
        <w:shd w:val="clear" w:color="auto" w:fill="77206D"/>
      </w:tcPr>
    </w:tblStylePr>
    <w:tblStylePr w:type="lastCol">
      <w:tblPr/>
      <w:tcPr>
        <w:tcBorders>
          <w:top w:val="nil"/>
          <w:left w:val="single" w:sz="18" w:space="0" w:color="FFFFFF"/>
          <w:bottom w:val="nil"/>
          <w:right w:val="nil"/>
          <w:insideH w:val="nil"/>
          <w:insideV w:val="nil"/>
        </w:tcBorders>
        <w:shd w:val="clear" w:color="auto" w:fill="77206D"/>
      </w:tcPr>
    </w:tblStylePr>
    <w:tblStylePr w:type="band1Vert">
      <w:tblPr/>
      <w:tcPr>
        <w:tcBorders>
          <w:top w:val="nil"/>
          <w:left w:val="nil"/>
          <w:bottom w:val="nil"/>
          <w:right w:val="nil"/>
          <w:insideH w:val="nil"/>
          <w:insideV w:val="nil"/>
        </w:tcBorders>
        <w:shd w:val="clear" w:color="auto" w:fill="77206D"/>
      </w:tcPr>
    </w:tblStylePr>
    <w:tblStylePr w:type="band1Horz">
      <w:tblPr/>
      <w:tcPr>
        <w:tcBorders>
          <w:top w:val="nil"/>
          <w:left w:val="nil"/>
          <w:bottom w:val="nil"/>
          <w:right w:val="nil"/>
          <w:insideH w:val="nil"/>
          <w:insideV w:val="nil"/>
        </w:tcBorders>
        <w:shd w:val="clear" w:color="auto" w:fill="77206D"/>
      </w:tcPr>
    </w:tblStylePr>
  </w:style>
  <w:style w:type="table" w:styleId="DarkList-Accent6">
    <w:name w:val="Dark List Accent 6"/>
    <w:basedOn w:val="TableNormal"/>
    <w:uiPriority w:val="70"/>
    <w:rsid w:val="009F2A5C"/>
    <w:pPr>
      <w:spacing w:after="0" w:line="240" w:lineRule="auto"/>
    </w:pPr>
    <w:rPr>
      <w:rFonts w:ascii="DengXian" w:eastAsia="DengXian" w:hAnsi="DengXian" w:cs="Times New Roman"/>
      <w:color w:val="FFFFFF"/>
      <w:kern w:val="0"/>
      <w:sz w:val="22"/>
      <w:szCs w:val="22"/>
      <w:lang w:eastAsia="en-US"/>
      <w14:ligatures w14:val="none"/>
    </w:rPr>
    <w:tblPr>
      <w:tblStyleRowBandSize w:val="1"/>
      <w:tblStyleColBandSize w:val="1"/>
    </w:tblPr>
    <w:tcPr>
      <w:shd w:val="clear" w:color="auto" w:fill="4EA72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65317"/>
      </w:tcPr>
    </w:tblStylePr>
    <w:tblStylePr w:type="firstCol">
      <w:tblPr/>
      <w:tcPr>
        <w:tcBorders>
          <w:top w:val="nil"/>
          <w:left w:val="nil"/>
          <w:bottom w:val="nil"/>
          <w:right w:val="single" w:sz="18" w:space="0" w:color="FFFFFF"/>
          <w:insideH w:val="nil"/>
          <w:insideV w:val="nil"/>
        </w:tcBorders>
        <w:shd w:val="clear" w:color="auto" w:fill="3A7C22"/>
      </w:tcPr>
    </w:tblStylePr>
    <w:tblStylePr w:type="lastCol">
      <w:tblPr/>
      <w:tcPr>
        <w:tcBorders>
          <w:top w:val="nil"/>
          <w:left w:val="single" w:sz="18" w:space="0" w:color="FFFFFF"/>
          <w:bottom w:val="nil"/>
          <w:right w:val="nil"/>
          <w:insideH w:val="nil"/>
          <w:insideV w:val="nil"/>
        </w:tcBorders>
        <w:shd w:val="clear" w:color="auto" w:fill="3A7C22"/>
      </w:tcPr>
    </w:tblStylePr>
    <w:tblStylePr w:type="band1Vert">
      <w:tblPr/>
      <w:tcPr>
        <w:tcBorders>
          <w:top w:val="nil"/>
          <w:left w:val="nil"/>
          <w:bottom w:val="nil"/>
          <w:right w:val="nil"/>
          <w:insideH w:val="nil"/>
          <w:insideV w:val="nil"/>
        </w:tcBorders>
        <w:shd w:val="clear" w:color="auto" w:fill="3A7C22"/>
      </w:tcPr>
    </w:tblStylePr>
    <w:tblStylePr w:type="band1Horz">
      <w:tblPr/>
      <w:tcPr>
        <w:tcBorders>
          <w:top w:val="nil"/>
          <w:left w:val="nil"/>
          <w:bottom w:val="nil"/>
          <w:right w:val="nil"/>
          <w:insideH w:val="nil"/>
          <w:insideV w:val="nil"/>
        </w:tcBorders>
        <w:shd w:val="clear" w:color="auto" w:fill="3A7C22"/>
      </w:tcPr>
    </w:tblStylePr>
  </w:style>
  <w:style w:type="table" w:styleId="ColorfulShading">
    <w:name w:val="Colorful Shading"/>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E97132"/>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E97132"/>
        <w:left w:val="single" w:sz="4" w:space="0" w:color="156082"/>
        <w:bottom w:val="single" w:sz="4" w:space="0" w:color="156082"/>
        <w:right w:val="single" w:sz="4" w:space="0" w:color="156082"/>
        <w:insideH w:val="single" w:sz="4" w:space="0" w:color="FFFFFF"/>
        <w:insideV w:val="single" w:sz="4" w:space="0" w:color="FFFFFF"/>
      </w:tblBorders>
    </w:tblPr>
    <w:tcPr>
      <w:shd w:val="clear" w:color="auto" w:fill="E0F2F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C394D"/>
      </w:tcPr>
    </w:tblStylePr>
    <w:tblStylePr w:type="firstCol">
      <w:rPr>
        <w:color w:val="FFFFFF"/>
      </w:rPr>
      <w:tblPr/>
      <w:tcPr>
        <w:tcBorders>
          <w:top w:val="nil"/>
          <w:left w:val="nil"/>
          <w:bottom w:val="nil"/>
          <w:right w:val="nil"/>
          <w:insideH w:val="single" w:sz="4" w:space="0" w:color="0C394D"/>
          <w:insideV w:val="nil"/>
        </w:tcBorders>
        <w:shd w:val="clear" w:color="auto" w:fill="0C394D"/>
      </w:tcPr>
    </w:tblStylePr>
    <w:tblStylePr w:type="lastCol">
      <w:rPr>
        <w:color w:val="FFFFFF"/>
      </w:rPr>
      <w:tblPr/>
      <w:tcPr>
        <w:tcBorders>
          <w:top w:val="nil"/>
          <w:left w:val="nil"/>
          <w:bottom w:val="nil"/>
          <w:right w:val="nil"/>
          <w:insideH w:val="nil"/>
          <w:insideV w:val="nil"/>
        </w:tcBorders>
        <w:shd w:val="clear" w:color="auto" w:fill="0C394D"/>
      </w:tcPr>
    </w:tblStylePr>
    <w:tblStylePr w:type="band1Vert">
      <w:tblPr/>
      <w:tcPr>
        <w:shd w:val="clear" w:color="auto" w:fill="83CAEB"/>
      </w:tcPr>
    </w:tblStylePr>
    <w:tblStylePr w:type="band1Horz">
      <w:tblPr/>
      <w:tcPr>
        <w:shd w:val="clear" w:color="auto" w:fill="64BDE6"/>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E97132"/>
        <w:left w:val="single" w:sz="4" w:space="0" w:color="E97132"/>
        <w:bottom w:val="single" w:sz="4" w:space="0" w:color="E97132"/>
        <w:right w:val="single" w:sz="4" w:space="0" w:color="E97132"/>
        <w:insideH w:val="single" w:sz="4" w:space="0" w:color="FFFFFF"/>
        <w:insideV w:val="single" w:sz="4" w:space="0" w:color="FFFFFF"/>
      </w:tblBorders>
    </w:tblPr>
    <w:tcPr>
      <w:shd w:val="clear" w:color="auto" w:fill="FCF0EA"/>
    </w:tcPr>
    <w:tblStylePr w:type="firstRow">
      <w:rPr>
        <w:b/>
        <w:bCs/>
      </w:rPr>
      <w:tblPr/>
      <w:tcPr>
        <w:tcBorders>
          <w:top w:val="nil"/>
          <w:left w:val="nil"/>
          <w:bottom w:val="single" w:sz="24" w:space="0" w:color="E9713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3F10"/>
      </w:tcPr>
    </w:tblStylePr>
    <w:tblStylePr w:type="firstCol">
      <w:rPr>
        <w:color w:val="FFFFFF"/>
      </w:rPr>
      <w:tblPr/>
      <w:tcPr>
        <w:tcBorders>
          <w:top w:val="nil"/>
          <w:left w:val="nil"/>
          <w:bottom w:val="nil"/>
          <w:right w:val="nil"/>
          <w:insideH w:val="single" w:sz="4" w:space="0" w:color="993F10"/>
          <w:insideV w:val="nil"/>
        </w:tcBorders>
        <w:shd w:val="clear" w:color="auto" w:fill="993F10"/>
      </w:tcPr>
    </w:tblStylePr>
    <w:tblStylePr w:type="lastCol">
      <w:rPr>
        <w:color w:val="FFFFFF"/>
      </w:rPr>
      <w:tblPr/>
      <w:tcPr>
        <w:tcBorders>
          <w:top w:val="nil"/>
          <w:left w:val="nil"/>
          <w:bottom w:val="nil"/>
          <w:right w:val="nil"/>
          <w:insideH w:val="nil"/>
          <w:insideV w:val="nil"/>
        </w:tcBorders>
        <w:shd w:val="clear" w:color="auto" w:fill="993F10"/>
      </w:tcPr>
    </w:tblStylePr>
    <w:tblStylePr w:type="band1Vert">
      <w:tblPr/>
      <w:tcPr>
        <w:shd w:val="clear" w:color="auto" w:fill="F6C5AC"/>
      </w:tcPr>
    </w:tblStylePr>
    <w:tblStylePr w:type="band1Horz">
      <w:tblPr/>
      <w:tcPr>
        <w:shd w:val="clear" w:color="auto" w:fill="F4B7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0F9ED5"/>
        <w:left w:val="single" w:sz="4" w:space="0" w:color="196B24"/>
        <w:bottom w:val="single" w:sz="4" w:space="0" w:color="196B24"/>
        <w:right w:val="single" w:sz="4" w:space="0" w:color="196B24"/>
        <w:insideH w:val="single" w:sz="4" w:space="0" w:color="FFFFFF"/>
        <w:insideV w:val="single" w:sz="4" w:space="0" w:color="FFFFFF"/>
      </w:tblBorders>
    </w:tblPr>
    <w:tcPr>
      <w:shd w:val="clear" w:color="auto" w:fill="E0F8E3"/>
    </w:tcPr>
    <w:tblStylePr w:type="firstRow">
      <w:rPr>
        <w:b/>
        <w:bCs/>
      </w:rPr>
      <w:tblPr/>
      <w:tcPr>
        <w:tcBorders>
          <w:top w:val="nil"/>
          <w:left w:val="nil"/>
          <w:bottom w:val="single" w:sz="24" w:space="0" w:color="0F9ED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F4015"/>
      </w:tcPr>
    </w:tblStylePr>
    <w:tblStylePr w:type="firstCol">
      <w:rPr>
        <w:color w:val="FFFFFF"/>
      </w:rPr>
      <w:tblPr/>
      <w:tcPr>
        <w:tcBorders>
          <w:top w:val="nil"/>
          <w:left w:val="nil"/>
          <w:bottom w:val="nil"/>
          <w:right w:val="nil"/>
          <w:insideH w:val="single" w:sz="4" w:space="0" w:color="0F4015"/>
          <w:insideV w:val="nil"/>
        </w:tcBorders>
        <w:shd w:val="clear" w:color="auto" w:fill="0F4015"/>
      </w:tcPr>
    </w:tblStylePr>
    <w:tblStylePr w:type="lastCol">
      <w:rPr>
        <w:color w:val="FFFFFF"/>
      </w:rPr>
      <w:tblPr/>
      <w:tcPr>
        <w:tcBorders>
          <w:top w:val="nil"/>
          <w:left w:val="nil"/>
          <w:bottom w:val="nil"/>
          <w:right w:val="nil"/>
          <w:insideH w:val="nil"/>
          <w:insideV w:val="nil"/>
        </w:tcBorders>
        <w:shd w:val="clear" w:color="auto" w:fill="0F4015"/>
      </w:tcPr>
    </w:tblStylePr>
    <w:tblStylePr w:type="band1Vert">
      <w:tblPr/>
      <w:tcPr>
        <w:shd w:val="clear" w:color="auto" w:fill="84E290"/>
      </w:tcPr>
    </w:tblStylePr>
    <w:tblStylePr w:type="band1Horz">
      <w:tblPr/>
      <w:tcPr>
        <w:shd w:val="clear" w:color="auto" w:fill="66DB75"/>
      </w:tcPr>
    </w:tblStylePr>
  </w:style>
  <w:style w:type="table" w:styleId="ColorfulShading-Accent4">
    <w:name w:val="Colorful Shading Accent 4"/>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196B24"/>
        <w:left w:val="single" w:sz="4" w:space="0" w:color="0F9ED5"/>
        <w:bottom w:val="single" w:sz="4" w:space="0" w:color="0F9ED5"/>
        <w:right w:val="single" w:sz="4" w:space="0" w:color="0F9ED5"/>
        <w:insideH w:val="single" w:sz="4" w:space="0" w:color="FFFFFF"/>
        <w:insideV w:val="single" w:sz="4" w:space="0" w:color="FFFFFF"/>
      </w:tblBorders>
    </w:tblPr>
    <w:tcPr>
      <w:shd w:val="clear" w:color="auto" w:fill="E5F6FD"/>
    </w:tcPr>
    <w:tblStylePr w:type="firstRow">
      <w:rPr>
        <w:b/>
        <w:bCs/>
      </w:rPr>
      <w:tblPr/>
      <w:tcPr>
        <w:tcBorders>
          <w:top w:val="nil"/>
          <w:left w:val="nil"/>
          <w:bottom w:val="single" w:sz="24" w:space="0" w:color="196B2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95E7F"/>
      </w:tcPr>
    </w:tblStylePr>
    <w:tblStylePr w:type="firstCol">
      <w:rPr>
        <w:color w:val="FFFFFF"/>
      </w:rPr>
      <w:tblPr/>
      <w:tcPr>
        <w:tcBorders>
          <w:top w:val="nil"/>
          <w:left w:val="nil"/>
          <w:bottom w:val="nil"/>
          <w:right w:val="nil"/>
          <w:insideH w:val="single" w:sz="4" w:space="0" w:color="095E7F"/>
          <w:insideV w:val="nil"/>
        </w:tcBorders>
        <w:shd w:val="clear" w:color="auto" w:fill="095E7F"/>
      </w:tcPr>
    </w:tblStylePr>
    <w:tblStylePr w:type="lastCol">
      <w:rPr>
        <w:color w:val="FFFFFF"/>
      </w:rPr>
      <w:tblPr/>
      <w:tcPr>
        <w:tcBorders>
          <w:top w:val="nil"/>
          <w:left w:val="nil"/>
          <w:bottom w:val="nil"/>
          <w:right w:val="nil"/>
          <w:insideH w:val="nil"/>
          <w:insideV w:val="nil"/>
        </w:tcBorders>
        <w:shd w:val="clear" w:color="auto" w:fill="095E7F"/>
      </w:tcPr>
    </w:tblStylePr>
    <w:tblStylePr w:type="band1Vert">
      <w:tblPr/>
      <w:tcPr>
        <w:shd w:val="clear" w:color="auto" w:fill="95DCF7"/>
      </w:tcPr>
    </w:tblStylePr>
    <w:tblStylePr w:type="band1Horz">
      <w:tblPr/>
      <w:tcPr>
        <w:shd w:val="clear" w:color="auto" w:fill="7BD3F5"/>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4EA72E"/>
        <w:left w:val="single" w:sz="4" w:space="0" w:color="A02B93"/>
        <w:bottom w:val="single" w:sz="4" w:space="0" w:color="A02B93"/>
        <w:right w:val="single" w:sz="4" w:space="0" w:color="A02B93"/>
        <w:insideH w:val="single" w:sz="4" w:space="0" w:color="FFFFFF"/>
        <w:insideV w:val="single" w:sz="4" w:space="0" w:color="FFFFFF"/>
      </w:tblBorders>
    </w:tblPr>
    <w:tcPr>
      <w:shd w:val="clear" w:color="auto" w:fill="F8E7F6"/>
    </w:tcPr>
    <w:tblStylePr w:type="firstRow">
      <w:rPr>
        <w:b/>
        <w:bCs/>
      </w:rPr>
      <w:tblPr/>
      <w:tcPr>
        <w:tcBorders>
          <w:top w:val="nil"/>
          <w:left w:val="nil"/>
          <w:bottom w:val="single" w:sz="24" w:space="0" w:color="4EA72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F1957"/>
      </w:tcPr>
    </w:tblStylePr>
    <w:tblStylePr w:type="firstCol">
      <w:rPr>
        <w:color w:val="FFFFFF"/>
      </w:rPr>
      <w:tblPr/>
      <w:tcPr>
        <w:tcBorders>
          <w:top w:val="nil"/>
          <w:left w:val="nil"/>
          <w:bottom w:val="nil"/>
          <w:right w:val="nil"/>
          <w:insideH w:val="single" w:sz="4" w:space="0" w:color="5F1957"/>
          <w:insideV w:val="nil"/>
        </w:tcBorders>
        <w:shd w:val="clear" w:color="auto" w:fill="5F1957"/>
      </w:tcPr>
    </w:tblStylePr>
    <w:tblStylePr w:type="lastCol">
      <w:rPr>
        <w:color w:val="FFFFFF"/>
      </w:rPr>
      <w:tblPr/>
      <w:tcPr>
        <w:tcBorders>
          <w:top w:val="nil"/>
          <w:left w:val="nil"/>
          <w:bottom w:val="nil"/>
          <w:right w:val="nil"/>
          <w:insideH w:val="nil"/>
          <w:insideV w:val="nil"/>
        </w:tcBorders>
        <w:shd w:val="clear" w:color="auto" w:fill="5F1957"/>
      </w:tcPr>
    </w:tblStylePr>
    <w:tblStylePr w:type="band1Vert">
      <w:tblPr/>
      <w:tcPr>
        <w:shd w:val="clear" w:color="auto" w:fill="E59EDC"/>
      </w:tcPr>
    </w:tblStylePr>
    <w:tblStylePr w:type="band1Horz">
      <w:tblPr/>
      <w:tcPr>
        <w:shd w:val="clear" w:color="auto" w:fill="DE86D4"/>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top w:val="single" w:sz="24" w:space="0" w:color="A02B93"/>
        <w:left w:val="single" w:sz="4" w:space="0" w:color="4EA72E"/>
        <w:bottom w:val="single" w:sz="4" w:space="0" w:color="4EA72E"/>
        <w:right w:val="single" w:sz="4" w:space="0" w:color="4EA72E"/>
        <w:insideH w:val="single" w:sz="4" w:space="0" w:color="FFFFFF"/>
        <w:insideV w:val="single" w:sz="4" w:space="0" w:color="FFFFFF"/>
      </w:tblBorders>
    </w:tblPr>
    <w:tcPr>
      <w:shd w:val="clear" w:color="auto" w:fill="ECF8E8"/>
    </w:tcPr>
    <w:tblStylePr w:type="firstRow">
      <w:rPr>
        <w:b/>
        <w:bCs/>
      </w:rPr>
      <w:tblPr/>
      <w:tcPr>
        <w:tcBorders>
          <w:top w:val="nil"/>
          <w:left w:val="nil"/>
          <w:bottom w:val="single" w:sz="24" w:space="0" w:color="A02B9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E641B"/>
      </w:tcPr>
    </w:tblStylePr>
    <w:tblStylePr w:type="firstCol">
      <w:rPr>
        <w:color w:val="FFFFFF"/>
      </w:rPr>
      <w:tblPr/>
      <w:tcPr>
        <w:tcBorders>
          <w:top w:val="nil"/>
          <w:left w:val="nil"/>
          <w:bottom w:val="nil"/>
          <w:right w:val="nil"/>
          <w:insideH w:val="single" w:sz="4" w:space="0" w:color="2E641B"/>
          <w:insideV w:val="nil"/>
        </w:tcBorders>
        <w:shd w:val="clear" w:color="auto" w:fill="2E641B"/>
      </w:tcPr>
    </w:tblStylePr>
    <w:tblStylePr w:type="lastCol">
      <w:rPr>
        <w:color w:val="FFFFFF"/>
      </w:rPr>
      <w:tblPr/>
      <w:tcPr>
        <w:tcBorders>
          <w:top w:val="nil"/>
          <w:left w:val="nil"/>
          <w:bottom w:val="nil"/>
          <w:right w:val="nil"/>
          <w:insideH w:val="nil"/>
          <w:insideV w:val="nil"/>
        </w:tcBorders>
        <w:shd w:val="clear" w:color="auto" w:fill="2E641B"/>
      </w:tcPr>
    </w:tblStylePr>
    <w:tblStylePr w:type="band1Vert">
      <w:tblPr/>
      <w:tcPr>
        <w:shd w:val="clear" w:color="auto" w:fill="B3E5A1"/>
      </w:tcPr>
    </w:tblStylePr>
    <w:tblStylePr w:type="band1Horz">
      <w:tblPr/>
      <w:tcPr>
        <w:shd w:val="clear" w:color="auto" w:fill="A0DF8A"/>
      </w:tcPr>
    </w:tblStylePr>
    <w:tblStylePr w:type="neCell">
      <w:rPr>
        <w:color w:val="000000"/>
      </w:rPr>
    </w:tblStylePr>
    <w:tblStylePr w:type="nwCell">
      <w:rPr>
        <w:color w:val="000000"/>
      </w:rPr>
    </w:tblStylePr>
  </w:style>
  <w:style w:type="table" w:styleId="ColorfulList">
    <w:name w:val="Colorful List"/>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E0F2F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cPr>
    </w:tblStylePr>
    <w:tblStylePr w:type="band1Horz">
      <w:tblPr/>
      <w:tcPr>
        <w:shd w:val="clear" w:color="auto" w:fill="C1E4F5"/>
      </w:tcPr>
    </w:tblStylePr>
  </w:style>
  <w:style w:type="table" w:styleId="ColorfulList-Accent2">
    <w:name w:val="Colorful List Accent 2"/>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FCF0EA"/>
    </w:tcPr>
    <w:tblStylePr w:type="firstRow">
      <w:rPr>
        <w:b/>
        <w:bCs/>
        <w:color w:val="FFFFFF"/>
      </w:rPr>
      <w:tblPr/>
      <w:tcPr>
        <w:tcBorders>
          <w:bottom w:val="single" w:sz="12" w:space="0" w:color="FFFFFF"/>
        </w:tcBorders>
        <w:shd w:val="clear" w:color="auto" w:fill="CC5416"/>
      </w:tcPr>
    </w:tblStylePr>
    <w:tblStylePr w:type="lastRow">
      <w:rPr>
        <w:b/>
        <w:bCs/>
        <w:color w:val="CC5416"/>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cPr>
    </w:tblStylePr>
    <w:tblStylePr w:type="band1Horz">
      <w:tblPr/>
      <w:tcPr>
        <w:shd w:val="clear" w:color="auto" w:fill="FAE2D5"/>
      </w:tcPr>
    </w:tblStylePr>
  </w:style>
  <w:style w:type="table" w:styleId="ColorfulList-Accent3">
    <w:name w:val="Colorful List Accent 3"/>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E0F8E3"/>
    </w:tcPr>
    <w:tblStylePr w:type="firstRow">
      <w:rPr>
        <w:b/>
        <w:bCs/>
        <w:color w:val="FFFFFF"/>
      </w:rPr>
      <w:tblPr/>
      <w:tcPr>
        <w:tcBorders>
          <w:bottom w:val="single" w:sz="12" w:space="0" w:color="FFFFFF"/>
        </w:tcBorders>
        <w:shd w:val="clear" w:color="auto" w:fill="0C7EAA"/>
      </w:tcPr>
    </w:tblStylePr>
    <w:tblStylePr w:type="lastRow">
      <w:rPr>
        <w:b/>
        <w:bCs/>
        <w:color w:val="0C7EA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cPr>
    </w:tblStylePr>
    <w:tblStylePr w:type="band1Horz">
      <w:tblPr/>
      <w:tcPr>
        <w:shd w:val="clear" w:color="auto" w:fill="C1F0C7"/>
      </w:tcPr>
    </w:tblStylePr>
  </w:style>
  <w:style w:type="table" w:styleId="ColorfulList-Accent4">
    <w:name w:val="Colorful List Accent 4"/>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E5F6FD"/>
    </w:tcPr>
    <w:tblStylePr w:type="firstRow">
      <w:rPr>
        <w:b/>
        <w:bCs/>
        <w:color w:val="FFFFFF"/>
      </w:rPr>
      <w:tblPr/>
      <w:tcPr>
        <w:tcBorders>
          <w:bottom w:val="single" w:sz="12" w:space="0" w:color="FFFFFF"/>
        </w:tcBorders>
        <w:shd w:val="clear" w:color="auto" w:fill="14551C"/>
      </w:tcPr>
    </w:tblStylePr>
    <w:tblStylePr w:type="lastRow">
      <w:rPr>
        <w:b/>
        <w:bCs/>
        <w:color w:val="14551C"/>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cPr>
    </w:tblStylePr>
    <w:tblStylePr w:type="band1Horz">
      <w:tblPr/>
      <w:tcPr>
        <w:shd w:val="clear" w:color="auto" w:fill="CAEDFB"/>
      </w:tcPr>
    </w:tblStylePr>
  </w:style>
  <w:style w:type="table" w:styleId="ColorfulList-Accent5">
    <w:name w:val="Colorful List Accent 5"/>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F8E7F6"/>
    </w:tcPr>
    <w:tblStylePr w:type="firstRow">
      <w:rPr>
        <w:b/>
        <w:bCs/>
        <w:color w:val="FFFFFF"/>
      </w:rPr>
      <w:tblPr/>
      <w:tcPr>
        <w:tcBorders>
          <w:bottom w:val="single" w:sz="12" w:space="0" w:color="FFFFFF"/>
        </w:tcBorders>
        <w:shd w:val="clear" w:color="auto" w:fill="3E8524"/>
      </w:tcPr>
    </w:tblStylePr>
    <w:tblStylePr w:type="lastRow">
      <w:rPr>
        <w:b/>
        <w:bCs/>
        <w:color w:val="3E852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cPr>
    </w:tblStylePr>
    <w:tblStylePr w:type="band1Horz">
      <w:tblPr/>
      <w:tcPr>
        <w:shd w:val="clear" w:color="auto" w:fill="F2CEED"/>
      </w:tcPr>
    </w:tblStylePr>
  </w:style>
  <w:style w:type="table" w:styleId="ColorfulList-Accent6">
    <w:name w:val="Colorful List Accent 6"/>
    <w:basedOn w:val="TableNormal"/>
    <w:uiPriority w:val="72"/>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Pr>
    <w:tcPr>
      <w:shd w:val="clear" w:color="auto" w:fill="ECF8E8"/>
    </w:tcPr>
    <w:tblStylePr w:type="firstRow">
      <w:rPr>
        <w:b/>
        <w:bCs/>
        <w:color w:val="FFFFFF"/>
      </w:rPr>
      <w:tblPr/>
      <w:tcPr>
        <w:tcBorders>
          <w:bottom w:val="single" w:sz="12" w:space="0" w:color="FFFFFF"/>
        </w:tcBorders>
        <w:shd w:val="clear" w:color="auto" w:fill="7F2275"/>
      </w:tcPr>
    </w:tblStylePr>
    <w:tblStylePr w:type="lastRow">
      <w:rPr>
        <w:b/>
        <w:bCs/>
        <w:color w:val="7F227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cPr>
    </w:tblStylePr>
    <w:tblStylePr w:type="band1Horz">
      <w:tblPr/>
      <w:tcPr>
        <w:shd w:val="clear" w:color="auto" w:fill="D9F2D0"/>
      </w:tcPr>
    </w:tblStylePr>
  </w:style>
  <w:style w:type="table" w:styleId="ColorfulGrid">
    <w:name w:val="Colorful Grid"/>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C1E4F5"/>
    </w:tcPr>
    <w:tblStylePr w:type="firstRow">
      <w:rPr>
        <w:b/>
        <w:bCs/>
      </w:rPr>
      <w:tblPr/>
      <w:tcPr>
        <w:shd w:val="clear" w:color="auto" w:fill="83CAEB"/>
      </w:tcPr>
    </w:tblStylePr>
    <w:tblStylePr w:type="lastRow">
      <w:rPr>
        <w:b/>
        <w:bCs/>
        <w:color w:val="000000"/>
      </w:rPr>
      <w:tblPr/>
      <w:tcPr>
        <w:shd w:val="clear" w:color="auto" w:fill="83CAEB"/>
      </w:tcPr>
    </w:tblStylePr>
    <w:tblStylePr w:type="firstCol">
      <w:rPr>
        <w:color w:val="FFFFFF"/>
      </w:rPr>
      <w:tblPr/>
      <w:tcPr>
        <w:shd w:val="clear" w:color="auto" w:fill="0F4761"/>
      </w:tcPr>
    </w:tblStylePr>
    <w:tblStylePr w:type="lastCol">
      <w:rPr>
        <w:color w:val="FFFFFF"/>
      </w:rPr>
      <w:tblPr/>
      <w:tcPr>
        <w:shd w:val="clear" w:color="auto" w:fill="0F4761"/>
      </w:tcPr>
    </w:tblStylePr>
    <w:tblStylePr w:type="band1Vert">
      <w:tblPr/>
      <w:tcPr>
        <w:shd w:val="clear" w:color="auto" w:fill="64BDE6"/>
      </w:tcPr>
    </w:tblStylePr>
    <w:tblStylePr w:type="band1Horz">
      <w:tblPr/>
      <w:tcPr>
        <w:shd w:val="clear" w:color="auto" w:fill="64BDE6"/>
      </w:tcPr>
    </w:tblStylePr>
  </w:style>
  <w:style w:type="table" w:styleId="ColorfulGrid-Accent2">
    <w:name w:val="Colorful Grid Accent 2"/>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FAE2D5"/>
    </w:tcPr>
    <w:tblStylePr w:type="firstRow">
      <w:rPr>
        <w:b/>
        <w:bCs/>
      </w:rPr>
      <w:tblPr/>
      <w:tcPr>
        <w:shd w:val="clear" w:color="auto" w:fill="F6C5AC"/>
      </w:tcPr>
    </w:tblStylePr>
    <w:tblStylePr w:type="lastRow">
      <w:rPr>
        <w:b/>
        <w:bCs/>
        <w:color w:val="000000"/>
      </w:rPr>
      <w:tblPr/>
      <w:tcPr>
        <w:shd w:val="clear" w:color="auto" w:fill="F6C5AC"/>
      </w:tcPr>
    </w:tblStylePr>
    <w:tblStylePr w:type="firstCol">
      <w:rPr>
        <w:color w:val="FFFFFF"/>
      </w:rPr>
      <w:tblPr/>
      <w:tcPr>
        <w:shd w:val="clear" w:color="auto" w:fill="BF4E14"/>
      </w:tcPr>
    </w:tblStylePr>
    <w:tblStylePr w:type="lastCol">
      <w:rPr>
        <w:color w:val="FFFFFF"/>
      </w:rPr>
      <w:tblPr/>
      <w:tcPr>
        <w:shd w:val="clear" w:color="auto" w:fill="BF4E14"/>
      </w:tcPr>
    </w:tblStylePr>
    <w:tblStylePr w:type="band1Vert">
      <w:tblPr/>
      <w:tcPr>
        <w:shd w:val="clear" w:color="auto" w:fill="F4B798"/>
      </w:tcPr>
    </w:tblStylePr>
    <w:tblStylePr w:type="band1Horz">
      <w:tblPr/>
      <w:tcPr>
        <w:shd w:val="clear" w:color="auto" w:fill="F4B798"/>
      </w:tcPr>
    </w:tblStylePr>
  </w:style>
  <w:style w:type="table" w:styleId="ColorfulGrid-Accent3">
    <w:name w:val="Colorful Grid Accent 3"/>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C1F0C7"/>
    </w:tcPr>
    <w:tblStylePr w:type="firstRow">
      <w:rPr>
        <w:b/>
        <w:bCs/>
      </w:rPr>
      <w:tblPr/>
      <w:tcPr>
        <w:shd w:val="clear" w:color="auto" w:fill="84E290"/>
      </w:tcPr>
    </w:tblStylePr>
    <w:tblStylePr w:type="lastRow">
      <w:rPr>
        <w:b/>
        <w:bCs/>
        <w:color w:val="000000"/>
      </w:rPr>
      <w:tblPr/>
      <w:tcPr>
        <w:shd w:val="clear" w:color="auto" w:fill="84E290"/>
      </w:tcPr>
    </w:tblStylePr>
    <w:tblStylePr w:type="firstCol">
      <w:rPr>
        <w:color w:val="FFFFFF"/>
      </w:rPr>
      <w:tblPr/>
      <w:tcPr>
        <w:shd w:val="clear" w:color="auto" w:fill="124F1A"/>
      </w:tcPr>
    </w:tblStylePr>
    <w:tblStylePr w:type="lastCol">
      <w:rPr>
        <w:color w:val="FFFFFF"/>
      </w:rPr>
      <w:tblPr/>
      <w:tcPr>
        <w:shd w:val="clear" w:color="auto" w:fill="124F1A"/>
      </w:tcPr>
    </w:tblStylePr>
    <w:tblStylePr w:type="band1Vert">
      <w:tblPr/>
      <w:tcPr>
        <w:shd w:val="clear" w:color="auto" w:fill="66DB75"/>
      </w:tcPr>
    </w:tblStylePr>
    <w:tblStylePr w:type="band1Horz">
      <w:tblPr/>
      <w:tcPr>
        <w:shd w:val="clear" w:color="auto" w:fill="66DB75"/>
      </w:tcPr>
    </w:tblStylePr>
  </w:style>
  <w:style w:type="table" w:styleId="ColorfulGrid-Accent4">
    <w:name w:val="Colorful Grid Accent 4"/>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CAEDFB"/>
    </w:tcPr>
    <w:tblStylePr w:type="firstRow">
      <w:rPr>
        <w:b/>
        <w:bCs/>
      </w:rPr>
      <w:tblPr/>
      <w:tcPr>
        <w:shd w:val="clear" w:color="auto" w:fill="95DCF7"/>
      </w:tcPr>
    </w:tblStylePr>
    <w:tblStylePr w:type="lastRow">
      <w:rPr>
        <w:b/>
        <w:bCs/>
        <w:color w:val="000000"/>
      </w:rPr>
      <w:tblPr/>
      <w:tcPr>
        <w:shd w:val="clear" w:color="auto" w:fill="95DCF7"/>
      </w:tcPr>
    </w:tblStylePr>
    <w:tblStylePr w:type="firstCol">
      <w:rPr>
        <w:color w:val="FFFFFF"/>
      </w:rPr>
      <w:tblPr/>
      <w:tcPr>
        <w:shd w:val="clear" w:color="auto" w:fill="0B769F"/>
      </w:tcPr>
    </w:tblStylePr>
    <w:tblStylePr w:type="lastCol">
      <w:rPr>
        <w:color w:val="FFFFFF"/>
      </w:rPr>
      <w:tblPr/>
      <w:tcPr>
        <w:shd w:val="clear" w:color="auto" w:fill="0B769F"/>
      </w:tcPr>
    </w:tblStylePr>
    <w:tblStylePr w:type="band1Vert">
      <w:tblPr/>
      <w:tcPr>
        <w:shd w:val="clear" w:color="auto" w:fill="7BD3F5"/>
      </w:tcPr>
    </w:tblStylePr>
    <w:tblStylePr w:type="band1Horz">
      <w:tblPr/>
      <w:tcPr>
        <w:shd w:val="clear" w:color="auto" w:fill="7BD3F5"/>
      </w:tcPr>
    </w:tblStylePr>
  </w:style>
  <w:style w:type="table" w:styleId="ColorfulGrid-Accent5">
    <w:name w:val="Colorful Grid Accent 5"/>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F2CEED"/>
    </w:tcPr>
    <w:tblStylePr w:type="firstRow">
      <w:rPr>
        <w:b/>
        <w:bCs/>
      </w:rPr>
      <w:tblPr/>
      <w:tcPr>
        <w:shd w:val="clear" w:color="auto" w:fill="E59EDC"/>
      </w:tcPr>
    </w:tblStylePr>
    <w:tblStylePr w:type="lastRow">
      <w:rPr>
        <w:b/>
        <w:bCs/>
        <w:color w:val="000000"/>
      </w:rPr>
      <w:tblPr/>
      <w:tcPr>
        <w:shd w:val="clear" w:color="auto" w:fill="E59EDC"/>
      </w:tcPr>
    </w:tblStylePr>
    <w:tblStylePr w:type="firstCol">
      <w:rPr>
        <w:color w:val="FFFFFF"/>
      </w:rPr>
      <w:tblPr/>
      <w:tcPr>
        <w:shd w:val="clear" w:color="auto" w:fill="77206D"/>
      </w:tcPr>
    </w:tblStylePr>
    <w:tblStylePr w:type="lastCol">
      <w:rPr>
        <w:color w:val="FFFFFF"/>
      </w:rPr>
      <w:tblPr/>
      <w:tcPr>
        <w:shd w:val="clear" w:color="auto" w:fill="77206D"/>
      </w:tcPr>
    </w:tblStylePr>
    <w:tblStylePr w:type="band1Vert">
      <w:tblPr/>
      <w:tcPr>
        <w:shd w:val="clear" w:color="auto" w:fill="DE86D4"/>
      </w:tcPr>
    </w:tblStylePr>
    <w:tblStylePr w:type="band1Horz">
      <w:tblPr/>
      <w:tcPr>
        <w:shd w:val="clear" w:color="auto" w:fill="DE86D4"/>
      </w:tcPr>
    </w:tblStylePr>
  </w:style>
  <w:style w:type="table" w:styleId="ColorfulGrid-Accent6">
    <w:name w:val="Colorful Grid Accent 6"/>
    <w:basedOn w:val="TableNormal"/>
    <w:uiPriority w:val="73"/>
    <w:rsid w:val="009F2A5C"/>
    <w:pPr>
      <w:spacing w:after="0" w:line="240" w:lineRule="auto"/>
    </w:pPr>
    <w:rPr>
      <w:rFonts w:ascii="DengXian" w:eastAsia="DengXian" w:hAnsi="DengXian" w:cs="Times New Roman"/>
      <w:color w:val="000000"/>
      <w:kern w:val="0"/>
      <w:sz w:val="22"/>
      <w:szCs w:val="22"/>
      <w:lang w:eastAsia="en-US"/>
      <w14:ligatures w14:val="none"/>
    </w:rPr>
    <w:tblPr>
      <w:tblStyleRowBandSize w:val="1"/>
      <w:tblStyleColBandSize w:val="1"/>
      <w:tblBorders>
        <w:insideH w:val="single" w:sz="4" w:space="0" w:color="FFFFFF"/>
      </w:tblBorders>
    </w:tblPr>
    <w:tcPr>
      <w:shd w:val="clear" w:color="auto" w:fill="D9F2D0"/>
    </w:tcPr>
    <w:tblStylePr w:type="firstRow">
      <w:rPr>
        <w:b/>
        <w:bCs/>
      </w:rPr>
      <w:tblPr/>
      <w:tcPr>
        <w:shd w:val="clear" w:color="auto" w:fill="B3E5A1"/>
      </w:tcPr>
    </w:tblStylePr>
    <w:tblStylePr w:type="lastRow">
      <w:rPr>
        <w:b/>
        <w:bCs/>
        <w:color w:val="000000"/>
      </w:rPr>
      <w:tblPr/>
      <w:tcPr>
        <w:shd w:val="clear" w:color="auto" w:fill="B3E5A1"/>
      </w:tcPr>
    </w:tblStylePr>
    <w:tblStylePr w:type="firstCol">
      <w:rPr>
        <w:color w:val="FFFFFF"/>
      </w:rPr>
      <w:tblPr/>
      <w:tcPr>
        <w:shd w:val="clear" w:color="auto" w:fill="3A7C22"/>
      </w:tcPr>
    </w:tblStylePr>
    <w:tblStylePr w:type="lastCol">
      <w:rPr>
        <w:color w:val="FFFFFF"/>
      </w:rPr>
      <w:tblPr/>
      <w:tcPr>
        <w:shd w:val="clear" w:color="auto" w:fill="3A7C22"/>
      </w:tcPr>
    </w:tblStylePr>
    <w:tblStylePr w:type="band1Vert">
      <w:tblPr/>
      <w:tcPr>
        <w:shd w:val="clear" w:color="auto" w:fill="A0DF8A"/>
      </w:tcPr>
    </w:tblStylePr>
    <w:tblStylePr w:type="band1Horz">
      <w:tblPr/>
      <w:tcPr>
        <w:shd w:val="clear" w:color="auto" w:fill="A0DF8A"/>
      </w:tcPr>
    </w:tblStylePr>
  </w:style>
  <w:style w:type="character" w:styleId="LineNumber">
    <w:name w:val="line number"/>
    <w:basedOn w:val="DefaultParagraphFont"/>
    <w:uiPriority w:val="99"/>
    <w:semiHidden/>
    <w:unhideWhenUsed/>
    <w:rsid w:val="009F2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3791</Words>
  <Characters>21609</Characters>
  <Application>Microsoft Office Word</Application>
  <DocSecurity>0</DocSecurity>
  <Lines>180</Lines>
  <Paragraphs>50</Paragraphs>
  <ScaleCrop>false</ScaleCrop>
  <Company/>
  <LinksUpToDate>false</LinksUpToDate>
  <CharactersWithSpaces>25350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Shin</dc:creator>
  <cp:keywords/>
  <dc:description/>
  <cp:lastModifiedBy>Nina Shin</cp:lastModifiedBy>
  <cp:revision>2</cp:revision>
  <dcterms:created xsi:type="dcterms:W3CDTF">2026-04-30T10:51:00Z</dcterms:created>
  <dcterms:modified xsi:type="dcterms:W3CDTF">2026-04-30T10:52:00Z</dcterms:modified>
</cp:coreProperties>
</file>