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B36C2">
      <w:pPr>
        <w:widowControl/>
        <w:spacing w:line="24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eastAsia="宋体" w:cs="Times New Roman"/>
          <w:kern w:val="0"/>
          <w:sz w:val="24"/>
          <w:lang w:bidi="ar"/>
        </w:rPr>
        <w:t>Supplementary Table 2.Baseline Characteristics of Patients</w:t>
      </w:r>
    </w:p>
    <w:p w14:paraId="027F97E9">
      <w:pPr>
        <w:widowControl/>
        <w:spacing w:line="240" w:lineRule="auto"/>
        <w:jc w:val="left"/>
        <w:rPr>
          <w:rFonts w:ascii="Times New Roman" w:hAnsi="Times New Roman" w:cs="Times New Roman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0"/>
        <w:gridCol w:w="2842"/>
      </w:tblGrid>
      <w:tr w14:paraId="6D168138">
        <w:trPr>
          <w:trHeight w:val="583" w:hRule="atLeast"/>
        </w:trPr>
        <w:tc>
          <w:tcPr>
            <w:tcW w:w="166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0F4D87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Patient Characteristics</w:t>
            </w:r>
          </w:p>
        </w:tc>
        <w:tc>
          <w:tcPr>
            <w:tcW w:w="166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C90AE5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n</w:t>
            </w:r>
          </w:p>
        </w:tc>
        <w:tc>
          <w:tcPr>
            <w:tcW w:w="166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2EFEA8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%</w:t>
            </w:r>
          </w:p>
        </w:tc>
      </w:tr>
      <w:tr w14:paraId="6C14903C">
        <w:tc>
          <w:tcPr>
            <w:tcW w:w="166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539BD0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87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Sex</w:t>
            </w:r>
          </w:p>
        </w:tc>
        <w:tc>
          <w:tcPr>
            <w:tcW w:w="166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1476F6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66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C10B4E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66296383"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5907B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Male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92BC9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40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1D983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40%</w:t>
            </w:r>
          </w:p>
        </w:tc>
      </w:tr>
      <w:tr w14:paraId="4B1EC1FB"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D7979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Female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493A3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60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46910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60%</w:t>
            </w:r>
          </w:p>
        </w:tc>
      </w:tr>
      <w:tr w14:paraId="55AFACF7"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6C5A0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Age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59954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04611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514C2E38"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6A897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20-39 years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ED0C1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39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5036A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39%</w:t>
            </w:r>
          </w:p>
        </w:tc>
      </w:tr>
      <w:tr w14:paraId="2937AC56"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91A6F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40-59 years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93505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41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06898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41%</w:t>
            </w:r>
          </w:p>
        </w:tc>
      </w:tr>
      <w:tr w14:paraId="44931657"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D57B9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bidi="ar"/>
              </w:rPr>
              <w:t>≥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60 years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4065E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20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D6EC5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20%</w:t>
            </w:r>
          </w:p>
        </w:tc>
      </w:tr>
      <w:tr w14:paraId="0D4C9833"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E2655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Dry Eye T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ype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EBC40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D8ACB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3DE1717E"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200B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  <w:lang w:val="en-US" w:eastAsia="zh-CN" w:bidi="ar"/>
              </w:rPr>
              <w:t>ADDE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B7C37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11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CA953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11%</w:t>
            </w:r>
          </w:p>
        </w:tc>
      </w:tr>
      <w:tr w14:paraId="6211FD31"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B3E5D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  <w:lang w:val="en-US" w:eastAsia="zh-CN" w:bidi="ar"/>
              </w:rPr>
              <w:t>EDE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0D73F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3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86F0D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3%</w:t>
            </w:r>
          </w:p>
        </w:tc>
      </w:tr>
      <w:tr w14:paraId="2563F6F5"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EE47E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Mixed type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60E77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74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C5B06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74%</w:t>
            </w:r>
          </w:p>
        </w:tc>
      </w:tr>
      <w:tr w14:paraId="350FFDDA">
        <w:tc>
          <w:tcPr>
            <w:tcW w:w="166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B5468A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Unclassified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FF9708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12</w:t>
            </w:r>
          </w:p>
        </w:tc>
        <w:tc>
          <w:tcPr>
            <w:tcW w:w="166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B0A814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bidi="ar"/>
              </w:rPr>
              <w:t>12%</w:t>
            </w:r>
          </w:p>
        </w:tc>
      </w:tr>
    </w:tbl>
    <w:p w14:paraId="197E67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D9ACA"/>
    <w:rsid w:val="7BFD9ACA"/>
    <w:rsid w:val="ADD5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left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2025-10-17T05:37:00Z</dcterms:created>
  <dc:creator>CHQ</dc:creator>
  <cp:lastModifiedBy>CHQ</cp:lastModifiedBy>
  <dcterms:modified xsi:type="dcterms:W3CDTF">2026-04-30T02:00:06Z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90D0AC42A8FC0AC730F5F068697DA1B4_41</vt:lpwstr>
  </property>
</Properties>
</file>