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C1FA1">
      <w:pPr>
        <w:spacing w:before="480" w:after="480" w:line="288" w:lineRule="auto"/>
        <w:ind w:left="0"/>
        <w:rPr>
          <w:rFonts w:hint="eastAsia" w:ascii="Times New Roman" w:hAnsi="Times New Roman" w:eastAsia="等线" w:cs="Times New Roman"/>
          <w:sz w:val="21"/>
          <w:szCs w:val="21"/>
          <w:lang w:val="en-US" w:eastAsia="zh-CN"/>
        </w:rPr>
      </w:pPr>
      <w:r>
        <w:rPr>
          <w:rFonts w:hint="eastAsia" w:ascii="Times New Roman" w:hAnsi="Times New Roman" w:eastAsia="等线" w:cs="Times New Roman"/>
          <w:b/>
          <w:sz w:val="21"/>
          <w:szCs w:val="21"/>
          <w:lang w:val="en-US" w:eastAsia="zh-CN"/>
        </w:rPr>
        <w:t>Supplementary Table S2. Approximate model-derived SHAP transition regions for selected features in the final XGBoost model.</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760"/>
        <w:gridCol w:w="2760"/>
        <w:gridCol w:w="2760"/>
      </w:tblGrid>
      <w:tr w14:paraId="5E9DC2E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9E905A4">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Feature</w:t>
            </w:r>
          </w:p>
        </w:tc>
        <w:tc>
          <w:tcPr>
            <w:tcW w:w="2760" w:type="dxa"/>
            <w:tcMar>
              <w:top w:w="60" w:type="dxa"/>
              <w:left w:w="120" w:type="dxa"/>
              <w:bottom w:w="30" w:type="dxa"/>
              <w:right w:w="120" w:type="dxa"/>
            </w:tcMar>
          </w:tcPr>
          <w:p w14:paraId="553ADFB1">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Zero-crossing (z-score)</w:t>
            </w:r>
          </w:p>
        </w:tc>
        <w:tc>
          <w:tcPr>
            <w:tcW w:w="2760" w:type="dxa"/>
            <w:tcMar>
              <w:top w:w="60" w:type="dxa"/>
              <w:left w:w="120" w:type="dxa"/>
              <w:bottom w:w="30" w:type="dxa"/>
              <w:right w:w="120" w:type="dxa"/>
            </w:tcMar>
          </w:tcPr>
          <w:p w14:paraId="7E01C533">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Zero-crossing (original unit)</w:t>
            </w:r>
          </w:p>
        </w:tc>
      </w:tr>
      <w:tr w14:paraId="23DAF68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023F0988">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ALB</w:t>
            </w:r>
          </w:p>
        </w:tc>
        <w:tc>
          <w:tcPr>
            <w:tcW w:w="2760" w:type="dxa"/>
            <w:tcMar>
              <w:top w:w="60" w:type="dxa"/>
              <w:left w:w="120" w:type="dxa"/>
              <w:bottom w:w="30" w:type="dxa"/>
              <w:right w:w="120" w:type="dxa"/>
            </w:tcMar>
          </w:tcPr>
          <w:p w14:paraId="13825C65">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-0.48011</w:t>
            </w:r>
          </w:p>
        </w:tc>
        <w:tc>
          <w:tcPr>
            <w:tcW w:w="2760" w:type="dxa"/>
            <w:tcMar>
              <w:top w:w="60" w:type="dxa"/>
              <w:left w:w="120" w:type="dxa"/>
              <w:bottom w:w="30" w:type="dxa"/>
              <w:right w:w="120" w:type="dxa"/>
            </w:tcMar>
          </w:tcPr>
          <w:p w14:paraId="08D7AAF0">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35.3 g/L</w:t>
            </w:r>
          </w:p>
        </w:tc>
      </w:tr>
      <w:tr w14:paraId="27B3026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8981F1E">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PLT</w:t>
            </w:r>
          </w:p>
        </w:tc>
        <w:tc>
          <w:tcPr>
            <w:tcW w:w="2760" w:type="dxa"/>
            <w:tcMar>
              <w:top w:w="60" w:type="dxa"/>
              <w:left w:w="120" w:type="dxa"/>
              <w:bottom w:w="30" w:type="dxa"/>
              <w:right w:w="120" w:type="dxa"/>
            </w:tcMar>
          </w:tcPr>
          <w:p w14:paraId="28E943E0">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-0.28731</w:t>
            </w:r>
          </w:p>
        </w:tc>
        <w:tc>
          <w:tcPr>
            <w:tcW w:w="2760" w:type="dxa"/>
            <w:tcMar>
              <w:top w:w="60" w:type="dxa"/>
              <w:left w:w="120" w:type="dxa"/>
              <w:bottom w:w="30" w:type="dxa"/>
              <w:right w:w="120" w:type="dxa"/>
            </w:tcMar>
          </w:tcPr>
          <w:p w14:paraId="36B9C7B3">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248.4 ×10⁹/L</w:t>
            </w:r>
          </w:p>
        </w:tc>
      </w:tr>
      <w:tr w14:paraId="5B4BB5F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136962BE">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FIB</w:t>
            </w:r>
          </w:p>
        </w:tc>
        <w:tc>
          <w:tcPr>
            <w:tcW w:w="2760" w:type="dxa"/>
            <w:tcMar>
              <w:top w:w="60" w:type="dxa"/>
              <w:left w:w="120" w:type="dxa"/>
              <w:bottom w:w="30" w:type="dxa"/>
              <w:right w:w="120" w:type="dxa"/>
            </w:tcMar>
          </w:tcPr>
          <w:p w14:paraId="0E9E2A0C">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-0.39591</w:t>
            </w:r>
          </w:p>
        </w:tc>
        <w:tc>
          <w:tcPr>
            <w:tcW w:w="2760" w:type="dxa"/>
            <w:tcMar>
              <w:top w:w="60" w:type="dxa"/>
              <w:left w:w="120" w:type="dxa"/>
              <w:bottom w:w="30" w:type="dxa"/>
              <w:right w:w="120" w:type="dxa"/>
            </w:tcMar>
          </w:tcPr>
          <w:p w14:paraId="4D172593">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3.81 g/L</w:t>
            </w:r>
          </w:p>
        </w:tc>
      </w:tr>
      <w:tr w14:paraId="521E57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6E3A1C33">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BMI</w:t>
            </w:r>
          </w:p>
        </w:tc>
        <w:tc>
          <w:tcPr>
            <w:tcW w:w="2760" w:type="dxa"/>
            <w:tcMar>
              <w:top w:w="60" w:type="dxa"/>
              <w:left w:w="120" w:type="dxa"/>
              <w:bottom w:w="30" w:type="dxa"/>
              <w:right w:w="120" w:type="dxa"/>
            </w:tcMar>
          </w:tcPr>
          <w:p w14:paraId="0112E9D3">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0.009326</w:t>
            </w:r>
          </w:p>
        </w:tc>
        <w:tc>
          <w:tcPr>
            <w:tcW w:w="2760" w:type="dxa"/>
            <w:tcMar>
              <w:top w:w="60" w:type="dxa"/>
              <w:left w:w="120" w:type="dxa"/>
              <w:bottom w:w="30" w:type="dxa"/>
              <w:right w:w="120" w:type="dxa"/>
            </w:tcMar>
          </w:tcPr>
          <w:p w14:paraId="499730CE">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24.19 kg/m²</w:t>
            </w:r>
          </w:p>
        </w:tc>
      </w:tr>
      <w:tr w14:paraId="2FAC0F1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580EE356">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Na⁺</w:t>
            </w:r>
          </w:p>
        </w:tc>
        <w:tc>
          <w:tcPr>
            <w:tcW w:w="2760" w:type="dxa"/>
            <w:tcMar>
              <w:top w:w="60" w:type="dxa"/>
              <w:left w:w="120" w:type="dxa"/>
              <w:bottom w:w="30" w:type="dxa"/>
              <w:right w:w="120" w:type="dxa"/>
            </w:tcMar>
          </w:tcPr>
          <w:p w14:paraId="6BD6F2E9">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0.2486</w:t>
            </w:r>
          </w:p>
        </w:tc>
        <w:tc>
          <w:tcPr>
            <w:tcW w:w="2760" w:type="dxa"/>
            <w:tcMar>
              <w:top w:w="60" w:type="dxa"/>
              <w:left w:w="120" w:type="dxa"/>
              <w:bottom w:w="30" w:type="dxa"/>
              <w:right w:w="120" w:type="dxa"/>
            </w:tcMar>
          </w:tcPr>
          <w:p w14:paraId="66D3DBD3">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141.2 mmol/L</w:t>
            </w:r>
          </w:p>
        </w:tc>
      </w:tr>
      <w:tr w14:paraId="6B6C84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tcMar>
              <w:top w:w="60" w:type="dxa"/>
              <w:left w:w="120" w:type="dxa"/>
              <w:bottom w:w="30" w:type="dxa"/>
              <w:right w:w="120" w:type="dxa"/>
            </w:tcMar>
          </w:tcPr>
          <w:p w14:paraId="2624834F">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HGB</w:t>
            </w:r>
          </w:p>
        </w:tc>
        <w:tc>
          <w:tcPr>
            <w:tcW w:w="2760" w:type="dxa"/>
            <w:tcMar>
              <w:top w:w="60" w:type="dxa"/>
              <w:left w:w="120" w:type="dxa"/>
              <w:bottom w:w="30" w:type="dxa"/>
              <w:right w:w="120" w:type="dxa"/>
            </w:tcMar>
          </w:tcPr>
          <w:p w14:paraId="5821BD3A">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-0.09121</w:t>
            </w:r>
          </w:p>
        </w:tc>
        <w:tc>
          <w:tcPr>
            <w:tcW w:w="2760" w:type="dxa"/>
            <w:tcMar>
              <w:top w:w="60" w:type="dxa"/>
              <w:left w:w="120" w:type="dxa"/>
              <w:bottom w:w="30" w:type="dxa"/>
              <w:right w:w="120" w:type="dxa"/>
            </w:tcMar>
          </w:tcPr>
          <w:p w14:paraId="61511ABB">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122.5 g/L</w:t>
            </w:r>
          </w:p>
        </w:tc>
      </w:tr>
    </w:tbl>
    <w:p w14:paraId="4451FCE3">
      <w:pPr>
        <w:pBdr>
          <w:bottom w:val="single" w:color="DEE0E3" w:sz="2" w:space="0"/>
          <w:between w:val="single" w:color="DEE0E3" w:sz="2" w:space="0"/>
        </w:pBdr>
        <w:spacing w:before="120" w:after="120" w:line="288" w:lineRule="auto"/>
        <w:ind w:left="0"/>
        <w:rPr>
          <w:rFonts w:hint="default" w:ascii="Times New Roman" w:hAnsi="Times New Roman" w:cs="Times New Roman"/>
        </w:rPr>
      </w:pPr>
    </w:p>
    <w:p w14:paraId="496FA4A5">
      <w:pPr>
        <w:spacing w:before="120" w:after="120" w:line="288" w:lineRule="auto"/>
        <w:ind w:left="0"/>
        <w:jc w:val="left"/>
        <w:rPr>
          <w:rFonts w:hint="default" w:ascii="Times New Roman" w:hAnsi="Times New Roman" w:cs="Times New Roman"/>
          <w:sz w:val="24"/>
          <w:szCs w:val="24"/>
        </w:rPr>
      </w:pPr>
      <w:r>
        <w:rPr>
          <w:rFonts w:hint="eastAsia" w:ascii="Times New Roman" w:hAnsi="Times New Roman" w:eastAsia="等线" w:cs="Times New Roman"/>
          <w:b/>
          <w:sz w:val="24"/>
          <w:szCs w:val="24"/>
          <w:lang w:val="en-US" w:eastAsia="zh-CN"/>
        </w:rPr>
        <w:t xml:space="preserve">Note: </w:t>
      </w:r>
      <w:r>
        <w:rPr>
          <w:rFonts w:hint="eastAsia" w:ascii="Times New Roman" w:hAnsi="Times New Roman" w:eastAsia="等线" w:cs="Times New Roman"/>
          <w:b w:val="0"/>
          <w:bCs/>
          <w:sz w:val="24"/>
          <w:szCs w:val="24"/>
          <w:lang w:val="en-US" w:eastAsia="zh-CN"/>
        </w:rPr>
        <w:t>Values represent approximate regions where SHAP dependence curves approached or crossed SHAP = 0 in the fitted XGBoost model. These values are descriptive of model behavior only and should not be interpreted as clinically validated thresholds, diagnostic cutoffs, treatment targets, biological tipping points, or evidence of causal effects. ALB, albumin; BMI, body mass index; FIB, fibrinogen; HGB, hemoglobin; Na⁺, sodium; PLT, platelet count; SHAP, SHapley Additive exPlanations; XGBoost, extreme gradien</w:t>
      </w:r>
      <w:bookmarkStart w:id="0" w:name="_GoBack"/>
      <w:bookmarkEnd w:id="0"/>
      <w:r>
        <w:rPr>
          <w:rFonts w:hint="eastAsia" w:ascii="Times New Roman" w:hAnsi="Times New Roman" w:eastAsia="等线" w:cs="Times New Roman"/>
          <w:b w:val="0"/>
          <w:bCs/>
          <w:sz w:val="24"/>
          <w:szCs w:val="24"/>
          <w:lang w:val="en-US" w:eastAsia="zh-CN"/>
        </w:rPr>
        <w:t>t boosting.</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5C14B"/>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B8F8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compat>
    <w:useFELayout/>
    <w:splitPgBreakAndParaMark/>
    <w:compatSetting w:name="compatibilityMode" w:uri="http://schemas.microsoft.com/office/word" w:val="12"/>
  </w:compat>
  <w:rsids>
    <w:rsidRoot w:val="00000000"/>
    <w:rsid w:val="01634297"/>
    <w:rsid w:val="165E2C55"/>
    <w:rsid w:val="28DF0CCD"/>
    <w:rsid w:val="35CD57AB"/>
    <w:rsid w:val="3A07694B"/>
    <w:rsid w:val="735A2B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96</Words>
  <Characters>579</Characters>
  <TotalTime>0</TotalTime>
  <ScaleCrop>false</ScaleCrop>
  <LinksUpToDate>false</LinksUpToDate>
  <CharactersWithSpaces>650</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2026-01-16T10:02:00Z</dcterms:created>
  <dc:creator>Apache POI</dc:creator>
  <cp:lastModifiedBy>龙龙</cp:lastModifiedBy>
  <dcterms:modified xsi:type="dcterms:W3CDTF">2026-05-09T16:10:58Z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eyJoZGlkIjoiYTM1YmViMGU1YWUxOTg0ZmUzZDkwNjdhYWM0YmRhMGUiLCJ1c2VySWQiOiI0MTc5MTc5MDcifQ==</vt:lpwstr>
  </property>
  <property fmtid="{D5CDD505-2E9C-101B-9397-08002B2CF9AE}" pid="3" name="KSOProductBuildVer">
    <vt:lpwstr>2052-12.1.0.25865</vt:lpwstr>
  </property>
  <property fmtid="{D5CDD505-2E9C-101B-9397-08002B2CF9AE}" pid="4" name="ICV">
    <vt:lpwstr>CB42E8AD4A54483581C4F23B32D9177E_12</vt:lpwstr>
  </property>
</Properties>
</file>