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EAE6C" w14:textId="77777777" w:rsidR="00E24B7B" w:rsidRDefault="00000000">
      <w:pPr>
        <w:spacing w:after="120"/>
        <w:jc w:val="center"/>
      </w:pPr>
      <w:r>
        <w:rPr>
          <w:rFonts w:ascii="Times New Roman" w:eastAsia="Times New Roman" w:hAnsi="Times New Roman"/>
          <w:b/>
          <w:sz w:val="32"/>
        </w:rPr>
        <w:t>Supplementary Material</w:t>
      </w:r>
    </w:p>
    <w:p w14:paraId="10A64692" w14:textId="77777777" w:rsidR="00E24B7B" w:rsidRDefault="00000000">
      <w:pPr>
        <w:spacing w:after="480"/>
        <w:jc w:val="center"/>
      </w:pPr>
      <w:r>
        <w:rPr>
          <w:rFonts w:ascii="Times New Roman" w:eastAsia="Times New Roman" w:hAnsi="Times New Roman"/>
          <w:i/>
        </w:rPr>
        <w:t>Deep Learning Analysis of 12-Lead Electrocardiograms for Bloodstream Infection Prediction: A Multi-Center Validation Study</w:t>
      </w:r>
    </w:p>
    <w:p w14:paraId="55EE00A4" w14:textId="77777777" w:rsidR="00E24B7B" w:rsidRDefault="00000000">
      <w:pPr>
        <w:spacing w:after="240" w:line="264" w:lineRule="auto"/>
      </w:pPr>
      <w:r>
        <w:rPr>
          <w:rFonts w:ascii="Times New Roman" w:eastAsia="Times New Roman" w:hAnsi="Times New Roman"/>
          <w:b/>
          <w:sz w:val="24"/>
        </w:rPr>
        <w:t>Table of Contents</w:t>
      </w:r>
    </w:p>
    <w:p w14:paraId="269B76DC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Figure S1. Scatter plots: AI-ECG BSI model vs. mortality model</w:t>
      </w:r>
    </w:p>
    <w:p w14:paraId="352BA340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Figure S2. 90-day all-cause mortality prediction performance</w:t>
      </w:r>
    </w:p>
    <w:p w14:paraId="6622931B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Figure S3. One-vs-rest discrimination of each pathogen class by the primary BSI risk score</w:t>
      </w:r>
    </w:p>
    <w:p w14:paraId="5772703D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Figure S4. Calibration curves</w:t>
      </w:r>
    </w:p>
    <w:p w14:paraId="5C48B08C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Figure S5. Decision curve analysis</w:t>
      </w:r>
    </w:p>
    <w:p w14:paraId="6BA9C346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Table S1. Patient characteristics, internal test set, by risk</w:t>
      </w:r>
    </w:p>
    <w:p w14:paraId="6AB53B27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Table S2. Patient characteristics, external test set, by risk</w:t>
      </w:r>
    </w:p>
    <w:p w14:paraId="45AB4892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Table S3. Patient characteristics, MIMIC-IV, by risk</w:t>
      </w:r>
    </w:p>
    <w:p w14:paraId="570BD71D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Table S4. TRIPOD checklist</w:t>
      </w:r>
    </w:p>
    <w:p w14:paraId="7C4857B6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Table S5. ECG diagnostic patterns and quantitative measurements</w:t>
      </w:r>
    </w:p>
    <w:p w14:paraId="7E59DBB2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Table S6. Operating-point analysis and subgroup performance</w:t>
      </w:r>
    </w:p>
    <w:p w14:paraId="584E4229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Table S7. ECG acquisition timing</w:t>
      </w:r>
    </w:p>
    <w:p w14:paraId="4D4CFA88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Table S8. Comparison with baseline models</w:t>
      </w:r>
    </w:p>
    <w:p w14:paraId="1D3412DE" w14:textId="77777777" w:rsidR="00E24B7B" w:rsidRDefault="00000000">
      <w:pPr>
        <w:spacing w:after="40" w:line="264" w:lineRule="auto"/>
      </w:pPr>
      <w:r>
        <w:rPr>
          <w:rFonts w:ascii="Times New Roman" w:eastAsia="Times New Roman" w:hAnsi="Times New Roman"/>
          <w:sz w:val="18"/>
        </w:rPr>
        <w:t>Supplementary Table S9. Likelihood ratios and prevalence-adjusted NPV</w:t>
      </w:r>
    </w:p>
    <w:p w14:paraId="71C491DB" w14:textId="77777777" w:rsidR="00E24B7B" w:rsidRDefault="00000000">
      <w:r>
        <w:br w:type="page"/>
      </w:r>
    </w:p>
    <w:p w14:paraId="1D1C7C24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lastRenderedPageBreak/>
        <w:t>Supplementary Figure S1. Scatter plots comparing AI-ECG BSI model and mortality model predictions.</w:t>
      </w:r>
    </w:p>
    <w:p w14:paraId="68D33509" w14:textId="77777777" w:rsidR="00E24B7B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658DD772" wp14:editId="0D8F2F92">
            <wp:extent cx="5029200" cy="195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12_SFig1_Scattor_Plo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690CF" w14:textId="77777777" w:rsidR="00E24B7B" w:rsidRDefault="00000000">
      <w:pPr>
        <w:spacing w:after="240" w:line="264" w:lineRule="auto"/>
      </w:pPr>
      <w:r>
        <w:rPr>
          <w:rFonts w:ascii="Times New Roman" w:eastAsia="Times New Roman" w:hAnsi="Times New Roman"/>
          <w:sz w:val="18"/>
        </w:rPr>
        <w:t>Spearman correlation coefficients across internal, TSGHTZB, and MIMIC-IV test sets.</w:t>
      </w:r>
    </w:p>
    <w:p w14:paraId="560E1650" w14:textId="77777777" w:rsidR="00E24B7B" w:rsidRDefault="00000000">
      <w:r>
        <w:br w:type="page"/>
      </w:r>
    </w:p>
    <w:p w14:paraId="757ACEFB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lastRenderedPageBreak/>
        <w:t>Supplementary Figure S2. Performance of the AI-ECG model in predicting 90-day all-cause mortality.</w:t>
      </w:r>
    </w:p>
    <w:p w14:paraId="03635DD0" w14:textId="77777777" w:rsidR="00E24B7B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4920B0E1" wp14:editId="062E9477">
            <wp:extent cx="5029200" cy="3771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12_SFig2_ROC_Curve_Mortality_Model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293F6" w14:textId="77777777" w:rsidR="00E24B7B" w:rsidRDefault="00000000">
      <w:pPr>
        <w:spacing w:after="240" w:line="264" w:lineRule="auto"/>
      </w:pPr>
      <w:r>
        <w:rPr>
          <w:rFonts w:ascii="Times New Roman" w:eastAsia="Times New Roman" w:hAnsi="Times New Roman"/>
          <w:sz w:val="18"/>
        </w:rPr>
        <w:t>AUC and PRAUC across three test sets.</w:t>
      </w:r>
    </w:p>
    <w:p w14:paraId="61C2FBF6" w14:textId="77777777" w:rsidR="00E24B7B" w:rsidRDefault="00000000">
      <w:r>
        <w:br w:type="page"/>
      </w:r>
    </w:p>
    <w:p w14:paraId="10490408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t>Supplementary Figure S3. Discrimination of each pathogen class versus other patients (one-vs-rest) by the primary BSI risk score, across the full test cohort.</w:t>
      </w:r>
    </w:p>
    <w:p w14:paraId="5C2C5D74" w14:textId="77777777" w:rsidR="00E24B7B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44023BD9" wp14:editId="24BECA87">
            <wp:extent cx="5029200" cy="7543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12_SFig3_ROC_Curve_Subgroup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A0DF9" w14:textId="77777777" w:rsidR="00E24B7B" w:rsidRDefault="00000000">
      <w:pPr>
        <w:spacing w:after="240" w:line="264" w:lineRule="auto"/>
      </w:pPr>
      <w:r>
        <w:rPr>
          <w:rFonts w:ascii="Times New Roman" w:eastAsia="Times New Roman" w:hAnsi="Times New Roman"/>
          <w:sz w:val="18"/>
        </w:rPr>
        <w:t>Because the comparator is predominantly culture-negative, these values reflect overall BSI detection rather than discrimination between pathogen classes; pathogen-specific prediction would require a dedicated multi-class model.</w:t>
      </w:r>
    </w:p>
    <w:p w14:paraId="75C6D355" w14:textId="77777777" w:rsidR="00E24B7B" w:rsidRDefault="00000000">
      <w:r>
        <w:br w:type="page"/>
      </w:r>
    </w:p>
    <w:p w14:paraId="67A667D3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lastRenderedPageBreak/>
        <w:t>Supplementary Figure S4. Calibration curves.</w:t>
      </w:r>
    </w:p>
    <w:p w14:paraId="75EA04E8" w14:textId="77777777" w:rsidR="00E24B7B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466C5696" wp14:editId="4542A583">
            <wp:extent cx="5029200" cy="30175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12_SFig4_Calibration_Curv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B30C4" w14:textId="77777777" w:rsidR="00E24B7B" w:rsidRDefault="00000000">
      <w:pPr>
        <w:spacing w:after="240" w:line="264" w:lineRule="auto"/>
      </w:pPr>
      <w:r>
        <w:rPr>
          <w:rFonts w:ascii="Times New Roman" w:eastAsia="Times New Roman" w:hAnsi="Times New Roman"/>
          <w:sz w:val="18"/>
        </w:rPr>
        <w:t>Predicted vs. observed BSI probability in internal and TSGHTZB sets. Dashed line = perfect calibration.</w:t>
      </w:r>
    </w:p>
    <w:p w14:paraId="671AAC0A" w14:textId="77777777" w:rsidR="00E24B7B" w:rsidRDefault="00000000">
      <w:r>
        <w:br w:type="page"/>
      </w:r>
    </w:p>
    <w:p w14:paraId="0546D780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lastRenderedPageBreak/>
        <w:t>Supplementary Figure S5. Decision curve analysis.</w:t>
      </w:r>
    </w:p>
    <w:p w14:paraId="09C5F124" w14:textId="77777777" w:rsidR="00E24B7B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28D47772" wp14:editId="79F7169E">
            <wp:extent cx="5029200" cy="210083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12_SFig5_Decision_Curv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00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0A8EE" w14:textId="77777777" w:rsidR="00E24B7B" w:rsidRDefault="00000000">
      <w:pPr>
        <w:spacing w:after="240" w:line="264" w:lineRule="auto"/>
      </w:pPr>
      <w:r>
        <w:rPr>
          <w:rFonts w:ascii="Times New Roman" w:eastAsia="Times New Roman" w:hAnsi="Times New Roman"/>
          <w:sz w:val="18"/>
        </w:rPr>
        <w:t>Net benefit of the AI-ECG model versus heart rate alone and the conventional treat-all and treat-none reference strategies, across the clinically relevant range of threshold probabilities near the observed prevalence (internal test set 2.2%, external test set 2.0%). The dotted vertical line marks the cohort BSI prevalence.</w:t>
      </w:r>
    </w:p>
    <w:p w14:paraId="3F1D6470" w14:textId="77777777" w:rsidR="00E24B7B" w:rsidRDefault="00000000">
      <w:r>
        <w:br w:type="page"/>
      </w:r>
    </w:p>
    <w:p w14:paraId="65A2FC72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t>Supplementary Table S1. Demographic and clinical characteristics, internal test set, stratified by AI-ECG risk.</w:t>
      </w:r>
    </w:p>
    <w:tbl>
      <w:tblPr>
        <w:tblW w:w="5000" w:type="pct"/>
        <w:jc w:val="center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14"/>
        <w:gridCol w:w="2038"/>
        <w:gridCol w:w="2038"/>
        <w:gridCol w:w="2038"/>
        <w:gridCol w:w="2038"/>
      </w:tblGrid>
      <w:tr w:rsidR="00A71A45" w:rsidRPr="00B01152" w14:paraId="05157A74" w14:textId="77777777" w:rsidTr="00B136EF">
        <w:trPr>
          <w:tblHeader/>
          <w:jc w:val="center"/>
        </w:trPr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01EB33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b/>
                <w:sz w:val="14"/>
                <w:szCs w:val="20"/>
              </w:rPr>
              <w:t>Variable</w:t>
            </w:r>
          </w:p>
        </w:tc>
        <w:tc>
          <w:tcPr>
            <w:tcW w:w="19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A8A864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b/>
                <w:sz w:val="14"/>
                <w:szCs w:val="20"/>
              </w:rPr>
              <w:t>Low risk</w:t>
            </w:r>
          </w:p>
        </w:tc>
        <w:tc>
          <w:tcPr>
            <w:tcW w:w="19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50EC41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b/>
                <w:sz w:val="14"/>
                <w:szCs w:val="20"/>
              </w:rPr>
              <w:t>Medium risk</w:t>
            </w:r>
          </w:p>
        </w:tc>
        <w:tc>
          <w:tcPr>
            <w:tcW w:w="19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84510F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b/>
                <w:sz w:val="14"/>
                <w:szCs w:val="20"/>
              </w:rPr>
              <w:t>High risk</w:t>
            </w:r>
          </w:p>
        </w:tc>
        <w:tc>
          <w:tcPr>
            <w:tcW w:w="19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265EF4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b/>
                <w:sz w:val="14"/>
                <w:szCs w:val="20"/>
              </w:rPr>
              <w:t>P value</w:t>
            </w:r>
          </w:p>
        </w:tc>
      </w:tr>
      <w:tr w:rsidR="00A71A45" w:rsidRPr="00B01152" w14:paraId="6A6466D8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077661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Age, years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553098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51.1 ± 16.8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360A63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66.4 ± 17.2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3969A2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74.6 ± 14.9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963462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41207AB0" w14:textId="77777777" w:rsidTr="00B136EF">
        <w:trPr>
          <w:trHeight w:val="94"/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CA651B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Sex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958137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8B14F7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B0167C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5B42DA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14BD0AF3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0F9572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Female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E4F247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6292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51.5%)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2F9304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3867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48.9%)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27D8CC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875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41.9%)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B4C381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551E4181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59D303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Male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00DF8D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5923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48.5%)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8CE64E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4036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51.1%)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6C467B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1212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58.1%)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D8B82C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38635CB5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C3E3AF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qSOFA</w:t>
            </w:r>
            <w:proofErr w:type="spellEnd"/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, points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0260AD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0.1 ± 0.3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43BE36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0.3 ± 0.6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E51700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0.7 ± 0.8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B03EBB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6B4805E4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E85E40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Emergency triage level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B749691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C0FFEF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2743B3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5CF5A1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75C18098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16E4F4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5A387D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327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2.7%)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35D0B4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976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12.3%)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945332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654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31.3%)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487BC9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28338A89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6F385D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D2060E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2843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23.3%)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3EF863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2886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36.5%)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CBDBBD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954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45.7%)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B9991B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1AD6A95F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567F90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3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689053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8739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71.5%)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F75B844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3934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49.8%)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2AC2C6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471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22.6%)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7EF700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079EEB91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82C6A58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4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F87ABA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301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2.5%)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88F35B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105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1.3%)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ECD655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0.4%)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E7406A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6EC32A8A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BFD0F8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5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C0BC3F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0283FE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8E8F94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26CE3F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42598603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43E04D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Heart rate, bpm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00C0AA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81.6 ± 16.1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EC19AA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92.9 ± 23.3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6A17BC7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108.8 ± 25.9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C166626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4E31C118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77027E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Respiratory rate, breaths/min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A7A113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18.7 ± 3.5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DB0EC6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19.4 ± 5.6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D2969A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20.9 ± 5.8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E84F29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67193F87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C99074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Systolic blood pressure, mmHg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B7B113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136.1 ± 25.2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10CDD7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141.8 ± 29.5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B583D3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134.0 ± 29.5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8F2F60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32A15FC1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A70D16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Diastolic blood pressure, mmHg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ADE62C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80.4 ± 15.7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641661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80.1 ± 18.7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BB4C65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78.2 ± 20.0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6EB1A1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19449E9A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E34919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Body temperature, °C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784A0D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36.5 ± 0.8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BDCC3C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36.8 ± 1.1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50E8D9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37.1 ± 1.3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019883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304152FE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853895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bCs/>
                <w:sz w:val="14"/>
                <w:szCs w:val="20"/>
              </w:rPr>
              <w:t>Blood culture result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D8A6A3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7D9474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B50CCB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B89BE3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5E4B628E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19B9F5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Fungus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FFC41E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10 (0.1%)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D13A41E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38 (0.5%)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8BD7FB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22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1.1%)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E9A428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2EFA794A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10BB21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Fungus + Gram-negative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E796C9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9086E5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93CBEB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02D036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616BEBD5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0BE545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Fungus + Gram-negative + Gram-positive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5677CA8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2604C9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925EFF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533D85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6A54CA2F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434664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Fungus + Gram-positive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F00F0C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7DF2FC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3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DF8D28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0.1%)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3708AE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5036901E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DD5825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Gram-negative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8B72F0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213 (1.7%)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C51F75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470 (5.9%)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547CCF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239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11.5%)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44D89B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660F6024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43B89F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Gram-negative + Gram-positive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0E90EA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20 (0.2%)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DA4316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42 (0.5%)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4C9A48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1.4%)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C7763B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1522C4EE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E83372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Gram-positive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0A8B9C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67 (0.5%)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9AA86D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246 (3.1%)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3C45C0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131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6.3%)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4C9CA9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748835A6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E9A783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Negative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BCC509D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sz w:val="14"/>
                <w:szCs w:val="20"/>
              </w:rPr>
              <w:t>11904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 w:hint="eastAsia"/>
                <w:sz w:val="14"/>
                <w:szCs w:val="20"/>
              </w:rPr>
              <w:t>97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.</w:t>
            </w:r>
            <w:r>
              <w:rPr>
                <w:rFonts w:ascii="Times New Roman" w:eastAsia="Times New Roman" w:hAnsi="Times New Roman" w:cs="Times New Roman" w:hint="eastAsia"/>
                <w:sz w:val="14"/>
                <w:szCs w:val="20"/>
              </w:rPr>
              <w:t>4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3D72F9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sz w:val="14"/>
                <w:szCs w:val="20"/>
              </w:rPr>
              <w:t>7103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 w:hint="eastAsia"/>
                <w:sz w:val="14"/>
                <w:szCs w:val="20"/>
              </w:rPr>
              <w:t>89.9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708F6D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sz w:val="14"/>
                <w:szCs w:val="20"/>
              </w:rPr>
              <w:t>1661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>
              <w:rPr>
                <w:rFonts w:ascii="Times New Roman" w:eastAsia="Times New Roman" w:hAnsi="Times New Roman" w:cs="Times New Roman" w:hint="eastAsia"/>
                <w:sz w:val="14"/>
                <w:szCs w:val="20"/>
              </w:rPr>
              <w:t>79.6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3B21B1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136EA6BC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7F23E8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None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9145D6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30F251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CCE386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4133D7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77A6B0FB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FF4142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bCs/>
                <w:sz w:val="14"/>
                <w:szCs w:val="20"/>
              </w:rPr>
              <w:t>Comorbidity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7734FA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3836E8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9F4531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2E1348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B01152" w14:paraId="6CBE706B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E09447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Myocardial infarction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A554D0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237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1.9%)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BB3946B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467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5.9%)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519315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169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8.1%)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8447AD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26858C77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EB9807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Congestive heart failure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3438C2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312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7239BF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1094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13.8%)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1E5B56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566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27.1%)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A2AAF7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78FFA48E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6A8513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Peripheral vascular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800D8E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342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94F0E7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639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8.1%)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EAB279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220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10.5%)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CD9CA7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50922666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58DF64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Cerebrovascular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67E9FEC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1516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12.4%)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C9FB19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1943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24.6%)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B2E12B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626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30.0%)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752ED2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7297C1BD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D7F76A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Dementia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3B679D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357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2.9%)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02BE29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845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10.7%)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4619B7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413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19.8%)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554DD5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39BA3A58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F055F0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Chronic pulmonary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1DAFC8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1328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10.9%)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ED4C19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1479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18.7%)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8D16A7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535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25.6%)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AAC7A8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76F18685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85D124B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Rheumatic disease or connective tissue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93964B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320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9F9AD49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214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2.7%)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79B4E5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52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2.5%)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1D73D6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0.844</w:t>
            </w:r>
          </w:p>
        </w:tc>
      </w:tr>
      <w:tr w:rsidR="00A71A45" w:rsidRPr="00B01152" w14:paraId="0787DCB8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C29BD9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Peptic ulcer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E18D4E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2027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16.6%)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5F6A907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1718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21.7%)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BF3428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504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24.1%)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40A85D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595ED712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2B25BC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Mild liver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535B30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1414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11.6%)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DE1BA1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1378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17.4%)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D6BC24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424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20.3%)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FC83F4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405725B5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66DA68E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Diabetes without chronic complications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9B6755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1353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11.1%)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D8083C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2248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28.4%)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C0D644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769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36.8%)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E8BAE9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2B4695CE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4E58E8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Diabetes with chronic complications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B5B969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520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4.3%)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96D806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1136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14.4%)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EA20B8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380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18.2%)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F5F1B6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5983CC42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EDCCA3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Hemiplegia or paraplegia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D06A06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164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1.3%)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8035BA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347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4.4%)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9A20B2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124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5.9%)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E53DE2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474DA527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3FF2EB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Renal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56ED47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585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4.8%)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D97058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1319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16.7%)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B7B89C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496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23.8%)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320DF1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7785EAD7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C59167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Any malignancy Including leukemia and lymphoma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67D3CB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818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6.7%)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34CF24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1328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16.8%)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FB5AFD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547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26.2%)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DE7D9E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62C285C0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8F2F24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Moderate or severe liver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106DCA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96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50C5EF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152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1.9%)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C63CDC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79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3.8%)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19B85C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121F9791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91F8E8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Metastatic solid tumor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06B42D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229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1.9%)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3AD84C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462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5.8%)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88AD0E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255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12.2%)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63DCF0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B01152" w14:paraId="766A45C1" w14:textId="77777777" w:rsidTr="00B136EF">
        <w:trPr>
          <w:jc w:val="center"/>
        </w:trPr>
        <w:tc>
          <w:tcPr>
            <w:tcW w:w="1984" w:type="dxa"/>
            <w:tcBorders>
              <w:bottom w:val="single" w:sz="4" w:space="0" w:color="auto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0647E1" w14:textId="77777777" w:rsidR="00000000" w:rsidRPr="00B01152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Acquired immune deficiency syndrome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005F68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11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0.1%)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58EE93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0.1%)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C5566B" w14:textId="77777777" w:rsidR="00000000" w:rsidRPr="00B01152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14"/>
                <w:szCs w:val="20"/>
              </w:rPr>
              <w:t>(</w:t>
            </w: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0.1%)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91189E" w14:textId="77777777" w:rsidR="00000000" w:rsidRPr="00B01152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1152">
              <w:rPr>
                <w:rFonts w:ascii="Times New Roman" w:eastAsia="Times New Roman" w:hAnsi="Times New Roman" w:cs="Times New Roman"/>
                <w:sz w:val="14"/>
                <w:szCs w:val="20"/>
              </w:rPr>
              <w:t>0.724#</w:t>
            </w:r>
          </w:p>
        </w:tc>
      </w:tr>
    </w:tbl>
    <w:p w14:paraId="79489821" w14:textId="77777777" w:rsidR="00E24B7B" w:rsidRDefault="00000000">
      <w:pPr>
        <w:spacing w:after="240" w:line="264" w:lineRule="auto"/>
      </w:pPr>
      <w:r>
        <w:rPr>
          <w:rFonts w:ascii="Times New Roman" w:eastAsia="Times New Roman" w:hAnsi="Times New Roman"/>
          <w:i/>
          <w:sz w:val="16"/>
        </w:rPr>
        <w:t>Notes: Triage level: Taiwan 5-level (1 = most urgent). 'Not available' = organism not reported. Internal test set.</w:t>
      </w:r>
    </w:p>
    <w:p w14:paraId="71012159" w14:textId="77777777" w:rsidR="00E24B7B" w:rsidRDefault="00000000">
      <w:r>
        <w:br w:type="page"/>
      </w:r>
    </w:p>
    <w:p w14:paraId="53693ACF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t>Supplementary Table S2. Demographic and clinical characteristics, external test set, stratified by AI-ECG risk.</w:t>
      </w:r>
    </w:p>
    <w:tbl>
      <w:tblPr>
        <w:tblW w:w="5000" w:type="pct"/>
        <w:jc w:val="center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14"/>
        <w:gridCol w:w="2038"/>
        <w:gridCol w:w="2038"/>
        <w:gridCol w:w="2038"/>
        <w:gridCol w:w="2038"/>
      </w:tblGrid>
      <w:tr w:rsidR="00A71A45" w:rsidRPr="00363F77" w14:paraId="51453826" w14:textId="77777777" w:rsidTr="00B136EF">
        <w:trPr>
          <w:tblHeader/>
          <w:jc w:val="center"/>
        </w:trPr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93157D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b/>
                <w:sz w:val="14"/>
                <w:szCs w:val="20"/>
              </w:rPr>
              <w:t>Variable</w:t>
            </w:r>
          </w:p>
        </w:tc>
        <w:tc>
          <w:tcPr>
            <w:tcW w:w="19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AC598B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b/>
                <w:sz w:val="14"/>
                <w:szCs w:val="20"/>
              </w:rPr>
              <w:t>Low risk</w:t>
            </w:r>
          </w:p>
        </w:tc>
        <w:tc>
          <w:tcPr>
            <w:tcW w:w="19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F3EA28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b/>
                <w:sz w:val="14"/>
                <w:szCs w:val="20"/>
              </w:rPr>
              <w:t>Medium risk</w:t>
            </w:r>
          </w:p>
        </w:tc>
        <w:tc>
          <w:tcPr>
            <w:tcW w:w="19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6AF75F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b/>
                <w:sz w:val="14"/>
                <w:szCs w:val="20"/>
              </w:rPr>
              <w:t>High risk</w:t>
            </w:r>
          </w:p>
        </w:tc>
        <w:tc>
          <w:tcPr>
            <w:tcW w:w="19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A0AE23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b/>
                <w:sz w:val="14"/>
                <w:szCs w:val="20"/>
              </w:rPr>
              <w:t>P value</w:t>
            </w:r>
          </w:p>
        </w:tc>
      </w:tr>
      <w:tr w:rsidR="00A71A45" w:rsidRPr="00363F77" w14:paraId="21F4A5EF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87F5ED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Age, years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F2630E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52.4 ± 18.6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CF07C0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70.6 ± 17.2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69074D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78.3 ± 14.0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49D170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17B22A9D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8E790C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Sex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C6962E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7C2DDE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F8583E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5E1E03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0542106C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19947D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Female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6255E0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6611 (51.4%)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88563BE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3865 (48.6%)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50430B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801 (42.0%)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28E0BA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11BFC0F8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7CB256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Male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D26270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6245 (48.6%)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172A51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4083 (51.4%)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BF5825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1104 (58.0%)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A53A70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57D0F311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5A9B40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qSOFA</w:t>
            </w:r>
            <w:proofErr w:type="spellEnd"/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, points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029FB9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0.1 ± 0.3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B63BE6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0.3 ± 0.6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24A92B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0.7 ± 0.8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7A9C75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233C6E13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09C6B8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Emergency triage level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19433B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3505BA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297B80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73A98D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3B3DC6B1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579F4C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8722FE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164 (1.3%)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5631D5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523 (6.6%)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C27DC4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380 (19.9%)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5F8353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462EEAD6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FC4F57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7C8AAF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2463 (19.2%)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E11964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2910 (36.6%)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97E58C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922 (48.4%)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4E0BFE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59040985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F3EC3C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3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BA8120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9931 (77.2%)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F8A5D5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4395 (55.3%)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FEA3EF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593 (31.1%)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E3F393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4B746AC1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EE1939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4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4A5461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293 (2.3%)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9401AE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117 (1.5%)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112E2D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10 (0.5%)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255680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42990E9B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304A80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A6E8EA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423FBC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3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93EA56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0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91B350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09258B1D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D2249B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Heart rate, bpm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D30F0D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82.1 ± 16.6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7F516CE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92.2 ± 23.6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788F57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107.3 ± 24.9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1FC06B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5BF73A4E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567A88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Respiratory rate, breaths/min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A76037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18.3 ± 4.5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22E94A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19.1 ± 3.6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5C6C6B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21.3 ± 5.2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B81B2C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09357F6B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849B94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Systolic blood pressure, mmHg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513D0F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138.3 ± 25.5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A01614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142.9 ± 29.4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7BEEDC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135.9 ± 30.2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872F7D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0CD76252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465D767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Diastolic blood pressure, mmHg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0578B7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76.6 ± 15.7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F4C658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75.0 ± 18.5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69EAD8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76.0 ± 20.9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63483F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01F5FA96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E39791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Body temperature, °C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3A5CDB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36.5 ± 0.8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092CD3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36.8 ± 1.0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0990BD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37.2 ± 1.3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0286B1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4967EFB2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9B0E81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bCs/>
                <w:sz w:val="14"/>
                <w:szCs w:val="20"/>
              </w:rPr>
              <w:t>Blood culture result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8845AD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5E5F463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DD3B14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F304230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35D01B29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636BB6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Fungus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27FC1D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16 (0.1%)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FF9398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37 (0.5%)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CDE464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16 (0.8%)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BFB6AE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6E4D0DCC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AEC798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Fungus + Gram-negative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2BC193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ADF672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D46FA4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 (0.1%)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CBECED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6CFBF7A9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1732D0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Fungus + Gram-negative + Gram-positive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051807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0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777C71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0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EDC1DC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0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32E159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2597B5E8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58F08E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Fungus + Gram-positive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112944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0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68D997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703F0F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 (0.1%)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300E0C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283DCC41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2A4D10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Gram-negative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DB391B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260 (2.0%)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2A6F91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535 (6.7%)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06CE57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221 (11.6%)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26B014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7DB3023D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D19D0C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Gram-negative + Gram-positive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82C17B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15 (0.1%)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4569A4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50 (0.6%)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F2B03E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23 (1.2%)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5FF125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0573E98D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69CA48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Gram-positive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820A32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98 (0.8%)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CDD210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254 (3.2%)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00AEF7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122 (6.4%)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451CEF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794C45C4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D368D7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Negative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B69D6CD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12466 (97.0%)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623005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7069 (88.9%)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D8F679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1520 (79.8%)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7464CF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1F83DAC8" w14:textId="77777777" w:rsidTr="00B136EF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1D77F8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None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906A64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0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4E5D8F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0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6831FC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0 (0.0%)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524DE9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188F4B90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6CFD4E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bCs/>
                <w:sz w:val="14"/>
                <w:szCs w:val="20"/>
              </w:rPr>
              <w:t>Comorbidity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3E5A3A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182216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FE0769E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334FF6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A45" w:rsidRPr="00363F77" w14:paraId="5D81783F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5299D2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Myocardial infarction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7E3E435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254 (2.0%)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B693B5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489 (6.2%)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4D410D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182 (9.6%)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C54F56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5746DB22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EEF934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Congestive heart failure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DB2472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481 (3.7%)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11FA1D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1478 (18.6%)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B4F610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584 (30.7%)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50A13F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35A4286B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517ABF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Peripheral vascular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DED198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538 (4.2%)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1B96C1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950 (12.0%)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73181E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255 (13.4%)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7124F8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689800C5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AF610B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Cerebrovascular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42ACA78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1905 (14.8%)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A657F3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2379 (29.9%)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88F6DF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738 (38.7%)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738A93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0B787E08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6262F7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Dementia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7B745A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611 (4.8%)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2B5345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1382 (17.4%)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266F36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586 (30.8%)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8528BC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0A1D6259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87A232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Chronic pulmonary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660EDC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2392 (18.6%)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54FEB0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2544 (32.0%)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BB8E04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751 (39.4%)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43EE65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1CE79651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52B904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Rheumatic disease or connective tissue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908946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554 (4.3%)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EF0C76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400 (5.0%)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BDD006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94 (4.9%)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E2691F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0.042</w:t>
            </w:r>
          </w:p>
        </w:tc>
      </w:tr>
      <w:tr w:rsidR="00A71A45" w:rsidRPr="00363F77" w14:paraId="39AB6291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7E62E9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Peptic ulcer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A57B68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2855 (22.2%)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7C1ADF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2381 (30.0%)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1FD1E7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655 (34.4%)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C44C2E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60148048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F1370E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Mild liver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DA00E3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2259 (17.6%)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60AE0C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2011 (25.3%)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C01FB4B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503 (26.4%)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124CAE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0C742872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8A3887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Diabetes without chronic complications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A75BE0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2025 (15.8%)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7C6921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2877 (36.2%)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D9FF24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856 (44.9%)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1DCDFD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19518D24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406678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Diabetes with chronic complications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A7E741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895 (7.0%)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5F8466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1658 (20.9%)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672A74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514 (27.0%)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D45F1C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02CB1592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A05AFE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Hemiplegia or paraplegia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CFB5F6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200 (1.6%)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848997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395 (5.0%)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9F3D00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169 (8.9%)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7F3E5FF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0A45E0E7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0742C7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Renal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99A3BC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870 (6.8%)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2B532A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1714 (21.6%)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22535D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517 (27.1%)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E50036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6DB5CA89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D1A3C2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Any malignancy Including leukemia and lymphoma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68418E7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1159 (9.0%)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BC1E13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1538 (19.4%)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DA95AB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526 (27.6%)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FACA800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44C5E7AB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27CEFF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Moderate or severe liver disease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3CF5C2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90 (0.7%)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AD0DAF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161 (2.0%)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F2D64F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49 (2.6%)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5143F1D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2B43909B" w14:textId="77777777" w:rsidTr="00B136EF">
        <w:trPr>
          <w:jc w:val="center"/>
        </w:trPr>
        <w:tc>
          <w:tcPr>
            <w:tcW w:w="1984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55646F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Metastatic solid tumor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FAE3F2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289 (2.2%)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078ADD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482 (6.1%)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6712DC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200 (10.5%)</w:t>
            </w:r>
          </w:p>
        </w:tc>
        <w:tc>
          <w:tcPr>
            <w:tcW w:w="191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4B3BD7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&lt;0.001</w:t>
            </w:r>
          </w:p>
        </w:tc>
      </w:tr>
      <w:tr w:rsidR="00A71A45" w:rsidRPr="00363F77" w14:paraId="0FDA202A" w14:textId="77777777" w:rsidTr="00B136EF">
        <w:trPr>
          <w:jc w:val="center"/>
        </w:trPr>
        <w:tc>
          <w:tcPr>
            <w:tcW w:w="1984" w:type="dxa"/>
            <w:tcBorders>
              <w:bottom w:val="single" w:sz="4" w:space="0" w:color="auto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0F5A8E" w14:textId="77777777" w:rsidR="00000000" w:rsidRPr="00363F77" w:rsidRDefault="00000000" w:rsidP="00B13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Acquired immune deficiency syndrome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11E808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29 (0.2%)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FF4AB5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5 (0.1%)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E1C663" w14:textId="77777777" w:rsidR="00000000" w:rsidRPr="00363F77" w:rsidRDefault="00000000" w:rsidP="00B136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1 (0.1%)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F84AC7E" w14:textId="77777777" w:rsidR="00000000" w:rsidRPr="00363F77" w:rsidRDefault="00000000" w:rsidP="00B13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F77">
              <w:rPr>
                <w:rFonts w:ascii="Times New Roman" w:eastAsia="Times New Roman" w:hAnsi="Times New Roman" w:cs="Times New Roman"/>
                <w:sz w:val="14"/>
                <w:szCs w:val="20"/>
              </w:rPr>
              <w:t>0.007#</w:t>
            </w:r>
          </w:p>
        </w:tc>
      </w:tr>
    </w:tbl>
    <w:p w14:paraId="6602ED94" w14:textId="77777777" w:rsidR="00E24B7B" w:rsidRDefault="00000000">
      <w:pPr>
        <w:spacing w:after="240" w:line="264" w:lineRule="auto"/>
      </w:pPr>
      <w:r>
        <w:rPr>
          <w:rFonts w:ascii="Times New Roman" w:eastAsia="Times New Roman" w:hAnsi="Times New Roman"/>
          <w:i/>
          <w:sz w:val="16"/>
        </w:rPr>
        <w:t>Notes: Triage level: Taiwan 5-level (1 = most urgent). 'Not available' = organism not reported. External test set.</w:t>
      </w:r>
    </w:p>
    <w:p w14:paraId="19613955" w14:textId="77777777" w:rsidR="00E24B7B" w:rsidRDefault="00000000">
      <w:r>
        <w:br w:type="page"/>
      </w:r>
    </w:p>
    <w:p w14:paraId="41E1414E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t>Supplementary Table S3. Demographic and clinical characteristics, MIMIC-IV test set, stratified by AI-ECG risk.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b/>
                <w:sz w:val="14"/>
              </w:rPr>
              <w:t>Variable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b/>
                <w:sz w:val="14"/>
              </w:rPr>
              <w:t>Low risk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b/>
                <w:sz w:val="14"/>
              </w:rPr>
              <w:t>Medium risk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b/>
                <w:sz w:val="14"/>
              </w:rPr>
              <w:t>High risk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b/>
                <w:sz w:val="14"/>
              </w:rPr>
              <w:t>P value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Age, years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50.5 ± 18.5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67.0 ± 17.6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72.1 ± 14.9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Sex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Female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19187 (56.0%)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13703 (50.4%)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2399 (43.8%)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Male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15062 (44.0%)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13505 (49.6%)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3081 (56.2%)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qSOFA, points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0.1 ± 0.3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0.2 ± 0.4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0.4 ± 0.5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Emergency triage level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2378 (6.9%)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4867 (17.9%)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1913 (34.9%)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15945 (46.6%)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15456 (56.8%)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2809 (51.3%)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3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15789 (46.1%)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6861 (25.2%)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755 (13.8%)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4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135 (0.4%)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22 (0.1%)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3 (0.1%)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5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 (0.0%)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 (0.0%)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0 (0.0%)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Heart rate, bpm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80.2 ± 16.3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88.8 ± 22.9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103.9 ± 25.0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Respiratory rate, breaths/min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17.5 ± 2.2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18.3 ± 3.3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19.5 ± 4.6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Systolic blood pressure, mmHg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136.1 ± 23.0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137.4 ± 27.1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129.2 ± 27.3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Diastolic blood pressure, mmHg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78.3 ± 14.7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75.9 ± 17.1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75.0 ± 18.0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Body temperature, °C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36.7 ± 0.5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36.7 ± 0.6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36.8 ± 0.7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Blood culture result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Positive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780 (2.3%)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2065 (7.6%)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634 (11.6%)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Negative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33469 (97.7%)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25143 (92.4%)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4846 (88.4%)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Comorbidity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Myocardial infarction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1789 (5.2%)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4324 (15.9%)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1226 (22.4%)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Congestive heart failure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1436 (4.2%)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6499 (23.9%)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2253 (41.1%)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Peripheral vascular disease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1198 (3.5%)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2987 (11.0%)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833 (15.2%)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Cerebrovascular disease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1928 (5.6%)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3706 (13.6%)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878 (16.0%)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Dementia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406 (1.2%)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1290 (4.7%)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337 (6.1%)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Chronic pulmonary disease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4275 (12.5%)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6090 (22.4%)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1551 (28.3%)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Rheumatic disease or connective tissue disease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610 (1.8%)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938 (3.4%)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245 (4.5%)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Peptic ulcer disease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468 (1.4%)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903 (3.3%)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261 (4.8%)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Mild liver disease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1559 (4.6%)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2460 (9.0%)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707 (12.9%)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Diabetes without chronic complications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4494 (13.1%)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7462 (27.4%)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1767 (32.2%)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Diabetes with chronic complications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1120 (3.3%)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2902 (10.7%)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714 (13.0%)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Hemiplegia or paraplegia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484 (1.4%)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903 (3.3%)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235 (4.3%)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Renal disease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1814 (5.3%)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5697 (20.9%)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1543 (28.2%)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Any malignancy Including leukemia and lymphoma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2050 (6.0%)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3721 (13.7%)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1090 (19.9%)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Moderate or severe liver disease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384 (1.1%)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853 (3.1%)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277 (5.1%)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Metastatic solid tumor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779 (2.3%)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1572 (5.8%)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550 (10.0%)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&lt;0.001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Acquired immune deficiency syndrome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287 (0.8%)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217 (0.8%)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44 (0.8%)</w:t>
            </w:r>
          </w:p>
        </w:tc>
        <w:tc>
          <w:tcPr>
            <w:tcW w:type="dxa" w:w="2041"/>
          </w:tcPr>
          <w:p>
            <w:r/>
            <w:r>
              <w:rPr>
                <w:rFonts w:ascii="Times New Roman" w:hAnsi="Times New Roman"/>
                <w:sz w:val="14"/>
              </w:rPr>
              <w:t>0.851</w:t>
            </w:r>
          </w:p>
        </w:tc>
      </w:tr>
    </w:tbl>
    <w:p w14:paraId="3E109C30" w14:textId="77777777" w:rsidR="00E24B7B" w:rsidRDefault="00000000">
      <w:pPr>
        <w:spacing w:after="240" w:line="264" w:lineRule="auto"/>
      </w:pPr>
      <w:r>
        <w:rPr>
          <w:rFonts w:ascii="Times New Roman" w:eastAsia="Times New Roman" w:hAnsi="Times New Roman"/>
          <w:i/>
          <w:sz w:val="16"/>
        </w:rPr>
        <w:t>Notes: Risk tiers from the AI-ECG bloodstream-infection score. Emergency triage level uses the US Emergency Severity Index (1 = most urgent). qSOFA for MIMIC-IV is based on respiratory rate and systolic blood pressure only (Glasgow Coma Scale unavailable). Blood cultures were recorded as positive or negative without organism-level adjudication. Continuous variables, mean ± SD; categorical, n (%). MIMIC-IV test set. The positive blood-culture row reflects any positive blood-culture flag (overall 5.2%) and is broader than the 1.8% 24-hour BSI endpoint used for model evaluation.</w:t>
      </w:r>
    </w:p>
    <w:p w14:paraId="1E44A85E" w14:textId="77777777" w:rsidR="00E24B7B" w:rsidRDefault="00000000">
      <w:r>
        <w:br w:type="page"/>
      </w:r>
    </w:p>
    <w:p w14:paraId="4AFBEA33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lastRenderedPageBreak/>
        <w:t>Supplementary Table S4. TRIPOD Checklist for Prediction Model Development and Validation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9"/>
        <w:gridCol w:w="2540"/>
        <w:gridCol w:w="2577"/>
        <w:gridCol w:w="2580"/>
      </w:tblGrid>
      <w:tr w:rsidR="000054EE" w14:paraId="14343F72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548E61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14"/>
              </w:rPr>
              <w:t>Section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E6EFA2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14"/>
              </w:rPr>
              <w:t>Item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84163C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14"/>
              </w:rPr>
              <w:t>Checklist Item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B55C35B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14"/>
              </w:rPr>
              <w:t>Page</w:t>
            </w:r>
          </w:p>
        </w:tc>
      </w:tr>
      <w:tr w:rsidR="000054EE" w14:paraId="36B12F7A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72B389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Title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5E4E4F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1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EF07BE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Identify the study as developing and/or validating a multivariable prediction model, the target population, and the outcome to be predicted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08ABBD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Title page</w:t>
            </w:r>
          </w:p>
        </w:tc>
      </w:tr>
      <w:tr w:rsidR="000054EE" w14:paraId="3E8B1B7F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6772F8A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Abstract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67A144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2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A28944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Provide a summary of objectives, study design, setting, participants, sample size, predictors, outcome, statistical analysis, results, and conclusions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78CE32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Abstract</w:t>
            </w:r>
          </w:p>
        </w:tc>
      </w:tr>
      <w:tr w:rsidR="000054EE" w14:paraId="018E8DD3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AAADFA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Introduction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E13DAB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3a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0787B0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Explain the medical context and rationale for developing or validating the multivariable prediction model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ED381E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Introduction, para 1-2</w:t>
            </w:r>
          </w:p>
        </w:tc>
      </w:tr>
      <w:tr w:rsidR="000054EE" w14:paraId="53A5DED9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E39099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Introduction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2F1939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3b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E76444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Specify the objectives, including whether the study describes the development or validation of the model or both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FE6642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Introduction, para 3-4</w:t>
            </w:r>
          </w:p>
        </w:tc>
      </w:tr>
      <w:tr w:rsidR="000054EE" w14:paraId="04AF3B0C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6301D4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49D111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4a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E67C12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Describe the study design or source of data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32CB55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Methods, Study Design</w:t>
            </w:r>
          </w:p>
        </w:tc>
      </w:tr>
      <w:tr w:rsidR="000054EE" w14:paraId="437C65A8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78F38E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247145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4b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1A2003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Specify the key study dates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4AD28F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Methods, Study Design</w:t>
            </w:r>
          </w:p>
        </w:tc>
      </w:tr>
      <w:tr w:rsidR="000054EE" w14:paraId="20C3551F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54B03B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F984E0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5a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6B5D1F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Specify key elements of the study setting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E01646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Methods, Study Design</w:t>
            </w:r>
          </w:p>
        </w:tc>
      </w:tr>
      <w:tr w:rsidR="000054EE" w14:paraId="0FA1D849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A54A00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149D44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5b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E22D8C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Describe eligibility criteria for participants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FA0BC2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Methods, Patient Cohorts</w:t>
            </w:r>
          </w:p>
        </w:tc>
      </w:tr>
      <w:tr w:rsidR="000054EE" w14:paraId="6BA9E8C1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F334F2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430C3E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6a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3988AF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Clearly define the outcome that is predicted by the prediction model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3D531B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Methods, Patient Cohorts (BSI definition)</w:t>
            </w:r>
          </w:p>
        </w:tc>
      </w:tr>
      <w:tr w:rsidR="000054EE" w14:paraId="24231C98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532BEC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C8E7A8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6b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6BF9A9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Report any actions to blind assessment of the outcome to be predicted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55BC3B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Not applicable (retrospective)</w:t>
            </w:r>
          </w:p>
        </w:tc>
      </w:tr>
      <w:tr w:rsidR="000054EE" w14:paraId="2CF0CCF1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0CC21E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7FDD00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7a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4E3C9D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Clearly define all predictors used in developing the multivariable prediction model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78375D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Methods, DL Model Architecture; Supp Table S5</w:t>
            </w:r>
          </w:p>
        </w:tc>
      </w:tr>
      <w:tr w:rsidR="000054EE" w14:paraId="71BE7FBE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F31171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F0F85E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7b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74D93B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Report any actions to blind assessment of predictors for the outcome and other predictors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BE9747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Not applicable (automated ECG)</w:t>
            </w:r>
          </w:p>
        </w:tc>
      </w:tr>
      <w:tr w:rsidR="000054EE" w14:paraId="7E388FB6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378D17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2C88F1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8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8E5A5F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Explain how the study size was arrived at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2DB9AB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Methods, Patient Cohorts (cohort sizes)</w:t>
            </w:r>
          </w:p>
        </w:tc>
      </w:tr>
      <w:tr w:rsidR="000054EE" w14:paraId="4E3FF96D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EE3AF7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590DB2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9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6F11B8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Describe how missing data were handled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07B88F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Methods, Patient Cohorts (multiple imputation)</w:t>
            </w:r>
          </w:p>
        </w:tc>
      </w:tr>
      <w:tr w:rsidR="000054EE" w14:paraId="7ED7EAE9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509C46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87DC75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10a-d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2142BC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Describe how predictors were handled in the analyses; specify type of model, all model-building procedures, and method for internal validation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09CBAF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Methods, DL Model; Statistical Analysis</w:t>
            </w:r>
          </w:p>
        </w:tc>
      </w:tr>
      <w:tr w:rsidR="000054EE" w14:paraId="35A75FBF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C5BF3E4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A8466C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11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A279D9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Provide details on how risk groups were created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2940CA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Methods, Statistical Analysis (risk categories)</w:t>
            </w:r>
          </w:p>
        </w:tc>
      </w:tr>
      <w:tr w:rsidR="000054EE" w14:paraId="1FC6CD1F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10FE79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Results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FF4ADD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13a-b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E7D122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Describe the flow of participants through the study and participant characteristics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4EDED1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Results, Patient Characteristics; Fig. 1</w:t>
            </w:r>
          </w:p>
        </w:tc>
      </w:tr>
      <w:tr w:rsidR="000054EE" w14:paraId="18EBE343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B7E5E5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Results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FB4E8B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14a-b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0107DC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Specify number of participants and outcome events; report unadjusted association between candidate predictors and outcome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9742D5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Results, AI-ECG Model Performance; Table 1</w:t>
            </w:r>
          </w:p>
        </w:tc>
      </w:tr>
      <w:tr w:rsidR="000054EE" w14:paraId="483CD1D9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7A3AD0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Results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2EFD40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15a-b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B66939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Present the full prediction model to allow predictions for individuals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EF9BE8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Methods, DL Model (code available at GitHub)</w:t>
            </w:r>
          </w:p>
        </w:tc>
      </w:tr>
      <w:tr w:rsidR="000054EE" w14:paraId="14911CC3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4B3F02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Results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BD0D03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16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A90B67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Report performance measures for the prediction model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2723B1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Results, AI-ECG Model Performance; Supp Table S6</w:t>
            </w:r>
          </w:p>
        </w:tc>
      </w:tr>
      <w:tr w:rsidR="000054EE" w14:paraId="091A6B52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09280E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Discussion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5251F0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18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1E4E83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Discuss any limitations of the study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B6C7C4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Discussion, Limitations</w:t>
            </w:r>
          </w:p>
        </w:tc>
      </w:tr>
      <w:tr w:rsidR="000054EE" w14:paraId="7A88080F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93D658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Discussion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92D898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19a-b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8C04E7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Provide overall interpretation of the results; discuss implications for clinical use and future research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A4E8E9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Discussion, Clinical Utility; Conclusions</w:t>
            </w:r>
          </w:p>
        </w:tc>
      </w:tr>
      <w:tr w:rsidR="000054EE" w14:paraId="027D7887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AA2A59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Other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277EC2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20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36BDEE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Provide information about the availability of supplementary resources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212B0D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Supplementary Material; Data Availability</w:t>
            </w:r>
          </w:p>
        </w:tc>
      </w:tr>
      <w:tr w:rsidR="000054EE" w14:paraId="1DE27C92" w14:textId="77777777" w:rsidTr="00316DDE">
        <w:trPr>
          <w:jc w:val="center"/>
        </w:trPr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858E9D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Other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BCE005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21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EB1F80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Provide the source of funding and the role of the funders</w:t>
            </w:r>
          </w:p>
        </w:tc>
        <w:tc>
          <w:tcPr>
            <w:tcW w:w="2700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241264" w14:textId="77777777" w:rsidR="0000000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4"/>
              </w:rPr>
              <w:t>Declarations, Funding</w:t>
            </w:r>
          </w:p>
        </w:tc>
      </w:tr>
    </w:tbl>
    <w:p w14:paraId="14D19DBF" w14:textId="77777777" w:rsidR="00E24B7B" w:rsidRDefault="00000000">
      <w:r>
        <w:br w:type="page"/>
      </w:r>
    </w:p>
    <w:p w14:paraId="489D5E69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lastRenderedPageBreak/>
        <w:t>Supplementary Table S5. Complete list of ECG features</w:t>
      </w:r>
    </w:p>
    <w:p w14:paraId="583BBA8F" w14:textId="77777777" w:rsidR="00E24B7B" w:rsidRDefault="00000000">
      <w:pPr>
        <w:spacing w:after="80" w:line="264" w:lineRule="auto"/>
      </w:pPr>
      <w:r>
        <w:rPr>
          <w:rFonts w:ascii="Times New Roman" w:eastAsia="Times New Roman" w:hAnsi="Times New Roman"/>
          <w:b/>
          <w:sz w:val="18"/>
        </w:rPr>
        <w:t>8 Quantitative ECG Measurements</w:t>
      </w: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5133"/>
        <w:gridCol w:w="5133"/>
      </w:tblGrid>
      <w:tr w:rsidR="00E24B7B" w14:paraId="3C3ED3AC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70E6AE" w14:textId="77777777" w:rsidR="00E24B7B" w:rsidRDefault="00000000">
            <w:r>
              <w:rPr>
                <w:rFonts w:ascii="Times New Roman" w:eastAsia="Times New Roman" w:hAnsi="Times New Roman"/>
                <w:b/>
                <w:sz w:val="16"/>
              </w:rPr>
              <w:t>#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4E55D0" w14:textId="77777777" w:rsidR="00E24B7B" w:rsidRDefault="00000000">
            <w:r>
              <w:rPr>
                <w:rFonts w:ascii="Times New Roman" w:eastAsia="Times New Roman" w:hAnsi="Times New Roman"/>
                <w:b/>
                <w:sz w:val="16"/>
              </w:rPr>
              <w:t>Measurement</w:t>
            </w:r>
          </w:p>
        </w:tc>
      </w:tr>
      <w:tr w:rsidR="00E24B7B" w14:paraId="29C6E0EC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4B2F6C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1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671614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Heart rate</w:t>
            </w:r>
          </w:p>
        </w:tc>
      </w:tr>
      <w:tr w:rsidR="00E24B7B" w14:paraId="3E6A91B1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AF878A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2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EF8FC0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PR interval</w:t>
            </w:r>
          </w:p>
        </w:tc>
      </w:tr>
      <w:tr w:rsidR="00E24B7B" w14:paraId="0FA94E1F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63FE15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3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1729BF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QRS duration</w:t>
            </w:r>
          </w:p>
        </w:tc>
      </w:tr>
      <w:tr w:rsidR="00E24B7B" w14:paraId="12D0074B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26A48B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4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836BEB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QT interval</w:t>
            </w:r>
          </w:p>
        </w:tc>
      </w:tr>
      <w:tr w:rsidR="00E24B7B" w14:paraId="12800500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B47188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5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744B78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Corrected QT interval (QTc)</w:t>
            </w:r>
          </w:p>
        </w:tc>
      </w:tr>
      <w:tr w:rsidR="00E24B7B" w14:paraId="26B8D000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4C92A3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6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A2558D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P wave axis</w:t>
            </w:r>
          </w:p>
        </w:tc>
      </w:tr>
      <w:tr w:rsidR="00E24B7B" w14:paraId="11E79745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10584F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7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188D0A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QRS wave axis</w:t>
            </w:r>
          </w:p>
        </w:tc>
      </w:tr>
      <w:tr w:rsidR="00E24B7B" w14:paraId="52F0AD04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A2F559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8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AB5BE2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T wave axis</w:t>
            </w:r>
          </w:p>
        </w:tc>
      </w:tr>
    </w:tbl>
    <w:p w14:paraId="762A49F7" w14:textId="77777777" w:rsidR="00E24B7B" w:rsidRDefault="00E24B7B">
      <w:pPr>
        <w:spacing w:after="120" w:line="264" w:lineRule="auto"/>
      </w:pPr>
    </w:p>
    <w:p w14:paraId="4F648EED" w14:textId="77777777" w:rsidR="00E24B7B" w:rsidRDefault="00000000">
      <w:pPr>
        <w:spacing w:after="80" w:line="264" w:lineRule="auto"/>
      </w:pPr>
      <w:r>
        <w:rPr>
          <w:rFonts w:ascii="Times New Roman" w:eastAsia="Times New Roman" w:hAnsi="Times New Roman"/>
          <w:b/>
          <w:sz w:val="18"/>
        </w:rPr>
        <w:t>31 Diagnostic ECG Patterns (Philips)</w:t>
      </w: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5133"/>
        <w:gridCol w:w="5133"/>
      </w:tblGrid>
      <w:tr w:rsidR="00E24B7B" w14:paraId="753B1A61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CC0039" w14:textId="77777777" w:rsidR="00E24B7B" w:rsidRDefault="00000000">
            <w:r>
              <w:rPr>
                <w:rFonts w:ascii="Times New Roman" w:eastAsia="Times New Roman" w:hAnsi="Times New Roman"/>
                <w:b/>
                <w:sz w:val="16"/>
              </w:rPr>
              <w:t>#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317AA7" w14:textId="77777777" w:rsidR="00E24B7B" w:rsidRDefault="00000000">
            <w:r>
              <w:rPr>
                <w:rFonts w:ascii="Times New Roman" w:eastAsia="Times New Roman" w:hAnsi="Times New Roman"/>
                <w:b/>
                <w:sz w:val="16"/>
              </w:rPr>
              <w:t>Pattern</w:t>
            </w:r>
          </w:p>
        </w:tc>
      </w:tr>
      <w:tr w:rsidR="00E24B7B" w14:paraId="72F3E6EC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6FE08A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1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05FE27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Sinus rhythm</w:t>
            </w:r>
          </w:p>
        </w:tc>
      </w:tr>
      <w:tr w:rsidR="00E24B7B" w14:paraId="4066F526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EED3E3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2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437187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Sinus tachycardia</w:t>
            </w:r>
          </w:p>
        </w:tc>
      </w:tr>
      <w:tr w:rsidR="00E24B7B" w14:paraId="7EF86BF6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D799FB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3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3B1099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Sinus bradycardia</w:t>
            </w:r>
          </w:p>
        </w:tc>
      </w:tr>
      <w:tr w:rsidR="00E24B7B" w14:paraId="6C789AD8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52A6EB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4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DA443C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Sinus arrhythmia</w:t>
            </w:r>
          </w:p>
        </w:tc>
      </w:tr>
      <w:tr w:rsidR="00E24B7B" w14:paraId="7A7EC6D0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9D943A2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5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047EBC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Atrial fibrillation</w:t>
            </w:r>
          </w:p>
        </w:tc>
      </w:tr>
      <w:tr w:rsidR="00E24B7B" w14:paraId="44D431D5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9E1591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6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AE4D32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Atrial flutter</w:t>
            </w:r>
          </w:p>
        </w:tc>
      </w:tr>
      <w:tr w:rsidR="00E24B7B" w14:paraId="016C4446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889AD6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7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A8D124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Supraventricular tachycardia</w:t>
            </w:r>
          </w:p>
        </w:tc>
      </w:tr>
      <w:tr w:rsidR="00E24B7B" w14:paraId="462C8C97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83DE03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8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E8F5DB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Ventricular tachycardia</w:t>
            </w:r>
          </w:p>
        </w:tc>
      </w:tr>
      <w:tr w:rsidR="00E24B7B" w14:paraId="43C1DB95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1A5DA0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9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86A056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Ventricular premature complex</w:t>
            </w:r>
          </w:p>
        </w:tc>
      </w:tr>
      <w:tr w:rsidR="00E24B7B" w14:paraId="1007B108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11C2E2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10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6E5D8C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Atrial premature complex</w:t>
            </w:r>
          </w:p>
        </w:tc>
      </w:tr>
      <w:tr w:rsidR="00E24B7B" w14:paraId="4AF8FC69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1F4C56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11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C03D35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First-degree AV block</w:t>
            </w:r>
          </w:p>
        </w:tc>
      </w:tr>
      <w:tr w:rsidR="00E24B7B" w14:paraId="099B8694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F82009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12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F1D594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Second-degree AV block</w:t>
            </w:r>
          </w:p>
        </w:tc>
      </w:tr>
      <w:tr w:rsidR="00E24B7B" w14:paraId="12EDAFBD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86A040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13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BE91D6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Third-degree AV block</w:t>
            </w:r>
          </w:p>
        </w:tc>
      </w:tr>
      <w:tr w:rsidR="00E24B7B" w14:paraId="0DF16D2B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7B95D7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14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302B13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Left bundle branch block</w:t>
            </w:r>
          </w:p>
        </w:tc>
      </w:tr>
      <w:tr w:rsidR="00E24B7B" w14:paraId="10BB586B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F5C871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15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1744E8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Right bundle branch block</w:t>
            </w:r>
          </w:p>
        </w:tc>
      </w:tr>
      <w:tr w:rsidR="00E24B7B" w14:paraId="79065BAB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3BCD12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16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372153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Left anterior fascicular block</w:t>
            </w:r>
          </w:p>
        </w:tc>
      </w:tr>
      <w:tr w:rsidR="00E24B7B" w14:paraId="14694645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F7AC41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17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97FA47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Left posterior fascicular block</w:t>
            </w:r>
          </w:p>
        </w:tc>
      </w:tr>
      <w:tr w:rsidR="00E24B7B" w14:paraId="20B5306C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B97BB1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18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CAF8BC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Wolff-Parkinson-White syndrome</w:t>
            </w:r>
          </w:p>
        </w:tc>
      </w:tr>
      <w:tr w:rsidR="00E24B7B" w14:paraId="18D79BC3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0F56D4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19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82FAAE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ST elevation</w:t>
            </w:r>
          </w:p>
        </w:tc>
      </w:tr>
      <w:tr w:rsidR="00E24B7B" w14:paraId="63AECB7F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7F444F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20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6C6015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ST depression</w:t>
            </w:r>
          </w:p>
        </w:tc>
      </w:tr>
      <w:tr w:rsidR="00E24B7B" w14:paraId="08226AFA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C1C2BB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21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585E31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T wave inversion</w:t>
            </w:r>
          </w:p>
        </w:tc>
      </w:tr>
      <w:tr w:rsidR="00E24B7B" w14:paraId="00AC5003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B6E9EF6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22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D5084D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Old myocardial infarction</w:t>
            </w:r>
          </w:p>
        </w:tc>
      </w:tr>
      <w:tr w:rsidR="00E24B7B" w14:paraId="69E6CDA1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8634FD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23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ABCD10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Left ventricular hypertrophy</w:t>
            </w:r>
          </w:p>
        </w:tc>
      </w:tr>
      <w:tr w:rsidR="00E24B7B" w14:paraId="490E07A3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6B8C21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24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EBA461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Right ventricular hypertrophy</w:t>
            </w:r>
          </w:p>
        </w:tc>
      </w:tr>
      <w:tr w:rsidR="00E24B7B" w14:paraId="1AD7EBCE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47CF5B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25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EAB969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Left atrial enlargement</w:t>
            </w:r>
          </w:p>
        </w:tc>
      </w:tr>
      <w:tr w:rsidR="00E24B7B" w14:paraId="2384B53A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7DFEA6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26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9F04B7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Right atrial enlargement</w:t>
            </w:r>
          </w:p>
        </w:tc>
      </w:tr>
      <w:tr w:rsidR="00E24B7B" w14:paraId="42A5A16A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293642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27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1340B2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Low voltage</w:t>
            </w:r>
          </w:p>
        </w:tc>
      </w:tr>
      <w:tr w:rsidR="00E24B7B" w14:paraId="6E42CFBF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2E348D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28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A2E547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Prolonged QT interval</w:t>
            </w:r>
          </w:p>
        </w:tc>
      </w:tr>
      <w:tr w:rsidR="00E24B7B" w14:paraId="3D7AF826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28D570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29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90F7AF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Early repolarization</w:t>
            </w:r>
          </w:p>
        </w:tc>
      </w:tr>
      <w:tr w:rsidR="00E24B7B" w14:paraId="413E949D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8EA225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30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EF4533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Nonspecific ST-T wave changes</w:t>
            </w:r>
          </w:p>
        </w:tc>
      </w:tr>
      <w:tr w:rsidR="00E24B7B" w14:paraId="75BF66A0" w14:textId="77777777">
        <w:trPr>
          <w:jc w:val="center"/>
        </w:trPr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D811C5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31</w:t>
            </w:r>
          </w:p>
        </w:tc>
        <w:tc>
          <w:tcPr>
            <w:tcW w:w="5103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2E7807" w14:textId="77777777" w:rsidR="00E24B7B" w:rsidRDefault="00000000">
            <w:r>
              <w:rPr>
                <w:rFonts w:ascii="Times New Roman" w:eastAsia="Times New Roman" w:hAnsi="Times New Roman"/>
                <w:sz w:val="16"/>
              </w:rPr>
              <w:t>Pacemaker rhythm</w:t>
            </w:r>
          </w:p>
        </w:tc>
      </w:tr>
    </w:tbl>
    <w:p w14:paraId="4AD11045" w14:textId="77777777" w:rsidR="00E24B7B" w:rsidRDefault="00000000">
      <w:pPr>
        <w:spacing w:after="240" w:line="264" w:lineRule="auto"/>
      </w:pPr>
      <w:r>
        <w:rPr>
          <w:rFonts w:ascii="Times New Roman" w:eastAsia="Times New Roman" w:hAnsi="Times New Roman"/>
          <w:i/>
          <w:sz w:val="16"/>
        </w:rPr>
        <w:t>Note: XGBoost (Fig. 5) used 8 quantitative + ST elevation, low voltage, VPC, and OMI.</w:t>
      </w:r>
    </w:p>
    <w:p w14:paraId="516A028E" w14:textId="77777777" w:rsidR="00E24B7B" w:rsidRDefault="00000000">
      <w:r>
        <w:br w:type="page"/>
      </w:r>
    </w:p>
    <w:p w14:paraId="6AF0D31B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t>Supplementary Table S6. Operating-point analysis and subgroup performance</w:t>
      </w:r>
    </w:p>
    <w:p>
      <w:r>
        <w:rPr>
          <w:b/>
          <w:sz w:val="18"/>
        </w:rPr>
        <w:t>Panel A. Rule-out operating points across test sets</w:t>
      </w:r>
    </w:p>
    <w:tbl>
      <w:tblPr>
        <w:tblStyle w:val="aff2"/>
        <w:tblW w:type="auto" w:w="0"/>
        <w:tblLayout w:type="autofit"/>
        <w:tblLook w:firstColumn="1" w:firstRow="1" w:lastColumn="0" w:lastRow="0" w:noHBand="0" w:noVBand="1" w:val="04A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c>
          <w:tcPr>
            <w:tcW w:type="dxa" w:w="1134"/>
          </w:tcPr>
          <w:p>
            <w:r/>
            <w:r>
              <w:rPr>
                <w:b/>
                <w:sz w:val="16"/>
              </w:rPr>
              <w:t>Operating point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Cohort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Sensitivity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Specificity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NPV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PPV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Low-risk (%)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BSI missed /1000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LR-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Youden-optimal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Internal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73.2%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76.8%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99.2%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6.6%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75.8%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5.9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0.35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Youden-optimal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External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67.6%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76.9%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99.2%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5.6%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76.1%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6.4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0.42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Youden-optimal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MIMIC-IV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61.0%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74.3%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99.1%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4.1%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73.7%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6.9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0.53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High-sensitivity (~92%)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Internal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91.8%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49.5%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3.9%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48.6%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1.8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0.17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High-sensitivity (~92%)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External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92.0%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49.7%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99.7%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3.6%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48.9%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1.6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0.16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High-sensitivity (~92%)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MIMIC-IV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89.6%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43.6%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2.8%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43.0%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1.9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0.24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High-sensitivity (~98%)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Internal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98.1%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24.8%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99.8%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2.8%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24.3%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0.4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0.07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High-sensitivity (~98%)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External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98.0%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25.8%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99.8%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2.6%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25.3%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0.4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0.08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High-sensitivity (~98%)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MIMIC-IV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98.2%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19.3%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99.8%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2.2%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19.0%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0.3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0.10</w:t>
            </w:r>
          </w:p>
        </w:tc>
      </w:tr>
    </w:tbl>
    <w:p>
      <w:r>
        <w:rPr>
          <w:b/>
          <w:sz w:val="18"/>
        </w:rPr>
        <w:t>Panel B. Performance within qSOFA subgroups</w:t>
      </w:r>
    </w:p>
    <w:tbl>
      <w:tblPr>
        <w:tblStyle w:val="aff2"/>
        <w:tblW w:type="auto" w:w="0"/>
        <w:tblLayout w:type="autofit"/>
        <w:tblLook w:firstColumn="1" w:firstRow="1" w:lastColumn="0" w:lastRow="0" w:noHBand="0" w:noVBand="1" w:val="04A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c>
          <w:tcPr>
            <w:tcW w:type="dxa" w:w="1134"/>
          </w:tcPr>
          <w:p>
            <w:r/>
            <w:r>
              <w:rPr>
                <w:b/>
                <w:sz w:val="16"/>
              </w:rPr>
              <w:t>Cohort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qSOFA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n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BSI prevalence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AUC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NPV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Null NPV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NPV gain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LR-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Internal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18,089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1.4%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0.819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99.7%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98.6%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+1.1%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0.21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Internal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3,346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4.9%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0.714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98.7%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95.1%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+3.7%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0.25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Internal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2-3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770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0.699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100.0%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91.0%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+9.0%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0.00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External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18,602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1.4%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0.790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99.7%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98.6%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+1.1%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0.24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External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3,308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3.5%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0.713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99.8%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96.5%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+3.3%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0.06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External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2-3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799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9.4%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0.641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100.0%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90.6%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+9.4%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0.00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MIMIC-IV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57,748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1.4%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0.754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98.6%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+1.0%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0.27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MIMIC-IV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8,710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4.0%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0.684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99.0%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96.0%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+3.0%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0.25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6"/>
              </w:rPr>
              <w:t>MIMIC-IV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2-3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479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0.527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94.0%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91.0%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+3.0%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0.65</w:t>
            </w:r>
          </w:p>
        </w:tc>
      </w:tr>
    </w:tbl>
    <w:p w14:paraId="63A23DD2" w14:textId="77777777" w:rsidR="00E24B7B" w:rsidRDefault="00000000">
      <w:pPr>
        <w:spacing w:after="240" w:line="264" w:lineRule="auto"/>
      </w:pPr>
      <w:r>
        <w:rPr>
          <w:rFonts w:ascii="Times New Roman" w:eastAsia="Times New Roman" w:hAnsi="Times New Roman"/>
          <w:i/>
          <w:sz w:val="16"/>
        </w:rPr>
        <w:t>Panel A reports rule-out operating points derived on the tuning set and applied to each test set (logit-scale thresholds: Youden-optimal 0.872; high-sensitivity ~92% threshold -0.028; high-sensitivity ~98% threshold -0.762). Low-risk (%) is the proportion classified below the threshold; BSI missed /1000 assumes the observed BSI prevalence (internal 2.2%, external 2.0%, MIMIC-IV 1.8%). Panel B reports performance within qSOFA subgroups; NPV, null NPV (predicting all negative), and NPV gain are evaluated at the high-sensitivity (~92%) threshold. AUC = area under the ROC curve; NPV = negative predictive value; PPV = positive predictive value; LR- = negative likelihood ratio.</w:t>
      </w:r>
    </w:p>
    <w:p w14:paraId="622A955A" w14:textId="77777777" w:rsidR="00E24B7B" w:rsidRDefault="00000000">
      <w:r>
        <w:br w:type="page"/>
      </w:r>
    </w:p>
    <w:p w14:paraId="16B08566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t>Supplementary Table S7. ECG acquisition timing</w:t>
      </w:r>
    </w:p>
    <w:p w14:paraId="0CFA5C85" w14:textId="77777777" w:rsidR="00E24B7B" w:rsidRDefault="00000000">
      <w:pPr>
        <w:spacing w:after="80" w:line="264" w:lineRule="auto"/>
      </w:pPr>
      <w:r>
        <w:rPr>
          <w:rFonts w:ascii="Times New Roman" w:eastAsia="Times New Roman" w:hAnsi="Times New Roman"/>
          <w:b/>
          <w:sz w:val="18"/>
        </w:rPr>
        <w:t>Triage-to-ECG time distribution</w:t>
      </w: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2566"/>
        <w:gridCol w:w="2566"/>
        <w:gridCol w:w="2567"/>
        <w:gridCol w:w="2567"/>
      </w:tblGrid>
      <w:tr w:rsidR="00E24B7B" w14:paraId="6AA32B08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BC1236" w14:textId="77777777" w:rsidR="00E24B7B" w:rsidRDefault="00E24B7B"/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138EC9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Internal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59A7E2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External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8A7479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MIMIC-IV</w:t>
            </w:r>
          </w:p>
        </w:tc>
      </w:tr>
      <w:tr w:rsidR="00E24B7B" w14:paraId="364D68D5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B6D363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Median time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D82BA5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0.2 h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0F3901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0.3 h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0A8998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0.2 h</w:t>
            </w:r>
          </w:p>
        </w:tc>
      </w:tr>
      <w:tr w:rsidR="00E24B7B" w14:paraId="1DF3004E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BB7A56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Within 1 h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510F9A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100%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D08966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100%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33CAAC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100%</w:t>
            </w:r>
          </w:p>
        </w:tc>
      </w:tr>
      <w:tr w:rsidR="00E24B7B" w14:paraId="11ADE13F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5F5F52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Within 24 h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D87BFE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100%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19A9BF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100%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91E292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100%</w:t>
            </w:r>
          </w:p>
        </w:tc>
      </w:tr>
      <w:tr w:rsidR="00E24B7B" w14:paraId="5F7664DE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A6D812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&gt; 24 h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BC0E7E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84DD74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307145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0%</w:t>
            </w:r>
          </w:p>
        </w:tc>
      </w:tr>
    </w:tbl>
    <w:p w14:paraId="5C087BB4" w14:textId="77777777" w:rsidR="00E24B7B" w:rsidRDefault="00E24B7B">
      <w:pPr>
        <w:spacing w:after="120" w:line="264" w:lineRule="auto"/>
      </w:pPr>
    </w:p>
    <w:p w14:paraId="3A484FFD" w14:textId="77777777" w:rsidR="00E24B7B" w:rsidRDefault="00000000">
      <w:pPr>
        <w:spacing w:after="240" w:line="264" w:lineRule="auto"/>
      </w:pPr>
      <w:r>
        <w:rPr>
          <w:rFonts w:ascii="Times New Roman" w:eastAsia="Times New Roman" w:hAnsi="Times New Roman"/>
          <w:i/>
          <w:sz w:val="16"/>
        </w:rPr>
        <w:t>3-day window = blood culture endpoint, not ECG acquisition. All ECGs obtained at triage.</w:t>
      </w:r>
    </w:p>
    <w:p w14:paraId="033169A4" w14:textId="77777777" w:rsidR="00E24B7B" w:rsidRDefault="00000000">
      <w:r>
        <w:br w:type="page"/>
      </w:r>
    </w:p>
    <w:p w14:paraId="19AE6C0E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lastRenderedPageBreak/>
        <w:t>Supplementary Table S8. Baseline model comparison</w:t>
      </w: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3422"/>
        <w:gridCol w:w="3422"/>
        <w:gridCol w:w="3422"/>
      </w:tblGrid>
      <w:tr w:rsidR="00E24B7B" w14:paraId="5C65248F" w14:textId="77777777">
        <w:trPr>
          <w:jc w:val="center"/>
        </w:trPr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7426C2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Model</w:t>
            </w:r>
          </w:p>
        </w:tc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FFD0DF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Internal AUC</w:t>
            </w:r>
          </w:p>
        </w:tc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FCC02B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External AUC</w:t>
            </w:r>
          </w:p>
        </w:tc>
      </w:tr>
      <w:tr w:rsidR="00E24B7B" w14:paraId="1CA8F8A6" w14:textId="77777777">
        <w:trPr>
          <w:jc w:val="center"/>
        </w:trPr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F387437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Deep learning (raw waveform)</w:t>
            </w:r>
          </w:p>
        </w:tc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CF3BE5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0.821</w:t>
            </w:r>
          </w:p>
        </w:tc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3998D4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0.800</w:t>
            </w:r>
          </w:p>
        </w:tc>
      </w:tr>
      <w:tr w:rsidR="00E24B7B" w14:paraId="72D93FE8" w14:textId="77777777">
        <w:trPr>
          <w:jc w:val="center"/>
        </w:trPr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57C6E8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XGBoost (39 features)</w:t>
            </w:r>
          </w:p>
        </w:tc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767A83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0.790</w:t>
            </w:r>
          </w:p>
        </w:tc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46D152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0.774</w:t>
            </w:r>
          </w:p>
        </w:tc>
      </w:tr>
      <w:tr w:rsidR="00E24B7B" w14:paraId="012D8D47" w14:textId="77777777">
        <w:trPr>
          <w:jc w:val="center"/>
        </w:trPr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7590B5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XGBoost (8 quantitative)</w:t>
            </w:r>
          </w:p>
        </w:tc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3D391C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0.788</w:t>
            </w:r>
          </w:p>
        </w:tc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C4BA57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0.768</w:t>
            </w:r>
          </w:p>
        </w:tc>
      </w:tr>
      <w:tr w:rsidR="00E24B7B" w14:paraId="35756253" w14:textId="77777777">
        <w:trPr>
          <w:jc w:val="center"/>
        </w:trPr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917EF6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Logistic (HR+QTc+axes)</w:t>
            </w:r>
          </w:p>
        </w:tc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C0769E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0.792</w:t>
            </w:r>
          </w:p>
        </w:tc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9342C6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0.765</w:t>
            </w:r>
          </w:p>
        </w:tc>
      </w:tr>
      <w:tr w:rsidR="00E24B7B" w14:paraId="31DF4197" w14:textId="77777777">
        <w:trPr>
          <w:jc w:val="center"/>
        </w:trPr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49CD0F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Heart rate alone</w:t>
            </w:r>
          </w:p>
        </w:tc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4CC084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0.786</w:t>
            </w:r>
          </w:p>
        </w:tc>
        <w:tc>
          <w:tcPr>
            <w:tcW w:w="3402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8282C3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0.760</w:t>
            </w:r>
          </w:p>
        </w:tc>
      </w:tr>
    </w:tbl>
    <w:p w14:paraId="5CE41406" w14:textId="77777777" w:rsidR="00E24B7B" w:rsidRDefault="00000000">
      <w:pPr>
        <w:spacing w:after="240" w:line="264" w:lineRule="auto"/>
      </w:pPr>
      <w:r>
        <w:rPr>
          <w:rFonts w:ascii="Times New Roman" w:eastAsia="Times New Roman" w:hAnsi="Times New Roman"/>
          <w:i/>
          <w:sz w:val="16"/>
        </w:rPr>
        <w:t>All trained on development set. The deep learning model showed the highest discrimination in both the internal and external test sets.</w:t>
      </w:r>
    </w:p>
    <w:p w14:paraId="34E0FFAD" w14:textId="77777777" w:rsidR="00E24B7B" w:rsidRDefault="00000000">
      <w:r>
        <w:br w:type="page"/>
      </w:r>
    </w:p>
    <w:p w14:paraId="36BD4CFD" w14:textId="77777777" w:rsidR="00E24B7B" w:rsidRDefault="00000000">
      <w:pPr>
        <w:spacing w:before="160" w:after="120" w:line="264" w:lineRule="auto"/>
      </w:pPr>
      <w:r>
        <w:rPr>
          <w:rFonts w:ascii="Times New Roman" w:eastAsia="Times New Roman" w:hAnsi="Times New Roman"/>
          <w:b/>
          <w:sz w:val="20"/>
        </w:rPr>
        <w:lastRenderedPageBreak/>
        <w:t>Supplementary Table S9. Likelihood ratios and prevalence-adjusted NPV</w:t>
      </w:r>
    </w:p>
    <w:p w14:paraId="173F6825" w14:textId="77777777" w:rsidR="00E24B7B" w:rsidRDefault="00000000">
      <w:pPr>
        <w:spacing w:after="80" w:line="264" w:lineRule="auto"/>
      </w:pPr>
      <w:r>
        <w:rPr>
          <w:rFonts w:ascii="Times New Roman" w:eastAsia="Times New Roman" w:hAnsi="Times New Roman"/>
          <w:b/>
          <w:sz w:val="18"/>
        </w:rPr>
        <w:t>Panel A. Likelihood ratios</w:t>
      </w: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2566"/>
        <w:gridCol w:w="2566"/>
        <w:gridCol w:w="2567"/>
        <w:gridCol w:w="2567"/>
      </w:tblGrid>
      <w:tr w:rsidR="00E24B7B" w14:paraId="5CDC492A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8B0BEF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Metric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55CE61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Internal (2.2%)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DB3123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External (2.0%)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F8D3A5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MIMIC-IV (1.8%)</w:t>
            </w:r>
          </w:p>
        </w:tc>
      </w:tr>
      <w:tr w:rsidR="00E24B7B" w14:paraId="190B6E34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EFC380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LR+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2BC6E9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3.16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7AC871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2.93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684AD5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2.37</w:t>
            </w:r>
          </w:p>
        </w:tc>
      </w:tr>
      <w:tr w:rsidR="00E24B7B" w14:paraId="001629E3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8F6EEE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LR-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9F8E32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0.349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F1EDB59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0.421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D1AE3D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0.525</w:t>
            </w:r>
          </w:p>
        </w:tc>
      </w:tr>
      <w:tr w:rsidR="00E24B7B" w14:paraId="2CCBCC64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51A721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NPV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8589A2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99.2%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FE0203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99.2%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A0182A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99.1%</w:t>
            </w:r>
          </w:p>
        </w:tc>
      </w:tr>
      <w:tr w:rsidR="00E24B7B" w14:paraId="1B5FB905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6CD699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Null NPV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715CE2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97.8%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0537E0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98.0%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3D43D2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98.2%</w:t>
            </w:r>
          </w:p>
        </w:tc>
      </w:tr>
    </w:tbl>
    <w:p w14:paraId="4249A43F" w14:textId="77777777" w:rsidR="00E24B7B" w:rsidRDefault="00E24B7B">
      <w:pPr>
        <w:spacing w:after="120" w:line="264" w:lineRule="auto"/>
      </w:pPr>
    </w:p>
    <w:p w14:paraId="1E2EDDE7" w14:textId="77777777" w:rsidR="00E24B7B" w:rsidRDefault="00000000">
      <w:pPr>
        <w:spacing w:after="80" w:line="264" w:lineRule="auto"/>
      </w:pPr>
      <w:r>
        <w:rPr>
          <w:rFonts w:ascii="Times New Roman" w:eastAsia="Times New Roman" w:hAnsi="Times New Roman"/>
          <w:b/>
          <w:sz w:val="18"/>
        </w:rPr>
        <w:t>Panel B. NPV by assumed prevalence</w:t>
      </w: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2566"/>
        <w:gridCol w:w="2566"/>
        <w:gridCol w:w="2567"/>
        <w:gridCol w:w="2567"/>
      </w:tblGrid>
      <w:tr w:rsidR="00E24B7B" w14:paraId="3A57DF3B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03B8AB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Prevalence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D0321E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Internal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1F7301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External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8BB97D" w14:textId="77777777" w:rsidR="00E24B7B" w:rsidRDefault="00000000">
            <w:r>
              <w:rPr>
                <w:rFonts w:ascii="Times New Roman" w:eastAsia="Times New Roman" w:hAnsi="Times New Roman"/>
                <w:b/>
                <w:sz w:val="18"/>
              </w:rPr>
              <w:t>MIMIC-IV</w:t>
            </w:r>
          </w:p>
        </w:tc>
      </w:tr>
      <w:tr w:rsidR="00E24B7B" w14:paraId="4723376D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1BA6C9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2%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DA4A62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99.3% (+1.3%)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645184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99.1% (+1.1%)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980C78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98.9% (+0.9%)</w:t>
            </w:r>
          </w:p>
        </w:tc>
      </w:tr>
      <w:tr w:rsidR="00E24B7B" w14:paraId="79A52547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D1236A7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5%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C76748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98.2% (+3.2%)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D1FAFE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97.8% (+2.8%)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C96A0D7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97.3% (+2.3%)</w:t>
            </w:r>
          </w:p>
        </w:tc>
      </w:tr>
      <w:tr w:rsidR="00E24B7B" w14:paraId="683F0F0E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941871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7%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7A866E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97.4% (+4.4%)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8432EF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96.9% (+3.9%)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A2AFCC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96.2% (+3.2%)</w:t>
            </w:r>
          </w:p>
        </w:tc>
      </w:tr>
      <w:tr w:rsidR="00E24B7B" w14:paraId="6CF4A0DA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318625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10%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F40F29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96.3% (+6.3%)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F669F0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95.5% (+5.5%)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4B186B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94.5% (+4.5%)</w:t>
            </w:r>
          </w:p>
        </w:tc>
      </w:tr>
      <w:tr w:rsidR="00E24B7B" w14:paraId="5A28AFB7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CBBF2E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15%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6724ECE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94.2% (+9.2%)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4621DC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93.1% (+8.1%)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8DB369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91.5% (+6.5%)</w:t>
            </w:r>
          </w:p>
        </w:tc>
      </w:tr>
      <w:tr w:rsidR="00E24B7B" w14:paraId="0B63B0EA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E9E0E3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20%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654366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92.0% (+12.0%)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D77F37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90.5% (+10.5%)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382EAE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88.4% (+8.4%)</w:t>
            </w:r>
          </w:p>
        </w:tc>
      </w:tr>
      <w:tr w:rsidR="00E24B7B" w14:paraId="0616AD9B" w14:textId="77777777">
        <w:trPr>
          <w:jc w:val="center"/>
        </w:trPr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86C379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30%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05B0DA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87.0% (+17.0%)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5E885E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84.7% (+14.7%)</w:t>
            </w:r>
          </w:p>
        </w:tc>
        <w:tc>
          <w:tcPr>
            <w:tcW w:w="2551" w:type="dx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A24AA6" w14:textId="77777777" w:rsidR="00E24B7B" w:rsidRDefault="00000000">
            <w:r>
              <w:rPr>
                <w:rFonts w:ascii="Times New Roman" w:eastAsia="Times New Roman" w:hAnsi="Times New Roman"/>
                <w:sz w:val="18"/>
              </w:rPr>
              <w:t>81.6% (+11.6%)</w:t>
            </w:r>
          </w:p>
        </w:tc>
      </w:tr>
    </w:tbl>
    <w:p w14:paraId="2F0ECAFB" w14:textId="77777777" w:rsidR="00E24B7B" w:rsidRDefault="00000000">
      <w:pPr>
        <w:spacing w:after="80" w:line="264" w:lineRule="auto"/>
      </w:pPr>
      <w:r>
        <w:rPr>
          <w:rFonts w:ascii="Times New Roman" w:eastAsia="Times New Roman" w:hAnsi="Times New Roman"/>
          <w:i/>
          <w:sz w:val="16"/>
        </w:rPr>
        <w:t>Delta = gain over null (all negative). Panel B uses Bayes' theorem.</w:t>
      </w:r>
    </w:p>
    <w:sectPr w:rsidR="00E24B7B" w:rsidSect="00034616">
      <w:pgSz w:w="11906" w:h="16838"/>
      <w:pgMar w:top="1134" w:right="850" w:bottom="113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7148175">
    <w:abstractNumId w:val="8"/>
  </w:num>
  <w:num w:numId="2" w16cid:durableId="583145789">
    <w:abstractNumId w:val="6"/>
  </w:num>
  <w:num w:numId="3" w16cid:durableId="1943294599">
    <w:abstractNumId w:val="5"/>
  </w:num>
  <w:num w:numId="4" w16cid:durableId="1381511370">
    <w:abstractNumId w:val="4"/>
  </w:num>
  <w:num w:numId="5" w16cid:durableId="935558832">
    <w:abstractNumId w:val="7"/>
  </w:num>
  <w:num w:numId="6" w16cid:durableId="790325349">
    <w:abstractNumId w:val="3"/>
  </w:num>
  <w:num w:numId="7" w16cid:durableId="1837837708">
    <w:abstractNumId w:val="2"/>
  </w:num>
  <w:num w:numId="8" w16cid:durableId="841237660">
    <w:abstractNumId w:val="1"/>
  </w:num>
  <w:num w:numId="9" w16cid:durableId="17780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6DDE"/>
    <w:rsid w:val="00326F90"/>
    <w:rsid w:val="003671F0"/>
    <w:rsid w:val="00AA1D8D"/>
    <w:rsid w:val="00B47730"/>
    <w:rsid w:val="00CB0664"/>
    <w:rsid w:val="00E24B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218A17"/>
  <w14:defaultImageDpi w14:val="300"/>
  <w15:docId w15:val="{4F059CE9-D48D-4573-8FBE-8B7FE2EB6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3170</Words>
  <Characters>20735</Characters>
  <Application>Microsoft Office Word</Application>
  <DocSecurity>0</DocSecurity>
  <Lines>2591</Lines>
  <Paragraphs>1992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Po-Huang Chen</cp:lastModifiedBy>
  <cp:revision>3</cp:revision>
  <dcterms:created xsi:type="dcterms:W3CDTF">2013-12-23T23:15:00Z</dcterms:created>
  <dcterms:modified xsi:type="dcterms:W3CDTF">2026-03-28T05:30:00Z</dcterms:modified>
  <cp:category/>
</cp:coreProperties>
</file>