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6E10B">
      <w:pPr>
        <w:spacing w:line="360" w:lineRule="auto"/>
        <w:jc w:val="center"/>
        <w:rPr>
          <w:rFonts w:hint="default" w:ascii="Times New Roman" w:hAnsi="Times New Roman" w:cs="Times New Roman"/>
          <w:b/>
          <w:bCs/>
          <w:sz w:val="22"/>
        </w:rPr>
      </w:pPr>
      <w:r>
        <w:rPr>
          <w:rFonts w:hint="default" w:ascii="Times New Roman" w:hAnsi="Times New Roman" w:cs="Times New Roman"/>
          <w:b/>
          <w:bCs/>
          <w:sz w:val="22"/>
        </w:rPr>
        <w:t>Supplementary materials</w:t>
      </w:r>
    </w:p>
    <w:p w14:paraId="49344B5F">
      <w:pPr>
        <w:spacing w:line="360" w:lineRule="auto"/>
        <w:rPr>
          <w:rFonts w:hint="default" w:ascii="Times New Roman" w:hAnsi="Times New Roman" w:cs="Times New Roman"/>
          <w:b/>
          <w:bCs/>
          <w:sz w:val="22"/>
        </w:rPr>
      </w:pPr>
      <w:r>
        <w:rPr>
          <w:rFonts w:hint="default" w:ascii="Times New Roman" w:hAnsi="Times New Roman" w:cs="Times New Roman"/>
          <w:b/>
          <w:bCs/>
          <w:sz w:val="22"/>
        </w:rPr>
        <w:t>Supplementary methods</w:t>
      </w:r>
    </w:p>
    <w:p w14:paraId="7A007286">
      <w:pPr>
        <w:spacing w:line="360" w:lineRule="auto"/>
        <w:rPr>
          <w:rFonts w:hint="default" w:ascii="Times New Roman" w:hAnsi="Times New Roman" w:cs="Times New Roman"/>
          <w:b/>
          <w:bCs/>
          <w:sz w:val="22"/>
        </w:rPr>
      </w:pPr>
      <w:r>
        <w:rPr>
          <w:rFonts w:hint="default" w:ascii="Times New Roman" w:hAnsi="Times New Roman" w:cs="Times New Roman"/>
          <w:b/>
          <w:bCs/>
          <w:sz w:val="22"/>
        </w:rPr>
        <w:t>Methods</w:t>
      </w:r>
    </w:p>
    <w:p w14:paraId="58ADE3F4">
      <w:pPr>
        <w:spacing w:line="360" w:lineRule="auto"/>
        <w:rPr>
          <w:rFonts w:hint="default" w:ascii="Times New Roman" w:hAnsi="Times New Roman" w:cs="Times New Roman"/>
          <w:b/>
          <w:bCs/>
          <w:sz w:val="22"/>
        </w:rPr>
      </w:pPr>
      <w:r>
        <w:rPr>
          <w:rFonts w:hint="default" w:ascii="Times New Roman" w:hAnsi="Times New Roman" w:cs="Times New Roman"/>
          <w:b/>
          <w:bCs/>
          <w:sz w:val="22"/>
        </w:rPr>
        <w:t xml:space="preserve">Subjects </w:t>
      </w:r>
    </w:p>
    <w:p w14:paraId="220EFD48">
      <w:pPr>
        <w:spacing w:line="360" w:lineRule="auto"/>
        <w:rPr>
          <w:rFonts w:hint="default" w:ascii="Times New Roman" w:hAnsi="Times New Roman" w:cs="Times New Roman"/>
          <w:b/>
          <w:bCs/>
          <w:sz w:val="22"/>
        </w:rPr>
      </w:pPr>
      <w:r>
        <w:rPr>
          <w:rFonts w:hint="default" w:ascii="Times New Roman" w:hAnsi="Times New Roman" w:cs="Times New Roman"/>
          <w:b/>
          <w:bCs/>
          <w:sz w:val="22"/>
        </w:rPr>
        <w:t>OCEA cohort-Aute coronary syndrome (ACS) patients</w:t>
      </w:r>
    </w:p>
    <w:p w14:paraId="7C2AE381">
      <w:pPr>
        <w:spacing w:line="360" w:lineRule="auto"/>
        <w:rPr>
          <w:rFonts w:hint="default" w:ascii="Times New Roman" w:hAnsi="Times New Roman" w:cs="Times New Roman"/>
          <w:sz w:val="22"/>
        </w:rPr>
      </w:pPr>
      <w:r>
        <w:rPr>
          <w:rFonts w:hint="default" w:ascii="Times New Roman" w:hAnsi="Times New Roman" w:eastAsia="Calibri" w:cs="Times New Roman"/>
          <w:sz w:val="22"/>
        </w:rPr>
        <w:t xml:space="preserve">This is a prospective, consecutive cohort study consisting of 5936 patients assigned to coronary angiogram in </w:t>
      </w:r>
      <w:r>
        <w:rPr>
          <w:rFonts w:hint="default" w:ascii="Times New Roman" w:hAnsi="Times New Roman" w:cs="Times New Roman"/>
          <w:sz w:val="22"/>
        </w:rPr>
        <w:t>Chinese People's Liberation Army (</w:t>
      </w:r>
      <w:r>
        <w:rPr>
          <w:rFonts w:hint="default" w:ascii="Times New Roman" w:hAnsi="Times New Roman" w:eastAsia="Calibri" w:cs="Times New Roman"/>
          <w:sz w:val="22"/>
        </w:rPr>
        <w:t>PLA) General Hospital between 2010 and 2018. Eligible patients were those</w:t>
      </w:r>
      <w:r>
        <w:rPr>
          <w:rFonts w:hint="default" w:ascii="Times New Roman" w:hAnsi="Times New Roman" w:cs="Times New Roman"/>
          <w:sz w:val="22"/>
        </w:rPr>
        <w:t xml:space="preserve"> </w:t>
      </w:r>
      <w:r>
        <w:rPr>
          <w:rFonts w:hint="default" w:ascii="Times New Roman" w:hAnsi="Times New Roman" w:eastAsia="Calibri" w:cs="Times New Roman"/>
          <w:sz w:val="22"/>
        </w:rPr>
        <w:t>with a diagnosis of period and patients</w:t>
      </w:r>
      <w:r>
        <w:rPr>
          <w:rFonts w:hint="default" w:ascii="Times New Roman" w:hAnsi="Times New Roman" w:cs="Times New Roman"/>
          <w:sz w:val="22"/>
        </w:rPr>
        <w:t xml:space="preserve"> </w:t>
      </w:r>
      <w:r>
        <w:rPr>
          <w:rFonts w:hint="default" w:ascii="Times New Roman" w:hAnsi="Times New Roman" w:eastAsia="Calibri" w:cs="Times New Roman"/>
          <w:sz w:val="22"/>
        </w:rPr>
        <w:t>with a diagnosis of ACS within the study period [unstable angina or</w:t>
      </w:r>
      <w:r>
        <w:rPr>
          <w:rFonts w:hint="default" w:ascii="Times New Roman" w:hAnsi="Times New Roman" w:cs="Times New Roman"/>
          <w:sz w:val="22"/>
        </w:rPr>
        <w:t xml:space="preserve"> </w:t>
      </w:r>
      <w:r>
        <w:rPr>
          <w:rFonts w:hint="default" w:ascii="Times New Roman" w:hAnsi="Times New Roman" w:eastAsia="Calibri" w:cs="Times New Roman"/>
          <w:sz w:val="22"/>
        </w:rPr>
        <w:t>acute MI (AMI)]. MI was classiﬁed into ST-elevation MI</w:t>
      </w:r>
      <w:r>
        <w:rPr>
          <w:rFonts w:hint="default" w:ascii="Times New Roman" w:hAnsi="Times New Roman" w:cs="Times New Roman"/>
          <w:sz w:val="22"/>
        </w:rPr>
        <w:t xml:space="preserve"> </w:t>
      </w:r>
      <w:r>
        <w:rPr>
          <w:rFonts w:hint="default" w:ascii="Times New Roman" w:hAnsi="Times New Roman" w:eastAsia="Calibri" w:cs="Times New Roman"/>
          <w:sz w:val="22"/>
        </w:rPr>
        <w:t>(STEMI) and non-ST-elevation MI (NSTEMI) where MI type was</w:t>
      </w:r>
      <w:r>
        <w:rPr>
          <w:rFonts w:hint="default" w:ascii="Times New Roman" w:hAnsi="Times New Roman" w:cs="Times New Roman"/>
          <w:sz w:val="22"/>
        </w:rPr>
        <w:t xml:space="preserve"> </w:t>
      </w:r>
      <w:r>
        <w:rPr>
          <w:rFonts w:hint="default" w:ascii="Times New Roman" w:hAnsi="Times New Roman" w:eastAsia="Calibri" w:cs="Times New Roman"/>
          <w:sz w:val="22"/>
        </w:rPr>
        <w:t>recorded. Patients with a primary diagnosis of ACS and referred for immediate invasive management.</w:t>
      </w:r>
      <w:r>
        <w:rPr>
          <w:rFonts w:hint="default" w:ascii="Times New Roman" w:hAnsi="Times New Roman" w:eastAsia="Calibri" w:cs="Times New Roman"/>
          <w:color w:val="EE0000"/>
          <w:sz w:val="22"/>
        </w:rPr>
        <w:t xml:space="preserve"> </w:t>
      </w:r>
      <w:r>
        <w:rPr>
          <w:rFonts w:hint="default" w:ascii="Times New Roman" w:hAnsi="Times New Roman" w:eastAsia="Calibri" w:cs="Times New Roman"/>
          <w:color w:val="EE0000"/>
          <w:sz w:val="22"/>
          <w:lang w:val="en-GB"/>
        </w:rPr>
        <w:t>Exclusion criteria included stable angina, systemic infectious, inflammatory or autoimmune disease,</w:t>
      </w:r>
      <w:r>
        <w:rPr>
          <w:rFonts w:hint="default" w:ascii="Times New Roman" w:hAnsi="Times New Roman" w:cs="Times New Roman"/>
          <w:color w:val="EE0000"/>
          <w:sz w:val="22"/>
          <w:lang w:val="en-GB"/>
        </w:rPr>
        <w:t xml:space="preserve"> </w:t>
      </w:r>
      <w:r>
        <w:rPr>
          <w:rFonts w:hint="default" w:ascii="Times New Roman" w:hAnsi="Times New Roman" w:eastAsia="Calibri" w:cs="Times New Roman"/>
          <w:color w:val="EE0000"/>
          <w:sz w:val="22"/>
          <w:lang w:val="en-GB"/>
        </w:rPr>
        <w:t xml:space="preserve">known severe renal dysfunction (serum creatinine &gt;220 </w:t>
      </w:r>
      <w:r>
        <w:rPr>
          <w:rFonts w:hint="default" w:ascii="Times New Roman" w:hAnsi="Times New Roman" w:cs="Times New Roman"/>
          <w:color w:val="EE0000"/>
          <w:sz w:val="22"/>
          <w:lang w:val="en-GB"/>
        </w:rPr>
        <w:t>μ</w:t>
      </w:r>
      <w:r>
        <w:rPr>
          <w:rFonts w:hint="default" w:ascii="Times New Roman" w:hAnsi="Times New Roman" w:eastAsia="Calibri" w:cs="Times New Roman"/>
          <w:color w:val="EE0000"/>
          <w:sz w:val="22"/>
          <w:lang w:val="en-GB"/>
        </w:rPr>
        <w:t>mol/L), known</w:t>
      </w:r>
      <w:r>
        <w:rPr>
          <w:rFonts w:hint="default" w:ascii="Times New Roman" w:hAnsi="Times New Roman" w:cs="Times New Roman"/>
          <w:color w:val="EE0000"/>
          <w:sz w:val="22"/>
          <w:lang w:val="en-GB"/>
        </w:rPr>
        <w:t xml:space="preserve"> </w:t>
      </w:r>
      <w:r>
        <w:rPr>
          <w:rFonts w:hint="default" w:ascii="Times New Roman" w:hAnsi="Times New Roman" w:eastAsia="Calibri" w:cs="Times New Roman"/>
          <w:color w:val="EE0000"/>
          <w:sz w:val="22"/>
          <w:lang w:val="en-GB"/>
        </w:rPr>
        <w:t>severe hepatic dysfunction (3</w:t>
      </w:r>
      <w:r>
        <w:rPr>
          <w:rFonts w:hint="default" w:ascii="Times New Roman" w:hAnsi="Times New Roman" w:cs="Times New Roman"/>
          <w:color w:val="EE0000"/>
          <w:sz w:val="22"/>
          <w:lang w:val="en-GB"/>
        </w:rPr>
        <w:t>×</w:t>
      </w:r>
      <w:r>
        <w:rPr>
          <w:rFonts w:hint="default" w:ascii="Times New Roman" w:hAnsi="Times New Roman" w:eastAsia="Calibri" w:cs="Times New Roman"/>
          <w:color w:val="EE0000"/>
          <w:sz w:val="22"/>
          <w:lang w:val="en-GB"/>
        </w:rPr>
        <w:t>upper limit of normal for liver function</w:t>
      </w:r>
      <w:r>
        <w:rPr>
          <w:rFonts w:hint="default" w:ascii="Times New Roman" w:hAnsi="Times New Roman" w:cs="Times New Roman"/>
          <w:color w:val="EE0000"/>
          <w:sz w:val="22"/>
          <w:lang w:val="en-GB"/>
        </w:rPr>
        <w:t xml:space="preserve"> </w:t>
      </w:r>
      <w:r>
        <w:rPr>
          <w:rFonts w:hint="default" w:ascii="Times New Roman" w:hAnsi="Times New Roman" w:eastAsia="Calibri" w:cs="Times New Roman"/>
          <w:color w:val="EE0000"/>
          <w:sz w:val="22"/>
          <w:lang w:val="en-GB"/>
        </w:rPr>
        <w:t xml:space="preserve">tests), </w:t>
      </w:r>
      <w:r>
        <w:rPr>
          <w:rFonts w:hint="default" w:ascii="Times New Roman" w:hAnsi="Times New Roman" w:cs="Times New Roman"/>
          <w:color w:val="EE0000"/>
          <w:sz w:val="22"/>
          <w:lang w:val="en-GB"/>
        </w:rPr>
        <w:t>cancer</w:t>
      </w:r>
      <w:r>
        <w:rPr>
          <w:rFonts w:hint="default" w:ascii="Times New Roman" w:hAnsi="Times New Roman" w:eastAsia="Calibri" w:cs="Times New Roman"/>
          <w:color w:val="EE0000"/>
          <w:sz w:val="22"/>
          <w:lang w:val="en-GB"/>
        </w:rPr>
        <w:t xml:space="preserve"> or other life-threatening disease with a life expectancy</w:t>
      </w:r>
      <w:r>
        <w:rPr>
          <w:rFonts w:hint="default" w:ascii="Times New Roman" w:hAnsi="Times New Roman" w:cs="Times New Roman"/>
          <w:color w:val="EE0000"/>
          <w:sz w:val="22"/>
          <w:lang w:val="en-GB"/>
        </w:rPr>
        <w:t xml:space="preserve"> </w:t>
      </w:r>
      <w:r>
        <w:rPr>
          <w:rFonts w:hint="default" w:ascii="Times New Roman" w:hAnsi="Times New Roman" w:eastAsia="Calibri" w:cs="Times New Roman"/>
          <w:color w:val="EE0000"/>
          <w:sz w:val="22"/>
          <w:lang w:val="en-GB"/>
        </w:rPr>
        <w:t xml:space="preserve">&lt;1 year. </w:t>
      </w:r>
      <w:r>
        <w:rPr>
          <w:rFonts w:hint="default" w:ascii="Times New Roman" w:hAnsi="Times New Roman" w:eastAsia="Calibri" w:cs="Times New Roman"/>
          <w:sz w:val="22"/>
          <w:lang w:val="en-GB"/>
        </w:rPr>
        <w:t>Diagnoses were identiﬁed in CPRD, HES, or</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MINAP records according to deﬁnitions in the CALIBER data manual.</w:t>
      </w:r>
      <w:r>
        <w:rPr>
          <w:rFonts w:hint="default" w:ascii="Times New Roman" w:hAnsi="Times New Roman" w:eastAsia="Calibri" w:cs="Times New Roman"/>
          <w:sz w:val="22"/>
          <w:vertAlign w:val="superscript"/>
          <w:lang w:val="en-GB"/>
        </w:rPr>
        <w:t>1</w:t>
      </w:r>
      <w:r>
        <w:rPr>
          <w:rFonts w:hint="default" w:ascii="Times New Roman" w:hAnsi="Times New Roman" w:eastAsia="Calibri" w:cs="Times New Roman"/>
          <w:sz w:val="22"/>
          <w:lang w:val="en-GB"/>
        </w:rPr>
        <w:t xml:space="preserve"> </w:t>
      </w:r>
      <w:r>
        <w:rPr>
          <w:rFonts w:hint="default" w:ascii="Times New Roman" w:hAnsi="Times New Roman" w:eastAsia="Calibri" w:cs="Times New Roman"/>
          <w:sz w:val="22"/>
        </w:rPr>
        <w:t xml:space="preserve">In order to evaluate the performance of clinical risk factors and biomarkers available to predict cardiovascular outcome in ACS patients, </w:t>
      </w:r>
      <w:r>
        <w:rPr>
          <w:rFonts w:hint="default" w:ascii="Times New Roman" w:hAnsi="Times New Roman" w:eastAsia="Calibri" w:cs="Times New Roman"/>
          <w:sz w:val="22"/>
          <w:lang w:val="en-GB"/>
        </w:rPr>
        <w:t>all</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subjects were followed until their death or at least</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for 10 years.</w:t>
      </w:r>
      <w:r>
        <w:rPr>
          <w:rFonts w:hint="default" w:ascii="Times New Roman" w:hAnsi="Times New Roman" w:eastAsia="Calibri" w:cs="Times New Roman"/>
          <w:sz w:val="22"/>
        </w:rPr>
        <w:t xml:space="preserve"> Death registry ICD-10 codes indicative of AMI, atherosclerotic cardiovascular disease or ischemic heart disease, (I21-I25) were used for the identification of cases. </w:t>
      </w:r>
      <w:r>
        <w:rPr>
          <w:rFonts w:hint="default" w:ascii="Times New Roman" w:hAnsi="Times New Roman" w:eastAsia="Calibri" w:cs="Times New Roman"/>
          <w:sz w:val="22"/>
          <w:lang w:val="en-GB"/>
        </w:rPr>
        <w:t>This study was approved by ethics committee</w:t>
      </w:r>
      <w:r>
        <w:rPr>
          <w:rFonts w:hint="default" w:ascii="Times New Roman" w:hAnsi="Times New Roman" w:cs="Times New Roman"/>
          <w:sz w:val="22"/>
          <w:lang w:val="en-GB"/>
        </w:rPr>
        <w:t xml:space="preserve"> of Chinese PLA general hospital. </w:t>
      </w:r>
      <w:r>
        <w:rPr>
          <w:rFonts w:hint="default" w:ascii="Times New Roman" w:hAnsi="Times New Roman" w:eastAsia="Calibri" w:cs="Times New Roman"/>
          <w:sz w:val="22"/>
          <w:lang w:val="en-GB"/>
        </w:rPr>
        <w:t>All participating subjects signed informed consent in accordance with the Declaration of Helsinki.</w:t>
      </w:r>
    </w:p>
    <w:p w14:paraId="01CBDAE3">
      <w:pPr>
        <w:spacing w:line="360" w:lineRule="auto"/>
        <w:rPr>
          <w:rFonts w:hint="default" w:ascii="Times New Roman" w:hAnsi="Times New Roman" w:cs="Times New Roman"/>
          <w:b/>
          <w:bCs/>
          <w:sz w:val="22"/>
        </w:rPr>
      </w:pPr>
      <w:bookmarkStart w:id="0" w:name="OLE_LINK4"/>
      <w:r>
        <w:rPr>
          <w:rFonts w:hint="default" w:ascii="Times New Roman" w:hAnsi="Times New Roman" w:cs="Times New Roman"/>
          <w:b/>
          <w:bCs/>
          <w:sz w:val="22"/>
        </w:rPr>
        <w:t>MRCH cohort</w:t>
      </w:r>
      <w:bookmarkEnd w:id="0"/>
      <w:r>
        <w:rPr>
          <w:rFonts w:hint="default" w:ascii="Times New Roman" w:hAnsi="Times New Roman" w:cs="Times New Roman"/>
          <w:b/>
          <w:bCs/>
          <w:sz w:val="22"/>
        </w:rPr>
        <w:t>-ACS patients</w:t>
      </w:r>
    </w:p>
    <w:p w14:paraId="2833B67C">
      <w:pPr>
        <w:spacing w:line="360" w:lineRule="auto"/>
        <w:rPr>
          <w:rFonts w:hint="default" w:ascii="Times New Roman" w:hAnsi="Times New Roman" w:cs="Times New Roman"/>
          <w:sz w:val="22"/>
        </w:rPr>
      </w:pPr>
      <w:r>
        <w:rPr>
          <w:rFonts w:hint="default" w:ascii="Times New Roman" w:hAnsi="Times New Roman" w:cs="Times New Roman"/>
          <w:sz w:val="22"/>
        </w:rPr>
        <w:t xml:space="preserve">The validation cohort were MRCH cohort, a single-center, observational, prospective study of subjects enrolled on a voluntary basis in 2018–2021, aimed to develop precision management for the patients with ACS in Beijing Chao-Yang Hospital Capital Medical University. The subjects were enrolled in the study underwent periodic visits. Data about clinical, pathological, familial, and pharmacological history and lifestyle habits were collected based on medical records and self-reporting during these visits. </w:t>
      </w:r>
      <w:r>
        <w:rPr>
          <w:rFonts w:hint="default" w:ascii="Times New Roman" w:hAnsi="Times New Roman" w:eastAsia="Calibri" w:cs="Times New Roman"/>
          <w:sz w:val="22"/>
        </w:rPr>
        <w:t xml:space="preserve">Patients with a primary diagnosis of ACS and referred for immediate invasive management. </w:t>
      </w:r>
      <w:r>
        <w:rPr>
          <w:rFonts w:hint="default" w:ascii="Times New Roman" w:hAnsi="Times New Roman" w:eastAsia="Calibri" w:cs="Times New Roman"/>
          <w:sz w:val="22"/>
          <w:lang w:val="en-GB"/>
        </w:rPr>
        <w:t>The study included 981 patients of both genders, aged ≥ 18 years and presenting within five days (preferably within 72 hours) after pain onset with a main diagnosis of STEMI, NSTEMI or unstable angina</w:t>
      </w:r>
      <w:r>
        <w:rPr>
          <w:rFonts w:hint="default" w:ascii="Times New Roman" w:hAnsi="Times New Roman" w:eastAsia="Calibri" w:cs="Times New Roman"/>
          <w:sz w:val="22"/>
        </w:rPr>
        <w:t xml:space="preserve">. </w:t>
      </w:r>
      <w:r>
        <w:rPr>
          <w:rFonts w:hint="default" w:ascii="Times New Roman" w:hAnsi="Times New Roman" w:eastAsia="Calibri" w:cs="Times New Roman"/>
          <w:sz w:val="22"/>
          <w:lang w:val="en-GB"/>
        </w:rPr>
        <w:t>Exclusion criteria included stable angina, systemic infectious, inflammatory or autoimmune disease,</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 xml:space="preserve">known severe renal dysfunction (serum creatinine &gt;220 </w:t>
      </w:r>
      <w:r>
        <w:rPr>
          <w:rFonts w:hint="default" w:ascii="Times New Roman" w:hAnsi="Times New Roman" w:cs="Times New Roman"/>
          <w:sz w:val="22"/>
          <w:lang w:val="en-GB"/>
        </w:rPr>
        <w:t>μ</w:t>
      </w:r>
      <w:r>
        <w:rPr>
          <w:rFonts w:hint="default" w:ascii="Times New Roman" w:hAnsi="Times New Roman" w:eastAsia="Calibri" w:cs="Times New Roman"/>
          <w:sz w:val="22"/>
          <w:lang w:val="en-GB"/>
        </w:rPr>
        <w:t>mol/L), known</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severe hepatic dysfunction (3</w:t>
      </w:r>
      <w:r>
        <w:rPr>
          <w:rFonts w:hint="default" w:ascii="Times New Roman" w:hAnsi="Times New Roman" w:cs="Times New Roman"/>
          <w:sz w:val="22"/>
          <w:lang w:val="en-GB"/>
        </w:rPr>
        <w:t>×</w:t>
      </w:r>
      <w:r>
        <w:rPr>
          <w:rFonts w:hint="default" w:ascii="Times New Roman" w:hAnsi="Times New Roman" w:eastAsia="Calibri" w:cs="Times New Roman"/>
          <w:sz w:val="22"/>
          <w:lang w:val="en-GB"/>
        </w:rPr>
        <w:t>upper limit of normal for liver function</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 xml:space="preserve">tests), </w:t>
      </w:r>
      <w:r>
        <w:rPr>
          <w:rFonts w:hint="default" w:ascii="Times New Roman" w:hAnsi="Times New Roman" w:cs="Times New Roman"/>
          <w:sz w:val="22"/>
          <w:lang w:val="en-GB"/>
        </w:rPr>
        <w:t>cancer</w:t>
      </w:r>
      <w:r>
        <w:rPr>
          <w:rFonts w:hint="default" w:ascii="Times New Roman" w:hAnsi="Times New Roman" w:eastAsia="Calibri" w:cs="Times New Roman"/>
          <w:sz w:val="22"/>
          <w:lang w:val="en-GB"/>
        </w:rPr>
        <w:t xml:space="preserve"> or other life-threatening disease with a life expectancy</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&lt;1 year. All</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subjects were followed until their death or at least</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for 10 years, including assessment of vital status and</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medical history by questionnaire, and cause of death</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by death certiﬁcate.</w:t>
      </w:r>
      <w:r>
        <w:rPr>
          <w:rFonts w:hint="default" w:ascii="Times New Roman" w:hAnsi="Times New Roman" w:cs="Times New Roman"/>
          <w:sz w:val="22"/>
        </w:rPr>
        <w:t xml:space="preserve"> </w:t>
      </w:r>
      <w:r>
        <w:rPr>
          <w:rFonts w:hint="default" w:ascii="Times New Roman" w:hAnsi="Times New Roman" w:eastAsia="Calibri" w:cs="Times New Roman"/>
          <w:sz w:val="22"/>
          <w:lang w:val="en-GB"/>
        </w:rPr>
        <w:t xml:space="preserve">This study was approved by the </w:t>
      </w:r>
      <w:r>
        <w:rPr>
          <w:rFonts w:hint="default" w:ascii="Times New Roman" w:hAnsi="Times New Roman" w:cs="Times New Roman"/>
          <w:sz w:val="22"/>
          <w:lang w:val="en-GB"/>
        </w:rPr>
        <w:t xml:space="preserve">Beijing Chao Yang </w:t>
      </w:r>
      <w:r>
        <w:rPr>
          <w:rFonts w:hint="default" w:ascii="Times New Roman" w:hAnsi="Times New Roman" w:eastAsia="Calibri" w:cs="Times New Roman"/>
          <w:sz w:val="22"/>
          <w:lang w:val="en-GB"/>
        </w:rPr>
        <w:t>ethics committee</w:t>
      </w:r>
      <w:r>
        <w:rPr>
          <w:rFonts w:hint="default" w:ascii="Times New Roman" w:hAnsi="Times New Roman" w:cs="Times New Roman"/>
          <w:sz w:val="22"/>
          <w:lang w:val="en-GB"/>
        </w:rPr>
        <w:t xml:space="preserve">. </w:t>
      </w:r>
      <w:r>
        <w:rPr>
          <w:rFonts w:hint="default" w:ascii="Times New Roman" w:hAnsi="Times New Roman" w:eastAsia="Calibri" w:cs="Times New Roman"/>
          <w:sz w:val="22"/>
          <w:lang w:val="en-GB"/>
        </w:rPr>
        <w:t>All participating subjects signed informed consent in accordance with the Declaration of Helsinki.</w:t>
      </w:r>
    </w:p>
    <w:p w14:paraId="4F331781">
      <w:pPr>
        <w:spacing w:line="360" w:lineRule="auto"/>
        <w:rPr>
          <w:rFonts w:hint="default" w:ascii="Times New Roman" w:hAnsi="Times New Roman" w:cs="Times New Roman"/>
          <w:b/>
          <w:bCs/>
          <w:sz w:val="22"/>
        </w:rPr>
      </w:pPr>
      <w:r>
        <w:rPr>
          <w:rFonts w:hint="default" w:ascii="Times New Roman" w:hAnsi="Times New Roman" w:cs="Times New Roman"/>
          <w:b/>
          <w:bCs/>
          <w:sz w:val="22"/>
        </w:rPr>
        <w:t xml:space="preserve">Outcomes </w:t>
      </w:r>
    </w:p>
    <w:p w14:paraId="76198A26">
      <w:pPr>
        <w:spacing w:line="360" w:lineRule="auto"/>
        <w:rPr>
          <w:rFonts w:hint="default" w:ascii="Times New Roman" w:hAnsi="Times New Roman" w:cs="Times New Roman"/>
          <w:b/>
          <w:bCs/>
          <w:sz w:val="22"/>
        </w:rPr>
      </w:pPr>
      <w:r>
        <w:rPr>
          <w:rFonts w:hint="default" w:ascii="Times New Roman" w:hAnsi="Times New Roman" w:cs="Times New Roman"/>
          <w:color w:val="EE0000"/>
          <w:sz w:val="22"/>
        </w:rPr>
        <w:t>Clinical events refer to cardiovascular events and non-cardiovascular death.</w:t>
      </w:r>
      <w:r>
        <w:rPr>
          <w:rFonts w:hint="default" w:ascii="Times New Roman" w:hAnsi="Times New Roman" w:cs="Times New Roman"/>
          <w:sz w:val="22"/>
        </w:rPr>
        <w:t xml:space="preserve"> </w:t>
      </w:r>
      <w:r>
        <w:rPr>
          <w:rFonts w:hint="default" w:ascii="Times New Roman" w:hAnsi="Times New Roman" w:eastAsia="Calibri" w:cs="Times New Roman"/>
          <w:color w:val="EE0000"/>
          <w:sz w:val="22"/>
          <w:lang w:val="en-GB"/>
        </w:rPr>
        <w:t>Cardiovascular events were defined as a</w:t>
      </w:r>
      <w:r>
        <w:rPr>
          <w:rFonts w:hint="default" w:ascii="Times New Roman" w:hAnsi="Times New Roman" w:cs="Times New Roman"/>
          <w:color w:val="EE0000"/>
          <w:sz w:val="22"/>
          <w:lang w:val="en-GB"/>
        </w:rPr>
        <w:t xml:space="preserve"> </w:t>
      </w:r>
      <w:r>
        <w:rPr>
          <w:rFonts w:hint="default" w:ascii="Times New Roman" w:hAnsi="Times New Roman" w:eastAsia="Calibri" w:cs="Times New Roman"/>
          <w:color w:val="EE0000"/>
          <w:sz w:val="22"/>
          <w:lang w:val="en-GB"/>
        </w:rPr>
        <w:t xml:space="preserve">combined endpoint of </w:t>
      </w:r>
      <w:r>
        <w:rPr>
          <w:rFonts w:hint="default" w:ascii="Times New Roman" w:hAnsi="Times New Roman" w:cs="Times New Roman"/>
          <w:color w:val="EE0000"/>
          <w:sz w:val="22"/>
          <w:lang w:val="en-GB"/>
        </w:rPr>
        <w:t>MI</w:t>
      </w:r>
      <w:r>
        <w:rPr>
          <w:rFonts w:hint="default" w:ascii="Times New Roman" w:hAnsi="Times New Roman" w:eastAsia="Calibri" w:cs="Times New Roman"/>
          <w:color w:val="EE0000"/>
          <w:sz w:val="22"/>
          <w:lang w:val="en-GB"/>
        </w:rPr>
        <w:t>, ischemic stroke, cardiovascular death and heart failure for hospital.</w:t>
      </w:r>
      <w:r>
        <w:rPr>
          <w:rFonts w:hint="default" w:ascii="Times New Roman" w:hAnsi="Times New Roman" w:eastAsia="Calibri" w:cs="Times New Roman"/>
          <w:sz w:val="22"/>
          <w:lang w:val="en-GB"/>
        </w:rPr>
        <w:t xml:space="preserve"> </w:t>
      </w:r>
      <w:r>
        <w:rPr>
          <w:rFonts w:hint="default" w:ascii="Times New Roman" w:hAnsi="Times New Roman" w:cs="Times New Roman"/>
          <w:sz w:val="22"/>
        </w:rPr>
        <w:t>All clinical outcomes were deﬁned according to the Academic Research Consortium, including the addendum to the deﬁnition of MI.</w:t>
      </w:r>
      <w:r>
        <w:rPr>
          <w:rFonts w:hint="default" w:ascii="Times New Roman" w:hAnsi="Times New Roman" w:cs="Times New Roman"/>
          <w:sz w:val="22"/>
          <w:vertAlign w:val="superscript"/>
        </w:rPr>
        <w:t>2</w:t>
      </w:r>
      <w:r>
        <w:rPr>
          <w:rFonts w:hint="default" w:ascii="Times New Roman" w:hAnsi="Times New Roman" w:cs="Times New Roman"/>
          <w:sz w:val="22"/>
        </w:rPr>
        <w:t xml:space="preserve"> All deaths were considered cardiac in nature unless an undisputable noncardiac cause was present. Cardiac death in patients with multivessel interrogation was assigned to each of the interrogated vessels. MI was deﬁned as third universal deﬁnition of MI with a combination of criteria with mandated elevation of a cardiac biomarker, preferably high-sensitivity cardiac troponin, and at least 1 of the following: symptoms of ischemia, signiﬁcant ST- to T-wave changes, pathological Q waves, imaging evidence of new regional wall motion abnormality, or intracoronary thrombus. Periprocedural MI was not included as a clinical outcome.</w:t>
      </w:r>
      <w:r>
        <w:rPr>
          <w:rFonts w:hint="default" w:ascii="Times New Roman" w:hAnsi="Times New Roman" w:eastAsia="Calibri" w:cs="Times New Roman"/>
          <w:sz w:val="22"/>
          <w:lang w:val="en-GB"/>
        </w:rPr>
        <w:t xml:space="preserve"> </w:t>
      </w:r>
      <w:r>
        <w:rPr>
          <w:rFonts w:hint="default" w:ascii="Times New Roman" w:hAnsi="Times New Roman" w:cs="Times New Roman"/>
          <w:kern w:val="0"/>
          <w:sz w:val="22"/>
        </w:rPr>
        <w:t>New or worsening heart failure was defined as rehospitalization or prolongation of the index hospitalization (&gt;24 h) in an acute care facility primarily for the treatment of heart failure along with an objective sign of heart failure. Stroke did not include transient ischemic attack, and symptoms had to be present for 24 hours.</w:t>
      </w:r>
      <w:r>
        <w:rPr>
          <w:rFonts w:hint="default" w:ascii="Times New Roman" w:hAnsi="Times New Roman" w:cs="Times New Roman"/>
          <w:sz w:val="22"/>
        </w:rPr>
        <w:t xml:space="preserve"> </w:t>
      </w:r>
      <w:r>
        <w:rPr>
          <w:rFonts w:hint="default" w:ascii="Times New Roman" w:hAnsi="Times New Roman" w:eastAsia="Calibri" w:cs="Times New Roman"/>
          <w:sz w:val="22"/>
        </w:rPr>
        <w:t>Death registry ICD-10 codes indicative of AMI, atherosclerotic cardiovascular disease or ischemic heart disease, (I21-I25) were used for the identification of cases.</w:t>
      </w:r>
      <w:r>
        <w:rPr>
          <w:rFonts w:hint="default" w:ascii="Times New Roman" w:hAnsi="Times New Roman" w:cs="Times New Roman"/>
          <w:kern w:val="0"/>
          <w:sz w:val="22"/>
        </w:rPr>
        <w:t xml:space="preserve"> All clinical events were confirmed by a review of medical records and centrally adjudicated by a blinded outcomes committee unaware of the patients’ status, biochemical values, or treatment allocation.</w:t>
      </w:r>
    </w:p>
    <w:p w14:paraId="03A4A5C9">
      <w:pPr>
        <w:spacing w:line="360" w:lineRule="auto"/>
        <w:rPr>
          <w:rFonts w:hint="default" w:ascii="Times New Roman" w:hAnsi="Times New Roman" w:cs="Times New Roman"/>
          <w:b/>
          <w:bCs/>
          <w:sz w:val="22"/>
        </w:rPr>
      </w:pPr>
      <w:r>
        <w:rPr>
          <w:rFonts w:hint="default" w:ascii="Times New Roman" w:hAnsi="Times New Roman" w:cs="Times New Roman"/>
          <w:b/>
          <w:bCs/>
          <w:sz w:val="22"/>
        </w:rPr>
        <w:t>Clinical laboratory analyses</w:t>
      </w:r>
    </w:p>
    <w:p w14:paraId="018BF442">
      <w:pPr>
        <w:autoSpaceDE w:val="0"/>
        <w:autoSpaceDN w:val="0"/>
        <w:adjustRightInd w:val="0"/>
        <w:spacing w:line="360" w:lineRule="auto"/>
        <w:rPr>
          <w:rFonts w:hint="default" w:ascii="Times New Roman" w:hAnsi="Times New Roman" w:cs="Times New Roman"/>
          <w:kern w:val="0"/>
          <w:sz w:val="22"/>
        </w:rPr>
      </w:pPr>
      <w:r>
        <w:rPr>
          <w:rFonts w:hint="default" w:ascii="Times New Roman" w:hAnsi="Times New Roman" w:cs="Times New Roman"/>
          <w:sz w:val="22"/>
        </w:rPr>
        <w:t>Total cholesterol (TC), high-density lipoprotein (HDL) cholesterol, triglyceride (TG), and glucose levels were determined in serum samples. The Friedewald formula was used for the calculation of low-density lipoprotein (LDL) cholesterol levels.</w:t>
      </w:r>
      <w:r>
        <w:rPr>
          <w:rFonts w:hint="default" w:ascii="Times New Roman" w:hAnsi="Times New Roman" w:cs="Times New Roman"/>
          <w:sz w:val="22"/>
          <w:vertAlign w:val="superscript"/>
        </w:rPr>
        <w:t>3</w:t>
      </w:r>
      <w:r>
        <w:rPr>
          <w:rFonts w:hint="default" w:ascii="Times New Roman" w:hAnsi="Times New Roman" w:cs="Times New Roman"/>
          <w:sz w:val="22"/>
        </w:rPr>
        <w:t xml:space="preserve"> Plasma levels N-terminal pro B-type natriuretic peptide (NT-proBNP) were determined using electro chemiluminescence immunoassays. D-dimer levels were measured by microparticle enzyme immunoassay (Abbott Diagnostics) in the biomarker laboratory. Growth differentiation factor 15 (GDF-15) was measured with a GDF-15 pre-commercial assay. Additional biomarkers in stored plasma samples were chosen to reflect the range of pathobiological considered important in the development of atherothrombotic disease: lipoprotein (a), cystatin C, fibrinogen, Pregnancy-associated plasma protein-A (PAPP-A), Soluble suppression of tumorigenesis-2 (sST2), Hemoglobin A1c (HbA1c), uric acid (UA). </w:t>
      </w:r>
      <w:r>
        <w:rPr>
          <w:rFonts w:hint="default" w:ascii="Times New Roman" w:hAnsi="Times New Roman" w:cs="Times New Roman"/>
          <w:kern w:val="0"/>
          <w:sz w:val="22"/>
        </w:rPr>
        <w:t>Plasma fibrinogen was determined by STA-R (Diagnostica Stago, Germany) with reagents (STA-Fibrinogen, Diagnostica Stago).</w:t>
      </w:r>
      <w:r>
        <w:rPr>
          <w:rFonts w:hint="default" w:ascii="Times New Roman" w:hAnsi="Times New Roman" w:cs="Times New Roman"/>
          <w:kern w:val="0"/>
          <w:sz w:val="22"/>
          <w:vertAlign w:val="superscript"/>
        </w:rPr>
        <w:t>4</w:t>
      </w:r>
      <w:r>
        <w:rPr>
          <w:rFonts w:hint="default" w:ascii="Times New Roman" w:hAnsi="Times New Roman" w:cs="Times New Roman"/>
          <w:kern w:val="0"/>
          <w:sz w:val="22"/>
        </w:rPr>
        <w:t xml:space="preserve"> Plasma sST2 and PAPP-A were determined by use of quantitative sandwich ELISA kit (R&amp;D Systems, Minneapolis, Minnesota). The intra-assay and inter-assay coefficients of variations for all immunoassays mentioned above ranged between 1.8% and 14%. Minimum detection limit for GDF-15, sST2 and PAPP-A was 23.4 pg/mL, 31.3 pg/mL and 0.78 ng/mL.</w:t>
      </w:r>
      <w:r>
        <w:rPr>
          <w:rFonts w:hint="default" w:ascii="Times New Roman" w:hAnsi="Times New Roman" w:cs="Times New Roman"/>
          <w:sz w:val="22"/>
        </w:rPr>
        <w:t xml:space="preserve"> </w:t>
      </w:r>
      <w:r>
        <w:rPr>
          <w:rFonts w:hint="default" w:ascii="Times New Roman" w:hAnsi="Times New Roman" w:cs="Times New Roman"/>
          <w:kern w:val="0"/>
          <w:sz w:val="22"/>
        </w:rPr>
        <w:t>Plasma NT-proBNP was determined with an electrochemiluminescence sandwich immunoassay (ECLIA, Roche Diagnostics, Mannheim, Germany) on an Elecsys System 2010. The linear range of detection of this assay was 5 to 35 000 pg/mL. D-dimer was determined using the STA Liatest D-DI. The automated plasma D-dimer assay was performed by using an STA Compact Diagnostica Stago assay instrument (Diagnostica Stago).</w:t>
      </w:r>
      <w:r>
        <w:rPr>
          <w:rFonts w:hint="default" w:ascii="Times New Roman" w:hAnsi="Times New Roman" w:cs="Times New Roman"/>
          <w:kern w:val="0"/>
          <w:sz w:val="22"/>
          <w:vertAlign w:val="superscript"/>
        </w:rPr>
        <w:t>5</w:t>
      </w:r>
      <w:r>
        <w:rPr>
          <w:rFonts w:hint="default" w:ascii="Times New Roman" w:hAnsi="Times New Roman" w:cs="Times New Roman"/>
          <w:kern w:val="0"/>
          <w:sz w:val="22"/>
        </w:rPr>
        <w:t xml:space="preserve"> The manufacturer’s normal reference range is 0.22 to 4.0 μg/mL, with most normal people’s values being &lt;0.5 μg/mL. Plasma UA levels were measured by uricase-peroxidase method with a type 7020 Autoanalyzer (Hitachi, Tokyo, Japan).</w:t>
      </w:r>
      <w:r>
        <w:rPr>
          <w:rFonts w:hint="default" w:ascii="Times New Roman" w:hAnsi="Times New Roman" w:cs="Times New Roman"/>
          <w:kern w:val="0"/>
          <w:sz w:val="22"/>
          <w:vertAlign w:val="superscript"/>
        </w:rPr>
        <w:t>6</w:t>
      </w:r>
      <w:r>
        <w:rPr>
          <w:rFonts w:hint="default" w:ascii="Times New Roman" w:hAnsi="Times New Roman" w:cs="Times New Roman"/>
          <w:kern w:val="0"/>
          <w:sz w:val="22"/>
        </w:rPr>
        <w:t xml:space="preserve"> Fasting baseline glucose and creatinine were determined by use of routine methods of the respective study centers. All biochemical analyses were performed blinded to patient status. These biomarker assays were performed at the Clinical Research Center Laboratory at Beijing Chao-Yang hospital.</w:t>
      </w:r>
    </w:p>
    <w:p w14:paraId="0F07E3C9">
      <w:pPr>
        <w:autoSpaceDE w:val="0"/>
        <w:autoSpaceDN w:val="0"/>
        <w:adjustRightInd w:val="0"/>
        <w:spacing w:line="360" w:lineRule="auto"/>
        <w:rPr>
          <w:rFonts w:hint="default" w:ascii="Times New Roman" w:hAnsi="Times New Roman" w:cs="Times New Roman"/>
          <w:b/>
          <w:bCs/>
          <w:kern w:val="0"/>
          <w:sz w:val="22"/>
        </w:rPr>
      </w:pPr>
      <w:r>
        <w:rPr>
          <w:rFonts w:hint="default" w:ascii="Times New Roman" w:hAnsi="Times New Roman" w:cs="Times New Roman"/>
          <w:b/>
          <w:bCs/>
          <w:kern w:val="0"/>
          <w:sz w:val="22"/>
        </w:rPr>
        <w:t>Model development and Internal performance to evaluate short-term mortality</w:t>
      </w:r>
    </w:p>
    <w:p w14:paraId="474F70F5">
      <w:pPr>
        <w:autoSpaceDE w:val="0"/>
        <w:autoSpaceDN w:val="0"/>
        <w:adjustRightInd w:val="0"/>
        <w:spacing w:line="360" w:lineRule="auto"/>
        <w:rPr>
          <w:rFonts w:hint="default" w:ascii="Times New Roman" w:hAnsi="Times New Roman" w:cs="Times New Roman"/>
          <w:kern w:val="0"/>
          <w:sz w:val="22"/>
        </w:rPr>
      </w:pPr>
      <w:r>
        <w:rPr>
          <w:rFonts w:hint="default" w:ascii="Times New Roman" w:hAnsi="Times New Roman" w:cs="Times New Roman"/>
          <w:kern w:val="0"/>
          <w:sz w:val="22"/>
        </w:rPr>
        <w:t>In the training cohort, this model demonstrated excellent discrimination for 6-month mortality with a C-index of 0.88 (95% CI: 0.82–0.93), which was significantly higher than the GRACE 2.0 score (0.74, P&lt;0.001) (Supplementary Figure 4), as well as good calibration for 6-month mortality (Supplementary Figure 5). The calibration plot showed a calibration intercept of 0.00 and a slope of 1.01, indicating that the model’s predicted probabilities were highly consistent with the observed outcomes. This suggests that the model not only ranks risk accurately but also provides reliable absolute risk estimates for clinical decision-making. To rigorously assess the model's performance and potential overfitting, we conducted a bootstrap resampling procedure with 1,000 repetitions. This method allowed us to estimate the optimism in the model's discrimination ability. The results demonstrate that our model has strong internal validity. Specifically: The bootstrap corrected C-index is 0.87. The estimated optimism (Overfitting Degree) is only 0.01. These findings indicate that the model maintains robust predictive performance with minimal overfitting when applied to the development cohort.</w:t>
      </w:r>
    </w:p>
    <w:p w14:paraId="591363A2">
      <w:pPr>
        <w:autoSpaceDE w:val="0"/>
        <w:autoSpaceDN w:val="0"/>
        <w:adjustRightInd w:val="0"/>
        <w:spacing w:line="360" w:lineRule="auto"/>
        <w:ind w:firstLine="440" w:firstLineChars="200"/>
        <w:rPr>
          <w:rFonts w:hint="default" w:ascii="Times New Roman" w:hAnsi="Times New Roman" w:cs="Times New Roman"/>
          <w:kern w:val="0"/>
          <w:sz w:val="22"/>
        </w:rPr>
        <w:sectPr>
          <w:footerReference r:id="rId3" w:type="default"/>
          <w:pgSz w:w="11906" w:h="16838"/>
          <w:pgMar w:top="1440" w:right="1800" w:bottom="1440" w:left="1800" w:header="851" w:footer="992" w:gutter="0"/>
          <w:lnNumType w:countBy="1"/>
          <w:cols w:space="425" w:num="1"/>
          <w:docGrid w:type="lines" w:linePitch="312" w:charSpace="0"/>
        </w:sectPr>
      </w:pPr>
      <w:r>
        <w:rPr>
          <w:rFonts w:hint="default" w:ascii="Times New Roman" w:hAnsi="Times New Roman" w:cs="Times New Roman"/>
          <w:kern w:val="0"/>
          <w:sz w:val="22"/>
        </w:rPr>
        <w:t>We attempted to validate these findings using an independent external cohort. However, the sample size of the validation cohort was relatively small with the number of observed death events within the first 6 months been extremely limited (n=3), which limited the statistical power for outcome assessment. As statistical guidelines indicate that performance metrics (such as C-index) are highly unstable and unreliable with such a low number of events, we did not calculate the external C-index to avoid misleading interpretations. Consequently, the performance assessment for this short-term outcome is currently based on the robust internal training cohort analysis.</w:t>
      </w:r>
    </w:p>
    <w:p w14:paraId="1585B824">
      <w:pPr>
        <w:rPr>
          <w:rFonts w:hint="default" w:ascii="Times New Roman" w:hAnsi="Times New Roman" w:cs="Times New Roman"/>
          <w:color w:val="000000"/>
          <w:sz w:val="22"/>
        </w:rPr>
      </w:pPr>
      <w:r>
        <w:rPr>
          <w:rFonts w:hint="default" w:ascii="Times New Roman" w:hAnsi="Times New Roman" w:cs="Times New Roman"/>
          <w:color w:val="000000"/>
          <w:sz w:val="22"/>
        </w:rPr>
        <w:t>Supplementary Table 1 Missing data in the derivation and validation cohort.</w:t>
      </w:r>
    </w:p>
    <w:tbl>
      <w:tblPr>
        <w:tblStyle w:val="6"/>
        <w:tblW w:w="759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42"/>
        <w:gridCol w:w="2475"/>
        <w:gridCol w:w="2682"/>
      </w:tblGrid>
      <w:tr w14:paraId="274649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vMerge w:val="restart"/>
            <w:tcBorders>
              <w:top w:val="single" w:color="auto" w:sz="12" w:space="0"/>
            </w:tcBorders>
            <w:noWrap/>
            <w:vAlign w:val="center"/>
          </w:tcPr>
          <w:p w14:paraId="183062FE">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Variables</w:t>
            </w:r>
          </w:p>
        </w:tc>
        <w:tc>
          <w:tcPr>
            <w:tcW w:w="5157" w:type="dxa"/>
            <w:gridSpan w:val="2"/>
            <w:tcBorders>
              <w:top w:val="single" w:color="auto" w:sz="12" w:space="0"/>
              <w:bottom w:val="single" w:color="auto" w:sz="6" w:space="0"/>
            </w:tcBorders>
            <w:noWrap/>
            <w:vAlign w:val="center"/>
          </w:tcPr>
          <w:p w14:paraId="13F211FC">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Proportion of missing data（%）</w:t>
            </w:r>
          </w:p>
        </w:tc>
      </w:tr>
      <w:tr w14:paraId="4EEDDC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vMerge w:val="continue"/>
            <w:tcBorders>
              <w:bottom w:val="single" w:color="auto" w:sz="6" w:space="0"/>
            </w:tcBorders>
            <w:noWrap/>
            <w:vAlign w:val="center"/>
          </w:tcPr>
          <w:p w14:paraId="29727E2E">
            <w:pPr>
              <w:widowControl/>
              <w:jc w:val="left"/>
              <w:rPr>
                <w:rFonts w:hint="default" w:ascii="Times New Roman" w:hAnsi="Times New Roman" w:eastAsia="宋体" w:cs="Times New Roman"/>
                <w:color w:val="000000"/>
                <w:kern w:val="0"/>
                <w:sz w:val="22"/>
              </w:rPr>
            </w:pPr>
          </w:p>
        </w:tc>
        <w:tc>
          <w:tcPr>
            <w:tcW w:w="2475" w:type="dxa"/>
            <w:tcBorders>
              <w:top w:val="single" w:color="auto" w:sz="12" w:space="0"/>
              <w:bottom w:val="single" w:color="auto" w:sz="6" w:space="0"/>
            </w:tcBorders>
            <w:noWrap/>
            <w:vAlign w:val="center"/>
          </w:tcPr>
          <w:p w14:paraId="7A1EE0DB">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derivation cohort</w:t>
            </w:r>
          </w:p>
        </w:tc>
        <w:tc>
          <w:tcPr>
            <w:tcW w:w="2682" w:type="dxa"/>
            <w:tcBorders>
              <w:top w:val="single" w:color="auto" w:sz="12" w:space="0"/>
              <w:bottom w:val="single" w:color="auto" w:sz="6" w:space="0"/>
            </w:tcBorders>
            <w:noWrap/>
            <w:vAlign w:val="center"/>
          </w:tcPr>
          <w:p w14:paraId="14408687">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validation cohort</w:t>
            </w:r>
          </w:p>
        </w:tc>
      </w:tr>
      <w:tr w14:paraId="21A431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tcBorders>
              <w:top w:val="single" w:color="auto" w:sz="6" w:space="0"/>
            </w:tcBorders>
            <w:noWrap/>
            <w:vAlign w:val="center"/>
          </w:tcPr>
          <w:p w14:paraId="764B2433">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HbA1c, </w:t>
            </w:r>
            <w:r>
              <w:rPr>
                <w:rFonts w:hint="default" w:ascii="Times New Roman" w:hAnsi="Times New Roman" w:cs="Times New Roman"/>
                <w:color w:val="000000"/>
                <w:sz w:val="22"/>
              </w:rPr>
              <w:t>(%)</w:t>
            </w:r>
          </w:p>
        </w:tc>
        <w:tc>
          <w:tcPr>
            <w:tcW w:w="2475" w:type="dxa"/>
            <w:tcBorders>
              <w:top w:val="single" w:color="auto" w:sz="6" w:space="0"/>
            </w:tcBorders>
            <w:noWrap/>
            <w:vAlign w:val="center"/>
          </w:tcPr>
          <w:p w14:paraId="29BC8099">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49.71</w:t>
            </w:r>
          </w:p>
        </w:tc>
        <w:tc>
          <w:tcPr>
            <w:tcW w:w="2682" w:type="dxa"/>
            <w:tcBorders>
              <w:top w:val="single" w:color="auto" w:sz="6" w:space="0"/>
            </w:tcBorders>
            <w:noWrap/>
            <w:vAlign w:val="center"/>
          </w:tcPr>
          <w:p w14:paraId="7DBDAAB5">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48.15</w:t>
            </w:r>
          </w:p>
        </w:tc>
      </w:tr>
      <w:tr w14:paraId="4043B6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6C5C4C0C">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Lp(a)</w:t>
            </w:r>
            <w:r>
              <w:rPr>
                <w:rFonts w:hint="default" w:ascii="Times New Roman" w:hAnsi="Times New Roman" w:cs="Times New Roman"/>
                <w:color w:val="000000"/>
                <w:sz w:val="22"/>
              </w:rPr>
              <w:t>, mg/dL</w:t>
            </w:r>
          </w:p>
        </w:tc>
        <w:tc>
          <w:tcPr>
            <w:tcW w:w="2475" w:type="dxa"/>
            <w:noWrap/>
            <w:vAlign w:val="center"/>
          </w:tcPr>
          <w:p w14:paraId="2655A2D5">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54.32</w:t>
            </w:r>
          </w:p>
        </w:tc>
        <w:tc>
          <w:tcPr>
            <w:tcW w:w="2682" w:type="dxa"/>
            <w:noWrap/>
            <w:vAlign w:val="center"/>
          </w:tcPr>
          <w:p w14:paraId="5C041EAF">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 xml:space="preserve">1.29 </w:t>
            </w:r>
          </w:p>
        </w:tc>
      </w:tr>
      <w:tr w14:paraId="5E720A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4FE231EA">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Cystatin C</w:t>
            </w:r>
            <w:r>
              <w:rPr>
                <w:rFonts w:hint="default" w:ascii="Times New Roman" w:hAnsi="Times New Roman" w:cs="Times New Roman"/>
                <w:color w:val="000000"/>
                <w:sz w:val="22"/>
              </w:rPr>
              <w:t>, mg/L</w:t>
            </w:r>
          </w:p>
        </w:tc>
        <w:tc>
          <w:tcPr>
            <w:tcW w:w="2475" w:type="dxa"/>
            <w:noWrap/>
            <w:vAlign w:val="center"/>
          </w:tcPr>
          <w:p w14:paraId="16B17A12">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71.28</w:t>
            </w:r>
          </w:p>
        </w:tc>
        <w:tc>
          <w:tcPr>
            <w:tcW w:w="2682" w:type="dxa"/>
            <w:noWrap/>
            <w:vAlign w:val="center"/>
          </w:tcPr>
          <w:p w14:paraId="3D80B2F4">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66.42</w:t>
            </w:r>
          </w:p>
        </w:tc>
      </w:tr>
      <w:tr w14:paraId="36C3FC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57A37F83">
            <w:pPr>
              <w:widowControl/>
              <w:jc w:val="left"/>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eGFR, ml/min/1.73 m</w:t>
            </w:r>
            <w:r>
              <w:rPr>
                <w:rFonts w:hint="default" w:ascii="Times New Roman" w:hAnsi="Times New Roman" w:cs="Times New Roman"/>
                <w:color w:val="000000"/>
                <w:sz w:val="22"/>
                <w:vertAlign w:val="superscript"/>
              </w:rPr>
              <w:t>2</w:t>
            </w:r>
          </w:p>
        </w:tc>
        <w:tc>
          <w:tcPr>
            <w:tcW w:w="2475" w:type="dxa"/>
            <w:noWrap/>
            <w:vAlign w:val="center"/>
          </w:tcPr>
          <w:p w14:paraId="7C828757">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14.5</w:t>
            </w:r>
          </w:p>
        </w:tc>
        <w:tc>
          <w:tcPr>
            <w:tcW w:w="2682" w:type="dxa"/>
            <w:noWrap/>
            <w:vAlign w:val="center"/>
          </w:tcPr>
          <w:p w14:paraId="067CDD39">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r>
      <w:tr w14:paraId="2CCDCD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4DD91A3A">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 xml:space="preserve">WBC </w:t>
            </w:r>
            <w:r>
              <w:rPr>
                <w:rFonts w:hint="default" w:ascii="Times New Roman" w:hAnsi="Times New Roman" w:cs="Times New Roman"/>
                <w:color w:val="000000"/>
                <w:sz w:val="22"/>
              </w:rPr>
              <w:t>, 10e</w:t>
            </w:r>
            <w:r>
              <w:rPr>
                <w:rFonts w:hint="default" w:ascii="Times New Roman" w:hAnsi="Times New Roman" w:cs="Times New Roman"/>
                <w:color w:val="000000"/>
                <w:sz w:val="22"/>
                <w:vertAlign w:val="superscript"/>
              </w:rPr>
              <w:t>9</w:t>
            </w:r>
            <w:r>
              <w:rPr>
                <w:rFonts w:hint="default" w:ascii="Times New Roman" w:hAnsi="Times New Roman" w:cs="Times New Roman"/>
                <w:color w:val="000000"/>
                <w:sz w:val="22"/>
              </w:rPr>
              <w:t>/L</w:t>
            </w:r>
          </w:p>
        </w:tc>
        <w:tc>
          <w:tcPr>
            <w:tcW w:w="2475" w:type="dxa"/>
            <w:noWrap/>
            <w:vAlign w:val="center"/>
          </w:tcPr>
          <w:p w14:paraId="31E30708">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0.07</w:t>
            </w:r>
          </w:p>
        </w:tc>
        <w:tc>
          <w:tcPr>
            <w:tcW w:w="2682" w:type="dxa"/>
            <w:noWrap/>
            <w:vAlign w:val="center"/>
          </w:tcPr>
          <w:p w14:paraId="7C152F88">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0.12</w:t>
            </w:r>
          </w:p>
        </w:tc>
      </w:tr>
      <w:tr w14:paraId="46E4A6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74B4FEDA">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PLT</w:t>
            </w:r>
            <w:r>
              <w:rPr>
                <w:rFonts w:hint="default" w:ascii="Times New Roman" w:hAnsi="Times New Roman" w:cs="Times New Roman"/>
                <w:color w:val="000000"/>
                <w:sz w:val="22"/>
              </w:rPr>
              <w:t>, 10e</w:t>
            </w:r>
            <w:r>
              <w:rPr>
                <w:rFonts w:hint="default" w:ascii="Times New Roman" w:hAnsi="Times New Roman" w:cs="Times New Roman"/>
                <w:color w:val="000000"/>
                <w:sz w:val="22"/>
                <w:vertAlign w:val="superscript"/>
              </w:rPr>
              <w:t>9</w:t>
            </w:r>
            <w:r>
              <w:rPr>
                <w:rFonts w:hint="default" w:ascii="Times New Roman" w:hAnsi="Times New Roman" w:cs="Times New Roman"/>
                <w:color w:val="000000"/>
                <w:sz w:val="22"/>
              </w:rPr>
              <w:t>/L</w:t>
            </w:r>
          </w:p>
        </w:tc>
        <w:tc>
          <w:tcPr>
            <w:tcW w:w="2475" w:type="dxa"/>
            <w:noWrap/>
            <w:vAlign w:val="center"/>
          </w:tcPr>
          <w:p w14:paraId="56D797FF">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0.33</w:t>
            </w:r>
          </w:p>
        </w:tc>
        <w:tc>
          <w:tcPr>
            <w:tcW w:w="2682" w:type="dxa"/>
            <w:noWrap/>
            <w:vAlign w:val="center"/>
          </w:tcPr>
          <w:p w14:paraId="3D1F416B">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0.20</w:t>
            </w:r>
          </w:p>
        </w:tc>
      </w:tr>
      <w:tr w14:paraId="0434CA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tcPr>
          <w:p w14:paraId="1C77A83A">
            <w:pPr>
              <w:widowControl/>
              <w:jc w:val="left"/>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LVEDd, mm</w:t>
            </w:r>
          </w:p>
        </w:tc>
        <w:tc>
          <w:tcPr>
            <w:tcW w:w="2475" w:type="dxa"/>
            <w:noWrap/>
            <w:vAlign w:val="center"/>
          </w:tcPr>
          <w:p w14:paraId="2D0DAFB3">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8.46</w:t>
            </w:r>
          </w:p>
        </w:tc>
        <w:tc>
          <w:tcPr>
            <w:tcW w:w="2682" w:type="dxa"/>
            <w:noWrap/>
            <w:vAlign w:val="center"/>
          </w:tcPr>
          <w:p w14:paraId="14E37D25">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11.07</w:t>
            </w:r>
          </w:p>
        </w:tc>
      </w:tr>
      <w:tr w14:paraId="5848A2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tcPr>
          <w:p w14:paraId="129D73D9">
            <w:pPr>
              <w:widowControl/>
              <w:jc w:val="left"/>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LVEDs, mm</w:t>
            </w:r>
          </w:p>
        </w:tc>
        <w:tc>
          <w:tcPr>
            <w:tcW w:w="2475" w:type="dxa"/>
            <w:noWrap/>
            <w:vAlign w:val="center"/>
          </w:tcPr>
          <w:p w14:paraId="04960681">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9.78</w:t>
            </w:r>
          </w:p>
        </w:tc>
        <w:tc>
          <w:tcPr>
            <w:tcW w:w="2682" w:type="dxa"/>
            <w:noWrap/>
            <w:vAlign w:val="center"/>
          </w:tcPr>
          <w:p w14:paraId="6978610F">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12.18</w:t>
            </w:r>
          </w:p>
        </w:tc>
      </w:tr>
      <w:tr w14:paraId="39C5E2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7CBDFDAC">
            <w:pPr>
              <w:widowControl/>
              <w:jc w:val="left"/>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Smoker, n (%)</w:t>
            </w:r>
          </w:p>
        </w:tc>
        <w:tc>
          <w:tcPr>
            <w:tcW w:w="2475" w:type="dxa"/>
            <w:noWrap/>
            <w:vAlign w:val="center"/>
          </w:tcPr>
          <w:p w14:paraId="4A756182">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w:t>
            </w:r>
          </w:p>
        </w:tc>
        <w:tc>
          <w:tcPr>
            <w:tcW w:w="2682" w:type="dxa"/>
            <w:noWrap/>
            <w:vAlign w:val="center"/>
          </w:tcPr>
          <w:p w14:paraId="515174D0">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r>
      <w:tr w14:paraId="076F5E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4259319A">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DBP, mmHg</w:t>
            </w:r>
          </w:p>
        </w:tc>
        <w:tc>
          <w:tcPr>
            <w:tcW w:w="2475" w:type="dxa"/>
            <w:noWrap/>
            <w:vAlign w:val="center"/>
          </w:tcPr>
          <w:p w14:paraId="635E6709">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w:t>
            </w:r>
          </w:p>
        </w:tc>
        <w:tc>
          <w:tcPr>
            <w:tcW w:w="2682" w:type="dxa"/>
            <w:noWrap/>
            <w:vAlign w:val="center"/>
          </w:tcPr>
          <w:p w14:paraId="665B2A48">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r>
      <w:tr w14:paraId="007564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6C9BA9E3">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Hyperlipidemia, n (%)</w:t>
            </w:r>
          </w:p>
        </w:tc>
        <w:tc>
          <w:tcPr>
            <w:tcW w:w="2475" w:type="dxa"/>
            <w:noWrap/>
            <w:vAlign w:val="center"/>
          </w:tcPr>
          <w:p w14:paraId="7A268899">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0.07</w:t>
            </w:r>
          </w:p>
        </w:tc>
        <w:tc>
          <w:tcPr>
            <w:tcW w:w="2682" w:type="dxa"/>
            <w:noWrap/>
            <w:vAlign w:val="center"/>
          </w:tcPr>
          <w:p w14:paraId="719C709C">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r>
      <w:tr w14:paraId="6D58A4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1032C000">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PAD, n (%)</w:t>
            </w:r>
          </w:p>
        </w:tc>
        <w:tc>
          <w:tcPr>
            <w:tcW w:w="2475" w:type="dxa"/>
            <w:noWrap/>
            <w:vAlign w:val="center"/>
          </w:tcPr>
          <w:p w14:paraId="7D8EA5DA">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w:t>
            </w:r>
          </w:p>
        </w:tc>
        <w:tc>
          <w:tcPr>
            <w:tcW w:w="2682" w:type="dxa"/>
            <w:noWrap/>
            <w:vAlign w:val="center"/>
          </w:tcPr>
          <w:p w14:paraId="49D34B62">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r>
      <w:tr w14:paraId="2F8D32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4A013998">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TC</w:t>
            </w:r>
            <w:r>
              <w:rPr>
                <w:rFonts w:hint="default" w:ascii="Times New Roman" w:hAnsi="Times New Roman" w:cs="Times New Roman"/>
                <w:color w:val="000000"/>
                <w:sz w:val="22"/>
              </w:rPr>
              <w:t>, mmol/L</w:t>
            </w:r>
          </w:p>
        </w:tc>
        <w:tc>
          <w:tcPr>
            <w:tcW w:w="2475" w:type="dxa"/>
            <w:noWrap/>
            <w:vAlign w:val="center"/>
          </w:tcPr>
          <w:p w14:paraId="71999F17">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0.07</w:t>
            </w:r>
          </w:p>
        </w:tc>
        <w:tc>
          <w:tcPr>
            <w:tcW w:w="2682" w:type="dxa"/>
            <w:noWrap/>
            <w:vAlign w:val="center"/>
          </w:tcPr>
          <w:p w14:paraId="146CCFE3">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1.29</w:t>
            </w:r>
          </w:p>
        </w:tc>
      </w:tr>
      <w:tr w14:paraId="0F7EF1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44BABC52">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HDL-C</w:t>
            </w:r>
            <w:r>
              <w:rPr>
                <w:rFonts w:hint="default" w:ascii="Times New Roman" w:hAnsi="Times New Roman" w:cs="Times New Roman"/>
                <w:color w:val="000000"/>
                <w:sz w:val="22"/>
              </w:rPr>
              <w:t>, mmol/L</w:t>
            </w:r>
          </w:p>
        </w:tc>
        <w:tc>
          <w:tcPr>
            <w:tcW w:w="2475" w:type="dxa"/>
            <w:noWrap/>
            <w:vAlign w:val="center"/>
          </w:tcPr>
          <w:p w14:paraId="3E42B07F">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0.07</w:t>
            </w:r>
          </w:p>
        </w:tc>
        <w:tc>
          <w:tcPr>
            <w:tcW w:w="2682" w:type="dxa"/>
            <w:noWrap/>
            <w:vAlign w:val="center"/>
          </w:tcPr>
          <w:p w14:paraId="5CD10130">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1.29</w:t>
            </w:r>
          </w:p>
        </w:tc>
      </w:tr>
      <w:tr w14:paraId="514696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22020076">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LDL-C</w:t>
            </w:r>
            <w:r>
              <w:rPr>
                <w:rFonts w:hint="default" w:ascii="Times New Roman" w:hAnsi="Times New Roman" w:cs="Times New Roman"/>
                <w:color w:val="000000"/>
                <w:sz w:val="22"/>
              </w:rPr>
              <w:t>, mmol/L</w:t>
            </w:r>
          </w:p>
        </w:tc>
        <w:tc>
          <w:tcPr>
            <w:tcW w:w="2475" w:type="dxa"/>
            <w:noWrap/>
            <w:vAlign w:val="center"/>
          </w:tcPr>
          <w:p w14:paraId="48CDE87B">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w:t>
            </w:r>
          </w:p>
        </w:tc>
        <w:tc>
          <w:tcPr>
            <w:tcW w:w="2682" w:type="dxa"/>
            <w:noWrap/>
            <w:vAlign w:val="center"/>
          </w:tcPr>
          <w:p w14:paraId="158F9CED">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1.29</w:t>
            </w:r>
          </w:p>
        </w:tc>
      </w:tr>
      <w:tr w14:paraId="60D2F8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1D798061">
            <w:pPr>
              <w:widowControl/>
              <w:jc w:val="left"/>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ACE-inhibitors, n (%)</w:t>
            </w:r>
          </w:p>
        </w:tc>
        <w:tc>
          <w:tcPr>
            <w:tcW w:w="2475" w:type="dxa"/>
            <w:noWrap/>
            <w:vAlign w:val="center"/>
          </w:tcPr>
          <w:p w14:paraId="020C8962">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0.11</w:t>
            </w:r>
          </w:p>
        </w:tc>
        <w:tc>
          <w:tcPr>
            <w:tcW w:w="2682" w:type="dxa"/>
            <w:noWrap/>
            <w:vAlign w:val="center"/>
          </w:tcPr>
          <w:p w14:paraId="7E4877D6">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0.18</w:t>
            </w:r>
          </w:p>
        </w:tc>
      </w:tr>
      <w:tr w14:paraId="2EDEA6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639D44CE">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Statins</w:t>
            </w:r>
            <w:r>
              <w:rPr>
                <w:rFonts w:hint="default" w:ascii="Times New Roman" w:hAnsi="Times New Roman" w:cs="Times New Roman"/>
                <w:color w:val="000000"/>
                <w:sz w:val="22"/>
              </w:rPr>
              <w:t>, n (%)</w:t>
            </w:r>
          </w:p>
        </w:tc>
        <w:tc>
          <w:tcPr>
            <w:tcW w:w="2475" w:type="dxa"/>
            <w:noWrap/>
            <w:vAlign w:val="center"/>
          </w:tcPr>
          <w:p w14:paraId="2EAE4912">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w:t>
            </w:r>
          </w:p>
        </w:tc>
        <w:tc>
          <w:tcPr>
            <w:tcW w:w="2682" w:type="dxa"/>
            <w:noWrap/>
            <w:vAlign w:val="center"/>
          </w:tcPr>
          <w:p w14:paraId="16F36E60">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r>
      <w:tr w14:paraId="7EE5EF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6328E5E7">
            <w:pPr>
              <w:widowControl/>
              <w:jc w:val="left"/>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Beta-blocker, n (%)</w:t>
            </w:r>
          </w:p>
        </w:tc>
        <w:tc>
          <w:tcPr>
            <w:tcW w:w="2475" w:type="dxa"/>
            <w:noWrap/>
            <w:vAlign w:val="center"/>
          </w:tcPr>
          <w:p w14:paraId="5AE1F271">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0.29</w:t>
            </w:r>
          </w:p>
        </w:tc>
        <w:tc>
          <w:tcPr>
            <w:tcW w:w="2682" w:type="dxa"/>
            <w:noWrap/>
            <w:vAlign w:val="center"/>
          </w:tcPr>
          <w:p w14:paraId="4B29627D">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0.37</w:t>
            </w:r>
          </w:p>
        </w:tc>
      </w:tr>
      <w:tr w14:paraId="779BF8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76620962">
            <w:pPr>
              <w:widowControl/>
              <w:jc w:val="left"/>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Hemoglobin, g/L</w:t>
            </w:r>
          </w:p>
        </w:tc>
        <w:tc>
          <w:tcPr>
            <w:tcW w:w="2475" w:type="dxa"/>
            <w:noWrap/>
            <w:vAlign w:val="center"/>
          </w:tcPr>
          <w:p w14:paraId="6CD64916">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0.04</w:t>
            </w:r>
          </w:p>
        </w:tc>
        <w:tc>
          <w:tcPr>
            <w:tcW w:w="2682" w:type="dxa"/>
            <w:noWrap/>
            <w:vAlign w:val="center"/>
          </w:tcPr>
          <w:p w14:paraId="0A999D73">
            <w:pPr>
              <w:widowControl/>
              <w:jc w:val="center"/>
              <w:rPr>
                <w:rFonts w:hint="default" w:ascii="Times New Roman" w:hAnsi="Times New Roman" w:eastAsia="宋体" w:cs="Times New Roman"/>
                <w:color w:val="000000"/>
                <w:kern w:val="0"/>
                <w:sz w:val="22"/>
              </w:rPr>
            </w:pPr>
            <w:r>
              <w:rPr>
                <w:rFonts w:hint="default" w:ascii="Times New Roman" w:hAnsi="Times New Roman" w:cs="Times New Roman"/>
                <w:color w:val="000000"/>
                <w:sz w:val="22"/>
              </w:rPr>
              <w:t>0.19</w:t>
            </w:r>
          </w:p>
        </w:tc>
      </w:tr>
      <w:tr w14:paraId="6626A0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2C511D41">
            <w:pPr>
              <w:widowControl/>
              <w:jc w:val="left"/>
              <w:rPr>
                <w:rFonts w:hint="default" w:ascii="Times New Roman" w:hAnsi="Times New Roman" w:cs="Times New Roman"/>
                <w:color w:val="000000"/>
                <w:sz w:val="22"/>
              </w:rPr>
            </w:pPr>
            <w:r>
              <w:rPr>
                <w:rFonts w:hint="default" w:ascii="Times New Roman" w:hAnsi="Times New Roman" w:eastAsia="宋体" w:cs="Times New Roman"/>
                <w:color w:val="000000"/>
                <w:kern w:val="0"/>
                <w:sz w:val="22"/>
              </w:rPr>
              <w:t>Glucose</w:t>
            </w:r>
            <w:r>
              <w:rPr>
                <w:rFonts w:hint="default" w:ascii="Times New Roman" w:hAnsi="Times New Roman" w:cs="Times New Roman"/>
                <w:color w:val="000000"/>
                <w:sz w:val="22"/>
              </w:rPr>
              <w:t>,</w:t>
            </w:r>
            <w:r>
              <w:rPr>
                <w:rFonts w:hint="default" w:ascii="Times New Roman" w:hAnsi="Times New Roman" w:eastAsia="宋体" w:cs="Times New Roman"/>
                <w:color w:val="000000"/>
                <w:kern w:val="0"/>
                <w:sz w:val="22"/>
              </w:rPr>
              <w:t xml:space="preserve"> mmol/L</w:t>
            </w:r>
          </w:p>
        </w:tc>
        <w:tc>
          <w:tcPr>
            <w:tcW w:w="2475" w:type="dxa"/>
            <w:noWrap/>
            <w:vAlign w:val="center"/>
          </w:tcPr>
          <w:p w14:paraId="7C38A914">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c>
          <w:tcPr>
            <w:tcW w:w="2682" w:type="dxa"/>
            <w:noWrap/>
            <w:vAlign w:val="center"/>
          </w:tcPr>
          <w:p w14:paraId="3A017DC3">
            <w:pPr>
              <w:widowControl/>
              <w:jc w:val="center"/>
              <w:rPr>
                <w:rFonts w:hint="default" w:ascii="Times New Roman" w:hAnsi="Times New Roman" w:cs="Times New Roman"/>
                <w:color w:val="000000"/>
                <w:sz w:val="22"/>
              </w:rPr>
            </w:pPr>
            <w:r>
              <w:rPr>
                <w:rFonts w:hint="default" w:ascii="Times New Roman" w:hAnsi="Times New Roman" w:cs="Times New Roman"/>
                <w:color w:val="000000"/>
                <w:sz w:val="22"/>
              </w:rPr>
              <w:t>6.64</w:t>
            </w:r>
          </w:p>
        </w:tc>
      </w:tr>
      <w:tr w14:paraId="06E6F6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0731D12A">
            <w:pPr>
              <w:widowControl/>
              <w:jc w:val="left"/>
              <w:rPr>
                <w:rFonts w:hint="default" w:ascii="Times New Roman" w:hAnsi="Times New Roman" w:cs="Times New Roman"/>
                <w:color w:val="000000"/>
                <w:sz w:val="22"/>
              </w:rPr>
            </w:pPr>
            <w:r>
              <w:rPr>
                <w:rFonts w:hint="default" w:ascii="Times New Roman" w:hAnsi="Times New Roman" w:eastAsia="宋体" w:cs="Times New Roman"/>
                <w:color w:val="000000"/>
                <w:kern w:val="0"/>
                <w:sz w:val="22"/>
              </w:rPr>
              <w:t>Multivessel disease</w:t>
            </w:r>
            <w:r>
              <w:rPr>
                <w:rFonts w:hint="default" w:ascii="Times New Roman" w:hAnsi="Times New Roman" w:cs="Times New Roman"/>
                <w:color w:val="000000"/>
                <w:sz w:val="22"/>
              </w:rPr>
              <w:t>, n (%)</w:t>
            </w:r>
          </w:p>
        </w:tc>
        <w:tc>
          <w:tcPr>
            <w:tcW w:w="2475" w:type="dxa"/>
            <w:noWrap/>
            <w:vAlign w:val="center"/>
          </w:tcPr>
          <w:p w14:paraId="340B4956">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c>
          <w:tcPr>
            <w:tcW w:w="2682" w:type="dxa"/>
            <w:noWrap/>
            <w:vAlign w:val="center"/>
          </w:tcPr>
          <w:p w14:paraId="508E274D">
            <w:pPr>
              <w:widowControl/>
              <w:jc w:val="center"/>
              <w:rPr>
                <w:rFonts w:hint="default" w:ascii="Times New Roman" w:hAnsi="Times New Roman" w:cs="Times New Roman"/>
                <w:color w:val="000000"/>
                <w:sz w:val="22"/>
              </w:rPr>
            </w:pPr>
            <w:r>
              <w:rPr>
                <w:rFonts w:hint="default" w:ascii="Times New Roman" w:hAnsi="Times New Roman" w:cs="Times New Roman"/>
                <w:color w:val="000000"/>
                <w:sz w:val="22"/>
              </w:rPr>
              <w:t>1.11</w:t>
            </w:r>
          </w:p>
        </w:tc>
      </w:tr>
      <w:tr w14:paraId="433410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79329249">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Hypertension</w:t>
            </w:r>
            <w:r>
              <w:rPr>
                <w:rFonts w:hint="default" w:ascii="Times New Roman" w:hAnsi="Times New Roman" w:cs="Times New Roman"/>
                <w:color w:val="000000"/>
                <w:sz w:val="22"/>
              </w:rPr>
              <w:t>, n (%)</w:t>
            </w:r>
          </w:p>
        </w:tc>
        <w:tc>
          <w:tcPr>
            <w:tcW w:w="2475" w:type="dxa"/>
            <w:noWrap/>
            <w:vAlign w:val="center"/>
          </w:tcPr>
          <w:p w14:paraId="397734EB">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c>
          <w:tcPr>
            <w:tcW w:w="2682" w:type="dxa"/>
            <w:noWrap/>
          </w:tcPr>
          <w:p w14:paraId="4F6D4C2B">
            <w:pPr>
              <w:widowControl/>
              <w:jc w:val="center"/>
              <w:rPr>
                <w:rFonts w:hint="default" w:ascii="Times New Roman" w:hAnsi="Times New Roman" w:cs="Times New Roman"/>
                <w:color w:val="000000"/>
                <w:sz w:val="22"/>
              </w:rPr>
            </w:pPr>
            <w:r>
              <w:rPr>
                <w:rFonts w:hint="default" w:ascii="Times New Roman" w:hAnsi="Times New Roman" w:cs="Times New Roman"/>
                <w:color w:val="000000"/>
                <w:sz w:val="22"/>
              </w:rPr>
              <w:t xml:space="preserve">0.18 </w:t>
            </w:r>
          </w:p>
        </w:tc>
      </w:tr>
      <w:tr w14:paraId="332393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7ADBCB6B">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BMI，kg/m²</w:t>
            </w:r>
          </w:p>
        </w:tc>
        <w:tc>
          <w:tcPr>
            <w:tcW w:w="2475" w:type="dxa"/>
            <w:noWrap/>
            <w:vAlign w:val="center"/>
          </w:tcPr>
          <w:p w14:paraId="42462404">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c>
          <w:tcPr>
            <w:tcW w:w="2682" w:type="dxa"/>
            <w:noWrap/>
          </w:tcPr>
          <w:p w14:paraId="099B32AB">
            <w:pPr>
              <w:widowControl/>
              <w:jc w:val="center"/>
              <w:rPr>
                <w:rFonts w:hint="default" w:ascii="Times New Roman" w:hAnsi="Times New Roman" w:cs="Times New Roman"/>
                <w:color w:val="000000"/>
                <w:sz w:val="22"/>
              </w:rPr>
            </w:pPr>
            <w:r>
              <w:rPr>
                <w:rFonts w:hint="default" w:ascii="Times New Roman" w:hAnsi="Times New Roman" w:cs="Times New Roman"/>
                <w:color w:val="000000"/>
                <w:sz w:val="22"/>
              </w:rPr>
              <w:t xml:space="preserve">0.18 </w:t>
            </w:r>
          </w:p>
        </w:tc>
      </w:tr>
      <w:tr w14:paraId="6FA37D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442" w:type="dxa"/>
            <w:noWrap/>
            <w:vAlign w:val="center"/>
          </w:tcPr>
          <w:p w14:paraId="08FE1C5B">
            <w:pPr>
              <w:widowControl/>
              <w:jc w:val="left"/>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UA，mg/dL</w:t>
            </w:r>
          </w:p>
        </w:tc>
        <w:tc>
          <w:tcPr>
            <w:tcW w:w="2475" w:type="dxa"/>
            <w:noWrap/>
            <w:vAlign w:val="center"/>
          </w:tcPr>
          <w:p w14:paraId="633A7DB2">
            <w:pPr>
              <w:widowControl/>
              <w:jc w:val="center"/>
              <w:rPr>
                <w:rFonts w:hint="default" w:ascii="Times New Roman" w:hAnsi="Times New Roman" w:eastAsia="宋体" w:cs="Times New Roman"/>
                <w:color w:val="000000"/>
                <w:kern w:val="0"/>
                <w:sz w:val="22"/>
              </w:rPr>
            </w:pPr>
            <w:r>
              <w:rPr>
                <w:rFonts w:hint="default" w:ascii="Times New Roman" w:hAnsi="Times New Roman" w:eastAsia="宋体" w:cs="Times New Roman"/>
                <w:color w:val="000000"/>
                <w:kern w:val="0"/>
                <w:sz w:val="22"/>
              </w:rPr>
              <w:t>-</w:t>
            </w:r>
          </w:p>
        </w:tc>
        <w:tc>
          <w:tcPr>
            <w:tcW w:w="2682" w:type="dxa"/>
            <w:noWrap/>
          </w:tcPr>
          <w:p w14:paraId="48D211E9">
            <w:pPr>
              <w:widowControl/>
              <w:jc w:val="center"/>
              <w:rPr>
                <w:rFonts w:hint="default" w:ascii="Times New Roman" w:hAnsi="Times New Roman" w:cs="Times New Roman"/>
                <w:color w:val="000000"/>
                <w:sz w:val="22"/>
              </w:rPr>
            </w:pPr>
            <w:r>
              <w:rPr>
                <w:rFonts w:hint="default" w:ascii="Times New Roman" w:hAnsi="Times New Roman" w:cs="Times New Roman"/>
                <w:color w:val="000000"/>
                <w:sz w:val="22"/>
              </w:rPr>
              <w:t xml:space="preserve">0.18 </w:t>
            </w:r>
          </w:p>
        </w:tc>
      </w:tr>
    </w:tbl>
    <w:p w14:paraId="738CB525">
      <w:pPr>
        <w:spacing w:line="360" w:lineRule="auto"/>
        <w:rPr>
          <w:rFonts w:hint="default" w:ascii="Times New Roman" w:hAnsi="Times New Roman" w:cs="Times New Roman"/>
          <w:sz w:val="22"/>
        </w:rPr>
      </w:pPr>
      <w:r>
        <w:rPr>
          <w:rFonts w:hint="default" w:ascii="Times New Roman" w:hAnsi="Times New Roman" w:cs="Times New Roman"/>
          <w:sz w:val="22"/>
        </w:rPr>
        <w:t>Abbreviations: DBP: diastolic blood pressure; BMI, body mass index; MI: myocardial infarction; PCI, percutaneous coronary intervention; CABG, coronary artery bypass graft; PAD: peripheral atherosclerosis disease; WBC: white blood cell; PLT: platelet; TC: total cholesterol; TG: total triglyceride; HDL-C, high-density lipoprotein cholesterol; LDL-C: low-density lipoprotein cholesterol; eGFR: estimated glomerular filtration rate; HbA1c: glycated hemoglobin; LVEDd: left ventricular end diastolic diameter; LVEDs: left ventricular end systolic diameter; ACE: angiotensin converting enzyme</w:t>
      </w:r>
    </w:p>
    <w:p w14:paraId="67E06A01">
      <w:pPr>
        <w:spacing w:line="360" w:lineRule="auto"/>
        <w:rPr>
          <w:rFonts w:hint="default" w:ascii="Times New Roman" w:hAnsi="Times New Roman" w:cs="Times New Roman"/>
          <w:sz w:val="22"/>
        </w:rPr>
      </w:pPr>
      <w:r>
        <w:rPr>
          <w:rFonts w:hint="default" w:ascii="Times New Roman" w:hAnsi="Times New Roman" w:cs="Times New Roman"/>
          <w:b/>
          <w:bCs/>
          <w:sz w:val="22"/>
        </w:rPr>
        <w:t>Supplementary Table 2.</w:t>
      </w:r>
      <w:r>
        <w:rPr>
          <w:rFonts w:hint="default" w:ascii="Times New Roman" w:hAnsi="Times New Roman" w:cs="Times New Roman"/>
          <w:sz w:val="22"/>
        </w:rPr>
        <w:t xml:space="preserve"> Variables included in the model construction analysis for ACS prognosis </w:t>
      </w:r>
    </w:p>
    <w:tbl>
      <w:tblPr>
        <w:tblStyle w:val="7"/>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5529"/>
      </w:tblGrid>
      <w:tr w14:paraId="29ED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Pr>
          <w:p w14:paraId="274FA319">
            <w:pPr>
              <w:spacing w:line="360" w:lineRule="auto"/>
              <w:rPr>
                <w:rFonts w:hint="default" w:ascii="Times New Roman" w:hAnsi="Times New Roman" w:cs="Times New Roman"/>
                <w:b/>
                <w:bCs/>
                <w:sz w:val="22"/>
              </w:rPr>
            </w:pPr>
            <w:r>
              <w:rPr>
                <w:rFonts w:hint="default" w:ascii="Times New Roman" w:hAnsi="Times New Roman" w:cs="Times New Roman"/>
                <w:b/>
                <w:bCs/>
                <w:sz w:val="22"/>
              </w:rPr>
              <w:t>Clinical risk factors (C)</w:t>
            </w:r>
          </w:p>
        </w:tc>
        <w:tc>
          <w:tcPr>
            <w:tcW w:w="5529" w:type="dxa"/>
          </w:tcPr>
          <w:p w14:paraId="3530BDCA">
            <w:pPr>
              <w:spacing w:line="360" w:lineRule="auto"/>
              <w:rPr>
                <w:rFonts w:hint="default" w:ascii="Times New Roman" w:hAnsi="Times New Roman" w:cs="Times New Roman"/>
                <w:b/>
                <w:bCs/>
                <w:sz w:val="22"/>
              </w:rPr>
            </w:pPr>
            <w:r>
              <w:rPr>
                <w:rFonts w:hint="default" w:ascii="Times New Roman" w:hAnsi="Times New Roman" w:cs="Times New Roman"/>
                <w:sz w:val="22"/>
              </w:rPr>
              <w:t>Age, Sex, SBP, DBP, Hypertension, Diabetes, Hyperlipidemia, Smoker, BMI, Stroke, PCI/CABG, Prior MI, PAD, Multivessel disease, Aspirin, Statins, Beta-blocker, Clopidogrel, ACE-inhibitors</w:t>
            </w:r>
          </w:p>
        </w:tc>
      </w:tr>
      <w:tr w14:paraId="1449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Pr>
          <w:p w14:paraId="41FA8321">
            <w:pPr>
              <w:spacing w:line="360" w:lineRule="auto"/>
              <w:rPr>
                <w:rFonts w:hint="default" w:ascii="Times New Roman" w:hAnsi="Times New Roman" w:cs="Times New Roman"/>
                <w:b/>
                <w:bCs/>
                <w:sz w:val="22"/>
              </w:rPr>
            </w:pPr>
            <w:r>
              <w:rPr>
                <w:rFonts w:hint="default" w:ascii="Times New Roman" w:hAnsi="Times New Roman" w:cs="Times New Roman"/>
                <w:b/>
                <w:bCs/>
                <w:sz w:val="22"/>
              </w:rPr>
              <w:t>Biomarkers of plasma (B)</w:t>
            </w:r>
          </w:p>
        </w:tc>
        <w:tc>
          <w:tcPr>
            <w:tcW w:w="5529" w:type="dxa"/>
          </w:tcPr>
          <w:p w14:paraId="428570EA">
            <w:pPr>
              <w:spacing w:line="360" w:lineRule="auto"/>
              <w:rPr>
                <w:rFonts w:hint="default" w:ascii="Times New Roman" w:hAnsi="Times New Roman" w:cs="Times New Roman"/>
                <w:b/>
                <w:bCs/>
                <w:sz w:val="22"/>
              </w:rPr>
            </w:pPr>
            <w:r>
              <w:rPr>
                <w:rFonts w:hint="default" w:ascii="Times New Roman" w:hAnsi="Times New Roman" w:cs="Times New Roman"/>
                <w:sz w:val="22"/>
              </w:rPr>
              <w:t>WBC, Hemoglobin, PLT, TC, TG, LDL-C, HDL-C, Glucose, GDF-15, NT-proBNP, Fibrinogen, Cystatin C, D-dimer, sST2 PAPPA, UA, HbA1c, Lp (a), eGFR, LVEDd, LVEDs, EF</w:t>
            </w:r>
          </w:p>
        </w:tc>
      </w:tr>
    </w:tbl>
    <w:p w14:paraId="0A7BB9E6">
      <w:pPr>
        <w:spacing w:line="360" w:lineRule="auto"/>
        <w:rPr>
          <w:rFonts w:hint="default" w:ascii="Times New Roman" w:hAnsi="Times New Roman" w:cs="Times New Roman"/>
          <w:sz w:val="22"/>
        </w:rPr>
      </w:pPr>
      <w:r>
        <w:rPr>
          <w:rFonts w:hint="default" w:ascii="Times New Roman" w:hAnsi="Times New Roman" w:cs="Times New Roman"/>
          <w:sz w:val="22"/>
        </w:rPr>
        <w:t>Abbreviations: SBP: systolic blood pressure; DBP: diastolic blood pressure; BMI, body mass index; MI: myocardial infarction; PCI, percutaneous coronary intervention; CABG, coronary artery bypass graft; PAD: peripheral atherosclerosis disease; WBC: white blood cell; PLT: platelet; TC: total cholesterol; TG: total triglyceride; HDL-C, high-density lipoprotein cholesterol; LDL-C: low-density lipoprotein cholesterol; GDF-15: growth differentiation factor 15; NT-proBNP: N-terminal pro brain natriuretic peptide; eGFR: estimated glomerular filtration rate; UA: uric acid; HbA1c: glycated hemoglobin; LVEDd: left ventricular end diastolic diameter; LVEDs: left ventricular end systolic diameter; EF: ejection fraction; ACE: angiotensin converting enzyme</w:t>
      </w:r>
    </w:p>
    <w:p w14:paraId="11748BE8">
      <w:pPr>
        <w:spacing w:line="360" w:lineRule="auto"/>
        <w:rPr>
          <w:rFonts w:hint="default" w:ascii="Times New Roman" w:hAnsi="Times New Roman" w:cs="Times New Roman"/>
          <w:sz w:val="22"/>
        </w:rPr>
      </w:pPr>
      <w:bookmarkStart w:id="1" w:name="OLE_LINK1"/>
      <w:r>
        <w:rPr>
          <w:rFonts w:hint="default" w:ascii="Times New Roman" w:hAnsi="Times New Roman" w:cs="Times New Roman"/>
          <w:sz w:val="22"/>
        </w:rPr>
        <w:t>Supplementary Table 3</w:t>
      </w:r>
      <w:r>
        <w:rPr>
          <w:rFonts w:hint="default" w:ascii="Times New Roman" w:hAnsi="Times New Roman" w:cs="Times New Roman"/>
          <w:sz w:val="22"/>
        </w:rPr>
        <w:t xml:space="preserve"> </w:t>
      </w:r>
      <w:r>
        <w:rPr>
          <w:rFonts w:hint="default" w:ascii="Times New Roman" w:hAnsi="Times New Roman" w:cs="Times New Roman"/>
          <w:sz w:val="22"/>
        </w:rPr>
        <w:t>Multivariable Cox Proportional Hazards Regression Analysis for</w:t>
      </w:r>
      <w:r>
        <w:rPr>
          <w:rFonts w:hint="default" w:ascii="Times New Roman" w:hAnsi="Times New Roman" w:cs="Times New Roman"/>
          <w:sz w:val="22"/>
        </w:rPr>
        <w:t xml:space="preserve"> Adverse Clinical Events</w:t>
      </w:r>
      <w:bookmarkStart w:id="2" w:name="OLE_LINK2"/>
      <w:r>
        <w:rPr>
          <w:rFonts w:hint="default" w:ascii="Times New Roman" w:hAnsi="Times New Roman" w:cs="Times New Roman"/>
          <w:sz w:val="22"/>
        </w:rPr>
        <w:t xml:space="preserve"> in OCEA_ACS Patients</w:t>
      </w:r>
    </w:p>
    <w:bookmarkEnd w:id="2"/>
    <w:tbl>
      <w:tblPr>
        <w:tblStyle w:val="6"/>
        <w:tblW w:w="7975" w:type="dxa"/>
        <w:tblInd w:w="100" w:type="dxa"/>
        <w:tblBorders>
          <w:top w:val="single" w:color="auto" w:sz="12"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07"/>
        <w:gridCol w:w="1960"/>
        <w:gridCol w:w="2391"/>
        <w:gridCol w:w="1517"/>
      </w:tblGrid>
      <w:tr w14:paraId="1F7EBC9D">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107" w:type="dxa"/>
            <w:tcBorders>
              <w:bottom w:val="single" w:color="auto" w:sz="6" w:space="0"/>
            </w:tcBorders>
            <w:shd w:val="clear" w:color="auto" w:fill="FFFFFF"/>
            <w:vAlign w:val="bottom"/>
          </w:tcPr>
          <w:p w14:paraId="316AD292">
            <w:pPr>
              <w:widowControl/>
              <w:jc w:val="left"/>
              <w:textAlignment w:val="bottom"/>
              <w:rPr>
                <w:rFonts w:hint="default" w:ascii="Times New Roman" w:hAnsi="Times New Roman" w:eastAsia="Segoe UI" w:cs="Times New Roman"/>
                <w:b/>
                <w:bCs/>
                <w:color w:val="333333"/>
                <w:sz w:val="22"/>
              </w:rPr>
            </w:pPr>
            <w:r>
              <w:rPr>
                <w:rFonts w:hint="default" w:ascii="Times New Roman" w:hAnsi="Times New Roman" w:eastAsia="Segoe UI" w:cs="Times New Roman"/>
                <w:b/>
                <w:bCs/>
                <w:color w:val="333333"/>
                <w:kern w:val="0"/>
                <w:sz w:val="22"/>
                <w:lang w:bidi="ar"/>
              </w:rPr>
              <w:t>Characteristic</w:t>
            </w:r>
          </w:p>
        </w:tc>
        <w:tc>
          <w:tcPr>
            <w:tcW w:w="1960" w:type="dxa"/>
            <w:tcBorders>
              <w:bottom w:val="single" w:color="auto" w:sz="6" w:space="0"/>
            </w:tcBorders>
            <w:shd w:val="clear" w:color="auto" w:fill="FFFFFF"/>
            <w:vAlign w:val="bottom"/>
          </w:tcPr>
          <w:p w14:paraId="0012E600">
            <w:pPr>
              <w:widowControl/>
              <w:jc w:val="center"/>
              <w:textAlignment w:val="bottom"/>
              <w:rPr>
                <w:rFonts w:hint="default" w:ascii="Times New Roman" w:hAnsi="Times New Roman" w:eastAsia="Segoe UI" w:cs="Times New Roman"/>
                <w:b/>
                <w:bCs/>
                <w:color w:val="333333"/>
                <w:sz w:val="22"/>
              </w:rPr>
            </w:pPr>
            <w:r>
              <w:rPr>
                <w:rFonts w:hint="default" w:ascii="Times New Roman" w:hAnsi="Times New Roman" w:eastAsia="Segoe UI" w:cs="Times New Roman"/>
                <w:b/>
                <w:bCs/>
                <w:color w:val="333333"/>
                <w:kern w:val="0"/>
                <w:sz w:val="22"/>
                <w:lang w:bidi="ar"/>
              </w:rPr>
              <w:t>HR</w:t>
            </w:r>
          </w:p>
        </w:tc>
        <w:tc>
          <w:tcPr>
            <w:tcW w:w="2391" w:type="dxa"/>
            <w:tcBorders>
              <w:bottom w:val="single" w:color="auto" w:sz="6" w:space="0"/>
            </w:tcBorders>
            <w:shd w:val="clear" w:color="auto" w:fill="FFFFFF"/>
            <w:vAlign w:val="bottom"/>
          </w:tcPr>
          <w:p w14:paraId="22C6D806">
            <w:pPr>
              <w:widowControl/>
              <w:jc w:val="center"/>
              <w:textAlignment w:val="bottom"/>
              <w:rPr>
                <w:rFonts w:hint="default" w:ascii="Times New Roman" w:hAnsi="Times New Roman" w:eastAsia="Segoe UI" w:cs="Times New Roman"/>
                <w:b/>
                <w:bCs/>
                <w:color w:val="333333"/>
                <w:sz w:val="22"/>
              </w:rPr>
            </w:pPr>
            <w:r>
              <w:rPr>
                <w:rFonts w:hint="default" w:ascii="Times New Roman" w:hAnsi="Times New Roman" w:eastAsia="Segoe UI" w:cs="Times New Roman"/>
                <w:b/>
                <w:bCs/>
                <w:color w:val="333333"/>
                <w:kern w:val="0"/>
                <w:sz w:val="22"/>
                <w:lang w:bidi="ar"/>
              </w:rPr>
              <w:t>95% CI</w:t>
            </w:r>
          </w:p>
        </w:tc>
        <w:tc>
          <w:tcPr>
            <w:tcW w:w="1517" w:type="dxa"/>
            <w:tcBorders>
              <w:bottom w:val="single" w:color="auto" w:sz="6" w:space="0"/>
            </w:tcBorders>
            <w:shd w:val="clear" w:color="auto" w:fill="FFFFFF"/>
            <w:vAlign w:val="bottom"/>
          </w:tcPr>
          <w:p w14:paraId="51478B37">
            <w:pPr>
              <w:widowControl/>
              <w:jc w:val="center"/>
              <w:textAlignment w:val="bottom"/>
              <w:rPr>
                <w:rFonts w:hint="default" w:ascii="Times New Roman" w:hAnsi="Times New Roman" w:eastAsia="Segoe UI" w:cs="Times New Roman"/>
                <w:b/>
                <w:bCs/>
                <w:color w:val="333333"/>
                <w:sz w:val="22"/>
              </w:rPr>
            </w:pPr>
            <w:r>
              <w:rPr>
                <w:rFonts w:hint="default" w:ascii="Times New Roman" w:hAnsi="Times New Roman" w:eastAsia="Segoe UI" w:cs="Times New Roman"/>
                <w:b/>
                <w:bCs/>
                <w:color w:val="333333"/>
                <w:kern w:val="0"/>
                <w:sz w:val="22"/>
                <w:lang w:bidi="ar"/>
              </w:rPr>
              <w:t>p-value</w:t>
            </w:r>
          </w:p>
        </w:tc>
      </w:tr>
      <w:tr w14:paraId="567ADA40">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2107" w:type="dxa"/>
            <w:tcBorders>
              <w:top w:val="single" w:color="auto" w:sz="6" w:space="0"/>
              <w:tl2br w:val="nil"/>
              <w:tr2bl w:val="nil"/>
            </w:tcBorders>
            <w:shd w:val="clear" w:color="auto" w:fill="FFFFFF"/>
            <w:vAlign w:val="center"/>
          </w:tcPr>
          <w:p w14:paraId="474375BC">
            <w:pPr>
              <w:widowControl/>
              <w:jc w:val="left"/>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NT-proBNP</w:t>
            </w:r>
          </w:p>
        </w:tc>
        <w:tc>
          <w:tcPr>
            <w:tcW w:w="1960" w:type="dxa"/>
            <w:tcBorders>
              <w:top w:val="single" w:color="auto" w:sz="6" w:space="0"/>
              <w:tl2br w:val="nil"/>
              <w:tr2bl w:val="nil"/>
            </w:tcBorders>
            <w:shd w:val="clear" w:color="auto" w:fill="FFFFFF"/>
            <w:vAlign w:val="center"/>
          </w:tcPr>
          <w:p w14:paraId="54449962">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1.4</w:t>
            </w:r>
          </w:p>
        </w:tc>
        <w:tc>
          <w:tcPr>
            <w:tcW w:w="2391" w:type="dxa"/>
            <w:tcBorders>
              <w:top w:val="single" w:color="auto" w:sz="6" w:space="0"/>
              <w:tl2br w:val="nil"/>
              <w:tr2bl w:val="nil"/>
            </w:tcBorders>
            <w:shd w:val="clear" w:color="auto" w:fill="FFFFFF"/>
            <w:vAlign w:val="center"/>
          </w:tcPr>
          <w:p w14:paraId="4A38CC05">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1.32- 1.49</w:t>
            </w:r>
          </w:p>
        </w:tc>
        <w:tc>
          <w:tcPr>
            <w:tcW w:w="1517" w:type="dxa"/>
            <w:tcBorders>
              <w:top w:val="single" w:color="auto" w:sz="6" w:space="0"/>
              <w:tl2br w:val="nil"/>
              <w:tr2bl w:val="nil"/>
            </w:tcBorders>
            <w:shd w:val="clear" w:color="auto" w:fill="FFFFFF"/>
            <w:vAlign w:val="center"/>
          </w:tcPr>
          <w:p w14:paraId="1F3F027E">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&lt;0.001</w:t>
            </w:r>
          </w:p>
        </w:tc>
      </w:tr>
      <w:tr w14:paraId="54C4B119">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2107" w:type="dxa"/>
            <w:tcBorders>
              <w:tl2br w:val="nil"/>
              <w:tr2bl w:val="nil"/>
            </w:tcBorders>
            <w:shd w:val="clear" w:color="auto" w:fill="FFFFFF"/>
            <w:vAlign w:val="center"/>
          </w:tcPr>
          <w:p w14:paraId="3E17E77D">
            <w:pPr>
              <w:widowControl/>
              <w:jc w:val="left"/>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D-dimer</w:t>
            </w:r>
          </w:p>
        </w:tc>
        <w:tc>
          <w:tcPr>
            <w:tcW w:w="1960" w:type="dxa"/>
            <w:tcBorders>
              <w:tl2br w:val="nil"/>
              <w:tr2bl w:val="nil"/>
            </w:tcBorders>
            <w:shd w:val="clear" w:color="auto" w:fill="FFFFFF"/>
            <w:vAlign w:val="center"/>
          </w:tcPr>
          <w:p w14:paraId="69852A65">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1.83</w:t>
            </w:r>
          </w:p>
        </w:tc>
        <w:tc>
          <w:tcPr>
            <w:tcW w:w="2391" w:type="dxa"/>
            <w:tcBorders>
              <w:tl2br w:val="nil"/>
              <w:tr2bl w:val="nil"/>
            </w:tcBorders>
            <w:shd w:val="clear" w:color="auto" w:fill="FFFFFF"/>
            <w:vAlign w:val="center"/>
          </w:tcPr>
          <w:p w14:paraId="7BC66E22">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1.64- 2.05</w:t>
            </w:r>
          </w:p>
        </w:tc>
        <w:tc>
          <w:tcPr>
            <w:tcW w:w="1517" w:type="dxa"/>
            <w:tcBorders>
              <w:tl2br w:val="nil"/>
              <w:tr2bl w:val="nil"/>
            </w:tcBorders>
            <w:shd w:val="clear" w:color="auto" w:fill="FFFFFF"/>
            <w:vAlign w:val="center"/>
          </w:tcPr>
          <w:p w14:paraId="7A9C634E">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&lt;0.001</w:t>
            </w:r>
          </w:p>
        </w:tc>
      </w:tr>
      <w:tr w14:paraId="711C54DF">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2107" w:type="dxa"/>
            <w:tcBorders>
              <w:tl2br w:val="nil"/>
              <w:tr2bl w:val="nil"/>
            </w:tcBorders>
            <w:shd w:val="clear" w:color="auto" w:fill="FFFFFF"/>
            <w:vAlign w:val="center"/>
          </w:tcPr>
          <w:p w14:paraId="01A9EE74">
            <w:pPr>
              <w:widowControl/>
              <w:jc w:val="left"/>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eGFR</w:t>
            </w:r>
          </w:p>
        </w:tc>
        <w:tc>
          <w:tcPr>
            <w:tcW w:w="1960" w:type="dxa"/>
            <w:tcBorders>
              <w:tl2br w:val="nil"/>
              <w:tr2bl w:val="nil"/>
            </w:tcBorders>
            <w:shd w:val="clear" w:color="auto" w:fill="FFFFFF"/>
            <w:vAlign w:val="center"/>
          </w:tcPr>
          <w:p w14:paraId="77B7CE55">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0.77</w:t>
            </w:r>
          </w:p>
        </w:tc>
        <w:tc>
          <w:tcPr>
            <w:tcW w:w="2391" w:type="dxa"/>
            <w:tcBorders>
              <w:tl2br w:val="nil"/>
              <w:tr2bl w:val="nil"/>
            </w:tcBorders>
            <w:shd w:val="clear" w:color="auto" w:fill="FFFFFF"/>
            <w:vAlign w:val="center"/>
          </w:tcPr>
          <w:p w14:paraId="5A479511">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0.66- 0.89</w:t>
            </w:r>
          </w:p>
        </w:tc>
        <w:tc>
          <w:tcPr>
            <w:tcW w:w="1517" w:type="dxa"/>
            <w:tcBorders>
              <w:tl2br w:val="nil"/>
              <w:tr2bl w:val="nil"/>
            </w:tcBorders>
            <w:shd w:val="clear" w:color="auto" w:fill="FFFFFF"/>
            <w:vAlign w:val="center"/>
          </w:tcPr>
          <w:p w14:paraId="66FD588D">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&lt;0.001</w:t>
            </w:r>
          </w:p>
        </w:tc>
      </w:tr>
      <w:tr w14:paraId="529C593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2107" w:type="dxa"/>
            <w:tcBorders>
              <w:tl2br w:val="nil"/>
              <w:tr2bl w:val="nil"/>
            </w:tcBorders>
            <w:shd w:val="clear" w:color="auto" w:fill="FFFFFF"/>
            <w:vAlign w:val="center"/>
          </w:tcPr>
          <w:p w14:paraId="22E5C43D">
            <w:pPr>
              <w:widowControl/>
              <w:jc w:val="left"/>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GDF15</w:t>
            </w:r>
          </w:p>
        </w:tc>
        <w:tc>
          <w:tcPr>
            <w:tcW w:w="1960" w:type="dxa"/>
            <w:tcBorders>
              <w:tl2br w:val="nil"/>
              <w:tr2bl w:val="nil"/>
            </w:tcBorders>
            <w:shd w:val="clear" w:color="auto" w:fill="FFFFFF"/>
            <w:vAlign w:val="center"/>
          </w:tcPr>
          <w:p w14:paraId="0759A1D4">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1.32</w:t>
            </w:r>
          </w:p>
        </w:tc>
        <w:tc>
          <w:tcPr>
            <w:tcW w:w="2391" w:type="dxa"/>
            <w:tcBorders>
              <w:tl2br w:val="nil"/>
              <w:tr2bl w:val="nil"/>
            </w:tcBorders>
            <w:shd w:val="clear" w:color="auto" w:fill="FFFFFF"/>
            <w:vAlign w:val="center"/>
          </w:tcPr>
          <w:p w14:paraId="69E5763E">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1.20-1.46</w:t>
            </w:r>
          </w:p>
        </w:tc>
        <w:tc>
          <w:tcPr>
            <w:tcW w:w="1517" w:type="dxa"/>
            <w:tcBorders>
              <w:tl2br w:val="nil"/>
              <w:tr2bl w:val="nil"/>
            </w:tcBorders>
            <w:shd w:val="clear" w:color="auto" w:fill="FFFFFF"/>
            <w:vAlign w:val="center"/>
          </w:tcPr>
          <w:p w14:paraId="266EFA22">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&lt;0.001</w:t>
            </w:r>
          </w:p>
        </w:tc>
      </w:tr>
      <w:tr w14:paraId="37AB65B9">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 w:hRule="atLeast"/>
        </w:trPr>
        <w:tc>
          <w:tcPr>
            <w:tcW w:w="2107" w:type="dxa"/>
            <w:tcBorders>
              <w:tl2br w:val="nil"/>
              <w:tr2bl w:val="nil"/>
            </w:tcBorders>
            <w:shd w:val="clear" w:color="auto" w:fill="FFFFFF"/>
            <w:vAlign w:val="center"/>
          </w:tcPr>
          <w:p w14:paraId="4B9425A4">
            <w:pPr>
              <w:widowControl/>
              <w:jc w:val="left"/>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EF</w:t>
            </w:r>
          </w:p>
        </w:tc>
        <w:tc>
          <w:tcPr>
            <w:tcW w:w="1960" w:type="dxa"/>
            <w:tcBorders>
              <w:tl2br w:val="nil"/>
              <w:tr2bl w:val="nil"/>
            </w:tcBorders>
            <w:shd w:val="clear" w:color="auto" w:fill="FFFFFF"/>
            <w:vAlign w:val="center"/>
          </w:tcPr>
          <w:p w14:paraId="58500E20">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0.98</w:t>
            </w:r>
          </w:p>
        </w:tc>
        <w:tc>
          <w:tcPr>
            <w:tcW w:w="2391" w:type="dxa"/>
            <w:tcBorders>
              <w:tl2br w:val="nil"/>
              <w:tr2bl w:val="nil"/>
            </w:tcBorders>
            <w:shd w:val="clear" w:color="auto" w:fill="FFFFFF"/>
            <w:vAlign w:val="center"/>
          </w:tcPr>
          <w:p w14:paraId="0B34E836">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0.97-0.98</w:t>
            </w:r>
          </w:p>
        </w:tc>
        <w:tc>
          <w:tcPr>
            <w:tcW w:w="1517" w:type="dxa"/>
            <w:tcBorders>
              <w:tl2br w:val="nil"/>
              <w:tr2bl w:val="nil"/>
            </w:tcBorders>
            <w:shd w:val="clear" w:color="auto" w:fill="FFFFFF"/>
            <w:vAlign w:val="center"/>
          </w:tcPr>
          <w:p w14:paraId="16E02306">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&lt;0.001</w:t>
            </w:r>
          </w:p>
        </w:tc>
      </w:tr>
      <w:tr w14:paraId="1AFC643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107" w:type="dxa"/>
            <w:tcBorders>
              <w:tl2br w:val="nil"/>
              <w:tr2bl w:val="nil"/>
            </w:tcBorders>
            <w:shd w:val="clear" w:color="auto" w:fill="FFFFFF"/>
            <w:vAlign w:val="center"/>
          </w:tcPr>
          <w:p w14:paraId="0E5FBAE1">
            <w:pPr>
              <w:widowControl/>
              <w:jc w:val="left"/>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Age</w:t>
            </w:r>
          </w:p>
        </w:tc>
        <w:tc>
          <w:tcPr>
            <w:tcW w:w="1960" w:type="dxa"/>
            <w:tcBorders>
              <w:tl2br w:val="nil"/>
              <w:tr2bl w:val="nil"/>
            </w:tcBorders>
            <w:shd w:val="clear" w:color="auto" w:fill="FFFFFF"/>
            <w:vAlign w:val="center"/>
          </w:tcPr>
          <w:p w14:paraId="46D56F9A">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1.02</w:t>
            </w:r>
          </w:p>
        </w:tc>
        <w:tc>
          <w:tcPr>
            <w:tcW w:w="2391" w:type="dxa"/>
            <w:tcBorders>
              <w:tl2br w:val="nil"/>
              <w:tr2bl w:val="nil"/>
            </w:tcBorders>
            <w:shd w:val="clear" w:color="auto" w:fill="FFFFFF"/>
            <w:vAlign w:val="center"/>
          </w:tcPr>
          <w:p w14:paraId="51004655">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1.01-1.02</w:t>
            </w:r>
          </w:p>
        </w:tc>
        <w:tc>
          <w:tcPr>
            <w:tcW w:w="1517" w:type="dxa"/>
            <w:tcBorders>
              <w:tl2br w:val="nil"/>
              <w:tr2bl w:val="nil"/>
            </w:tcBorders>
            <w:shd w:val="clear" w:color="auto" w:fill="FFFFFF"/>
            <w:vAlign w:val="center"/>
          </w:tcPr>
          <w:p w14:paraId="1084A76B">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&lt;0.001</w:t>
            </w:r>
          </w:p>
        </w:tc>
      </w:tr>
      <w:tr w14:paraId="7EEAEF3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2107" w:type="dxa"/>
            <w:tcBorders>
              <w:bottom w:val="single" w:color="auto" w:sz="12" w:space="0"/>
            </w:tcBorders>
            <w:shd w:val="clear" w:color="auto" w:fill="FFFFFF"/>
            <w:vAlign w:val="center"/>
          </w:tcPr>
          <w:p w14:paraId="65E1EF63">
            <w:pPr>
              <w:widowControl/>
              <w:jc w:val="left"/>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Hemoglobin</w:t>
            </w:r>
          </w:p>
        </w:tc>
        <w:tc>
          <w:tcPr>
            <w:tcW w:w="1960" w:type="dxa"/>
            <w:tcBorders>
              <w:bottom w:val="single" w:color="auto" w:sz="12" w:space="0"/>
            </w:tcBorders>
            <w:shd w:val="clear" w:color="auto" w:fill="FFFFFF"/>
            <w:vAlign w:val="center"/>
          </w:tcPr>
          <w:p w14:paraId="09D752FB">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0.99</w:t>
            </w:r>
          </w:p>
        </w:tc>
        <w:tc>
          <w:tcPr>
            <w:tcW w:w="2391" w:type="dxa"/>
            <w:tcBorders>
              <w:bottom w:val="single" w:color="auto" w:sz="12" w:space="0"/>
            </w:tcBorders>
            <w:shd w:val="clear" w:color="auto" w:fill="FFFFFF"/>
            <w:vAlign w:val="center"/>
          </w:tcPr>
          <w:p w14:paraId="3701F6E7">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0.99-1.00</w:t>
            </w:r>
          </w:p>
        </w:tc>
        <w:tc>
          <w:tcPr>
            <w:tcW w:w="1517" w:type="dxa"/>
            <w:tcBorders>
              <w:bottom w:val="single" w:color="auto" w:sz="12" w:space="0"/>
            </w:tcBorders>
            <w:shd w:val="clear" w:color="auto" w:fill="FFFFFF"/>
            <w:vAlign w:val="center"/>
          </w:tcPr>
          <w:p w14:paraId="3D3FE574">
            <w:pPr>
              <w:widowControl/>
              <w:jc w:val="center"/>
              <w:textAlignment w:val="center"/>
              <w:rPr>
                <w:rFonts w:hint="default" w:ascii="Times New Roman" w:hAnsi="Times New Roman" w:eastAsia="Segoe UI" w:cs="Times New Roman"/>
                <w:color w:val="333333"/>
                <w:sz w:val="22"/>
              </w:rPr>
            </w:pPr>
            <w:r>
              <w:rPr>
                <w:rFonts w:hint="default" w:ascii="Times New Roman" w:hAnsi="Times New Roman" w:eastAsia="Segoe UI" w:cs="Times New Roman"/>
                <w:color w:val="333333"/>
                <w:kern w:val="0"/>
                <w:sz w:val="22"/>
                <w:lang w:bidi="ar"/>
              </w:rPr>
              <w:t>&lt;0.001</w:t>
            </w:r>
          </w:p>
        </w:tc>
      </w:tr>
      <w:tr w14:paraId="5BBB0F46">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7975" w:type="dxa"/>
            <w:gridSpan w:val="4"/>
            <w:tcBorders>
              <w:top w:val="single" w:color="auto" w:sz="12" w:space="0"/>
              <w:tl2br w:val="nil"/>
              <w:tr2bl w:val="nil"/>
            </w:tcBorders>
            <w:shd w:val="clear" w:color="auto" w:fill="FFFFFF"/>
            <w:vAlign w:val="center"/>
          </w:tcPr>
          <w:p w14:paraId="1A8323BF">
            <w:pPr>
              <w:widowControl/>
              <w:jc w:val="left"/>
              <w:textAlignment w:val="center"/>
              <w:rPr>
                <w:rFonts w:hint="eastAsia" w:ascii="Times New Roman" w:hAnsi="Times New Roman" w:eastAsia="宋体" w:cs="Times New Roman"/>
                <w:color w:val="333333"/>
                <w:sz w:val="22"/>
                <w:lang w:val="en-US" w:eastAsia="zh-CN"/>
              </w:rPr>
            </w:pPr>
            <w:r>
              <w:rPr>
                <w:rFonts w:hint="default" w:ascii="Times New Roman" w:hAnsi="Times New Roman" w:eastAsia="Segoe UI" w:cs="Times New Roman"/>
                <w:color w:val="333333"/>
                <w:kern w:val="0"/>
                <w:sz w:val="22"/>
                <w:lang w:bidi="ar"/>
              </w:rPr>
              <w:t>Abbreviations: CI = Confidence Interval, HR = Hazard Ratio</w:t>
            </w:r>
            <w:r>
              <w:rPr>
                <w:rFonts w:hint="eastAsia" w:ascii="Times New Roman" w:hAnsi="Times New Roman" w:eastAsia="宋体" w:cs="Times New Roman"/>
                <w:color w:val="333333"/>
                <w:kern w:val="0"/>
                <w:sz w:val="22"/>
                <w:lang w:val="en-US" w:eastAsia="zh-CN" w:bidi="ar"/>
              </w:rPr>
              <w:t>. Other abbreviations as in the table above.</w:t>
            </w:r>
          </w:p>
        </w:tc>
      </w:tr>
      <w:bookmarkEnd w:id="1"/>
    </w:tbl>
    <w:p w14:paraId="3086791C">
      <w:pPr>
        <w:spacing w:line="360" w:lineRule="auto"/>
        <w:rPr>
          <w:rFonts w:hint="default" w:ascii="Times New Roman" w:hAnsi="Times New Roman" w:cs="Times New Roman"/>
          <w:sz w:val="22"/>
        </w:rPr>
      </w:pPr>
      <w:r>
        <w:rPr>
          <w:rFonts w:hint="default" w:ascii="Times New Roman" w:hAnsi="Times New Roman" w:cs="Times New Roman"/>
          <w:sz w:val="22"/>
        </w:rPr>
        <w:t>Supplementary Table 4</w:t>
      </w:r>
      <w:r>
        <w:rPr>
          <w:rFonts w:hint="default" w:ascii="Times New Roman" w:hAnsi="Times New Roman" w:cs="Times New Roman"/>
          <w:sz w:val="22"/>
        </w:rPr>
        <w:t xml:space="preserve">  </w:t>
      </w:r>
      <w:r>
        <w:rPr>
          <w:rFonts w:hint="default" w:ascii="Times New Roman" w:hAnsi="Times New Roman" w:cs="Times New Roman"/>
          <w:sz w:val="22"/>
        </w:rPr>
        <w:t>Performance Evaluation of the Integrated Brier Score and Calibration for RSF and Cox Models</w:t>
      </w:r>
      <w:r>
        <w:rPr>
          <w:rFonts w:hint="default" w:ascii="Times New Roman" w:hAnsi="Times New Roman" w:cs="Times New Roman"/>
          <w:sz w:val="22"/>
        </w:rPr>
        <w:t xml:space="preserve"> in E</w:t>
      </w:r>
      <w:r>
        <w:rPr>
          <w:rFonts w:hint="default" w:ascii="Times New Roman" w:hAnsi="Times New Roman" w:cs="Times New Roman"/>
          <w:sz w:val="22"/>
        </w:rPr>
        <w:t xml:space="preserve">xternal </w:t>
      </w:r>
      <w:r>
        <w:rPr>
          <w:rFonts w:hint="default" w:ascii="Times New Roman" w:hAnsi="Times New Roman" w:cs="Times New Roman"/>
          <w:sz w:val="22"/>
        </w:rPr>
        <w:t>V</w:t>
      </w:r>
      <w:r>
        <w:rPr>
          <w:rFonts w:hint="default" w:ascii="Times New Roman" w:hAnsi="Times New Roman" w:cs="Times New Roman"/>
          <w:sz w:val="22"/>
        </w:rPr>
        <w:t>alidation</w:t>
      </w:r>
      <w:r>
        <w:rPr>
          <w:rFonts w:hint="default" w:ascii="Times New Roman" w:hAnsi="Times New Roman" w:cs="Times New Roman"/>
          <w:sz w:val="22"/>
        </w:rPr>
        <w:t xml:space="preserve"> ACS</w:t>
      </w:r>
      <w:r>
        <w:rPr>
          <w:rFonts w:hint="default" w:ascii="Times New Roman" w:hAnsi="Times New Roman" w:cs="Times New Roman"/>
          <w:sz w:val="22"/>
        </w:rPr>
        <w:t xml:space="preserve"> </w:t>
      </w:r>
      <w:r>
        <w:rPr>
          <w:rFonts w:hint="default" w:ascii="Times New Roman" w:hAnsi="Times New Roman" w:cs="Times New Roman"/>
          <w:sz w:val="22"/>
        </w:rPr>
        <w:t>Patients (</w:t>
      </w:r>
      <w:r>
        <w:rPr>
          <w:rFonts w:hint="default" w:ascii="Times New Roman" w:hAnsi="Times New Roman" w:cs="Times New Roman"/>
          <w:b w:val="0"/>
          <w:bCs w:val="0"/>
          <w:sz w:val="22"/>
        </w:rPr>
        <w:t>MRCH cohort</w:t>
      </w:r>
      <w:r>
        <w:rPr>
          <w:rFonts w:hint="default" w:ascii="Times New Roman" w:hAnsi="Times New Roman" w:cs="Times New Roman"/>
          <w:b w:val="0"/>
          <w:bCs w:val="0"/>
          <w:sz w:val="22"/>
        </w:rPr>
        <w:t>)</w:t>
      </w:r>
      <w:r>
        <w:rPr>
          <w:rFonts w:hint="default" w:ascii="Times New Roman" w:hAnsi="Times New Roman" w:cs="Times New Roman"/>
          <w:sz w:val="22"/>
        </w:rPr>
        <w:t>.</w:t>
      </w:r>
    </w:p>
    <w:tbl>
      <w:tblPr>
        <w:tblStyle w:val="6"/>
        <w:tblW w:w="7130" w:type="dxa"/>
        <w:tblInd w:w="100" w:type="dxa"/>
        <w:tblLayout w:type="autofit"/>
        <w:tblCellMar>
          <w:top w:w="0" w:type="dxa"/>
          <w:left w:w="108" w:type="dxa"/>
          <w:bottom w:w="0" w:type="dxa"/>
          <w:right w:w="108" w:type="dxa"/>
        </w:tblCellMar>
      </w:tblPr>
      <w:tblGrid>
        <w:gridCol w:w="1695"/>
        <w:gridCol w:w="1304"/>
        <w:gridCol w:w="1206"/>
        <w:gridCol w:w="1416"/>
        <w:gridCol w:w="1719"/>
      </w:tblGrid>
      <w:tr w14:paraId="4927BD02">
        <w:tblPrEx>
          <w:tblCellMar>
            <w:top w:w="0" w:type="dxa"/>
            <w:left w:w="108" w:type="dxa"/>
            <w:bottom w:w="0" w:type="dxa"/>
            <w:right w:w="108" w:type="dxa"/>
          </w:tblCellMar>
        </w:tblPrEx>
        <w:trPr>
          <w:trHeight w:val="270" w:hRule="atLeast"/>
        </w:trPr>
        <w:tc>
          <w:tcPr>
            <w:tcW w:w="1695" w:type="dxa"/>
            <w:tcBorders>
              <w:top w:val="single" w:color="auto" w:sz="12" w:space="0"/>
              <w:left w:val="nil"/>
              <w:bottom w:val="single" w:color="auto" w:sz="6" w:space="0"/>
              <w:right w:val="nil"/>
            </w:tcBorders>
            <w:noWrap/>
            <w:vAlign w:val="center"/>
          </w:tcPr>
          <w:p w14:paraId="35353582">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Model</w:t>
            </w:r>
          </w:p>
        </w:tc>
        <w:tc>
          <w:tcPr>
            <w:tcW w:w="1304" w:type="dxa"/>
            <w:tcBorders>
              <w:top w:val="single" w:color="auto" w:sz="12" w:space="0"/>
              <w:left w:val="nil"/>
              <w:bottom w:val="single" w:color="auto" w:sz="6" w:space="0"/>
              <w:right w:val="nil"/>
            </w:tcBorders>
            <w:noWrap/>
            <w:vAlign w:val="center"/>
          </w:tcPr>
          <w:p w14:paraId="29B8097B">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Integrated Brier (t=3 years)</w:t>
            </w:r>
          </w:p>
        </w:tc>
        <w:tc>
          <w:tcPr>
            <w:tcW w:w="1206" w:type="dxa"/>
            <w:tcBorders>
              <w:top w:val="single" w:color="auto" w:sz="12" w:space="0"/>
              <w:left w:val="nil"/>
              <w:bottom w:val="single" w:color="auto" w:sz="6" w:space="0"/>
              <w:right w:val="nil"/>
            </w:tcBorders>
            <w:noWrap/>
            <w:vAlign w:val="center"/>
          </w:tcPr>
          <w:p w14:paraId="3A38D531">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Calibration intercept</w:t>
            </w:r>
          </w:p>
        </w:tc>
        <w:tc>
          <w:tcPr>
            <w:tcW w:w="1206" w:type="dxa"/>
            <w:tcBorders>
              <w:top w:val="single" w:color="auto" w:sz="12" w:space="0"/>
              <w:left w:val="nil"/>
              <w:bottom w:val="single" w:color="auto" w:sz="6" w:space="0"/>
              <w:right w:val="nil"/>
            </w:tcBorders>
            <w:noWrap/>
            <w:vAlign w:val="center"/>
          </w:tcPr>
          <w:p w14:paraId="231D9995">
            <w:pPr>
              <w:widowControl/>
              <w:ind w:left="210" w:leftChars="100"/>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Calibration slope</w:t>
            </w:r>
          </w:p>
        </w:tc>
        <w:tc>
          <w:tcPr>
            <w:tcW w:w="1719" w:type="dxa"/>
            <w:tcBorders>
              <w:top w:val="single" w:color="auto" w:sz="12" w:space="0"/>
              <w:left w:val="nil"/>
              <w:bottom w:val="single" w:color="auto" w:sz="6" w:space="0"/>
              <w:right w:val="nil"/>
            </w:tcBorders>
            <w:noWrap/>
            <w:vAlign w:val="center"/>
          </w:tcPr>
          <w:p w14:paraId="34D19093">
            <w:pPr>
              <w:widowControl/>
              <w:ind w:firstLine="660" w:firstLineChars="300"/>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IPA (%)</w:t>
            </w:r>
          </w:p>
        </w:tc>
      </w:tr>
      <w:tr w14:paraId="5BC49CF7">
        <w:tblPrEx>
          <w:tblCellMar>
            <w:top w:w="0" w:type="dxa"/>
            <w:left w:w="108" w:type="dxa"/>
            <w:bottom w:w="0" w:type="dxa"/>
            <w:right w:w="108" w:type="dxa"/>
          </w:tblCellMar>
        </w:tblPrEx>
        <w:trPr>
          <w:trHeight w:val="270" w:hRule="atLeast"/>
        </w:trPr>
        <w:tc>
          <w:tcPr>
            <w:tcW w:w="0" w:type="auto"/>
            <w:tcBorders>
              <w:top w:val="single" w:color="auto" w:sz="6" w:space="0"/>
              <w:left w:val="nil"/>
              <w:bottom w:val="nil"/>
              <w:right w:val="nil"/>
            </w:tcBorders>
            <w:noWrap/>
            <w:vAlign w:val="center"/>
          </w:tcPr>
          <w:p w14:paraId="179EA014">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RSF</w:t>
            </w:r>
            <w:r>
              <w:rPr>
                <w:rFonts w:hint="eastAsia" w:ascii="Times New Roman" w:hAnsi="Times New Roman" w:eastAsia="宋体" w:cs="Times New Roman"/>
                <w:color w:val="000000"/>
                <w:kern w:val="0"/>
                <w:sz w:val="22"/>
                <w:lang w:val="en-US" w:eastAsia="zh-CN" w:bidi="ar"/>
              </w:rPr>
              <w:t xml:space="preserve"> </w:t>
            </w:r>
            <w:r>
              <w:rPr>
                <w:rFonts w:hint="default" w:ascii="Times New Roman" w:hAnsi="Times New Roman" w:eastAsia="宋体" w:cs="Times New Roman"/>
                <w:color w:val="000000"/>
                <w:kern w:val="0"/>
                <w:sz w:val="22"/>
                <w:lang w:bidi="ar"/>
              </w:rPr>
              <w:t>Model</w:t>
            </w:r>
          </w:p>
        </w:tc>
        <w:tc>
          <w:tcPr>
            <w:tcW w:w="0" w:type="auto"/>
            <w:tcBorders>
              <w:top w:val="single" w:color="auto" w:sz="6" w:space="0"/>
              <w:left w:val="nil"/>
              <w:bottom w:val="nil"/>
              <w:right w:val="nil"/>
            </w:tcBorders>
            <w:noWrap/>
            <w:vAlign w:val="center"/>
          </w:tcPr>
          <w:p w14:paraId="4F713997">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6.7 [5.0;8.5]</w:t>
            </w:r>
          </w:p>
        </w:tc>
        <w:tc>
          <w:tcPr>
            <w:tcW w:w="0" w:type="auto"/>
            <w:tcBorders>
              <w:top w:val="single" w:color="auto" w:sz="6" w:space="0"/>
              <w:left w:val="nil"/>
              <w:bottom w:val="nil"/>
              <w:right w:val="nil"/>
            </w:tcBorders>
            <w:noWrap/>
            <w:vAlign w:val="center"/>
          </w:tcPr>
          <w:p w14:paraId="046CD869">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−0.001</w:t>
            </w:r>
          </w:p>
        </w:tc>
        <w:tc>
          <w:tcPr>
            <w:tcW w:w="0" w:type="auto"/>
            <w:tcBorders>
              <w:top w:val="single" w:color="auto" w:sz="6" w:space="0"/>
              <w:left w:val="nil"/>
              <w:bottom w:val="nil"/>
              <w:right w:val="nil"/>
            </w:tcBorders>
            <w:noWrap/>
            <w:vAlign w:val="center"/>
          </w:tcPr>
          <w:p w14:paraId="50C22106">
            <w:pPr>
              <w:widowControl/>
              <w:jc w:val="righ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0.638</w:t>
            </w:r>
          </w:p>
        </w:tc>
        <w:tc>
          <w:tcPr>
            <w:tcW w:w="1719" w:type="dxa"/>
            <w:tcBorders>
              <w:top w:val="single" w:color="auto" w:sz="6" w:space="0"/>
              <w:left w:val="nil"/>
              <w:bottom w:val="nil"/>
              <w:right w:val="nil"/>
            </w:tcBorders>
            <w:noWrap/>
            <w:vAlign w:val="center"/>
          </w:tcPr>
          <w:p w14:paraId="47FEA2FD">
            <w:pPr>
              <w:widowControl/>
              <w:ind w:right="220"/>
              <w:jc w:val="righ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14.79</w:t>
            </w:r>
          </w:p>
        </w:tc>
      </w:tr>
      <w:tr w14:paraId="2AAE0111">
        <w:tblPrEx>
          <w:tblCellMar>
            <w:top w:w="0" w:type="dxa"/>
            <w:left w:w="108" w:type="dxa"/>
            <w:bottom w:w="0" w:type="dxa"/>
            <w:right w:w="108" w:type="dxa"/>
          </w:tblCellMar>
        </w:tblPrEx>
        <w:trPr>
          <w:trHeight w:val="270" w:hRule="atLeast"/>
        </w:trPr>
        <w:tc>
          <w:tcPr>
            <w:tcW w:w="0" w:type="auto"/>
            <w:tcBorders>
              <w:top w:val="nil"/>
              <w:left w:val="nil"/>
              <w:bottom w:val="single" w:color="auto" w:sz="12" w:space="0"/>
              <w:right w:val="nil"/>
            </w:tcBorders>
            <w:noWrap/>
            <w:vAlign w:val="center"/>
          </w:tcPr>
          <w:p w14:paraId="2ABD7DB8">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Cox</w:t>
            </w:r>
            <w:r>
              <w:rPr>
                <w:rFonts w:hint="eastAsia" w:ascii="Times New Roman" w:hAnsi="Times New Roman" w:eastAsia="宋体" w:cs="Times New Roman"/>
                <w:color w:val="000000"/>
                <w:kern w:val="0"/>
                <w:sz w:val="22"/>
                <w:lang w:val="en-US" w:eastAsia="zh-CN" w:bidi="ar"/>
              </w:rPr>
              <w:t xml:space="preserve"> </w:t>
            </w:r>
            <w:r>
              <w:rPr>
                <w:rFonts w:hint="default" w:ascii="Times New Roman" w:hAnsi="Times New Roman" w:eastAsia="宋体" w:cs="Times New Roman"/>
                <w:color w:val="000000"/>
                <w:kern w:val="0"/>
                <w:sz w:val="22"/>
                <w:lang w:bidi="ar"/>
              </w:rPr>
              <w:t>Nomogram</w:t>
            </w:r>
          </w:p>
        </w:tc>
        <w:tc>
          <w:tcPr>
            <w:tcW w:w="0" w:type="auto"/>
            <w:tcBorders>
              <w:top w:val="nil"/>
              <w:left w:val="nil"/>
              <w:bottom w:val="single" w:color="auto" w:sz="12" w:space="0"/>
              <w:right w:val="nil"/>
            </w:tcBorders>
            <w:noWrap/>
            <w:vAlign w:val="center"/>
          </w:tcPr>
          <w:p w14:paraId="63B55A05">
            <w:pPr>
              <w:widowControl/>
              <w:jc w:val="lef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5.1 [3.5;6.7]</w:t>
            </w:r>
          </w:p>
        </w:tc>
        <w:tc>
          <w:tcPr>
            <w:tcW w:w="0" w:type="auto"/>
            <w:tcBorders>
              <w:top w:val="nil"/>
              <w:left w:val="nil"/>
              <w:bottom w:val="single" w:color="auto" w:sz="12" w:space="0"/>
              <w:right w:val="nil"/>
            </w:tcBorders>
            <w:noWrap/>
            <w:vAlign w:val="center"/>
          </w:tcPr>
          <w:p w14:paraId="10D21909">
            <w:pPr>
              <w:widowControl/>
              <w:jc w:val="righ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0.098</w:t>
            </w:r>
          </w:p>
        </w:tc>
        <w:tc>
          <w:tcPr>
            <w:tcW w:w="0" w:type="auto"/>
            <w:tcBorders>
              <w:top w:val="nil"/>
              <w:left w:val="nil"/>
              <w:bottom w:val="single" w:color="auto" w:sz="12" w:space="0"/>
              <w:right w:val="nil"/>
            </w:tcBorders>
            <w:noWrap/>
            <w:vAlign w:val="center"/>
          </w:tcPr>
          <w:p w14:paraId="755C5167">
            <w:pPr>
              <w:widowControl/>
              <w:jc w:val="righ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0.885</w:t>
            </w:r>
          </w:p>
        </w:tc>
        <w:tc>
          <w:tcPr>
            <w:tcW w:w="1719" w:type="dxa"/>
            <w:tcBorders>
              <w:top w:val="nil"/>
              <w:left w:val="nil"/>
              <w:bottom w:val="single" w:color="auto" w:sz="12" w:space="0"/>
              <w:right w:val="nil"/>
            </w:tcBorders>
            <w:noWrap/>
            <w:vAlign w:val="center"/>
          </w:tcPr>
          <w:p w14:paraId="665F6620">
            <w:pPr>
              <w:widowControl/>
              <w:ind w:right="220"/>
              <w:jc w:val="right"/>
              <w:textAlignment w:val="center"/>
              <w:rPr>
                <w:rFonts w:hint="default" w:ascii="Times New Roman" w:hAnsi="Times New Roman" w:eastAsia="宋体" w:cs="Times New Roman"/>
                <w:color w:val="000000"/>
                <w:sz w:val="22"/>
              </w:rPr>
            </w:pPr>
            <w:r>
              <w:rPr>
                <w:rFonts w:hint="default" w:ascii="Times New Roman" w:hAnsi="Times New Roman" w:eastAsia="宋体" w:cs="Times New Roman"/>
                <w:color w:val="000000"/>
                <w:kern w:val="0"/>
                <w:sz w:val="22"/>
                <w:lang w:bidi="ar"/>
              </w:rPr>
              <w:t>35.11</w:t>
            </w:r>
          </w:p>
        </w:tc>
      </w:tr>
    </w:tbl>
    <w:p w14:paraId="5F722E28">
      <w:pPr>
        <w:spacing w:line="360" w:lineRule="auto"/>
        <w:rPr>
          <w:rFonts w:hint="default" w:ascii="Times New Roman" w:hAnsi="Times New Roman" w:cs="Times New Roman"/>
          <w:i w:val="0"/>
          <w:iCs w:val="0"/>
          <w:sz w:val="22"/>
        </w:rPr>
      </w:pPr>
      <w:r>
        <w:rPr>
          <w:rFonts w:hint="default" w:ascii="Times New Roman" w:hAnsi="Times New Roman" w:cs="Times New Roman"/>
          <w:b w:val="0"/>
          <w:bCs w:val="0"/>
          <w:sz w:val="22"/>
        </w:rPr>
        <w:t>Abbreviations:</w:t>
      </w:r>
      <w:r>
        <w:rPr>
          <w:rFonts w:hint="default" w:ascii="Times New Roman" w:hAnsi="Times New Roman" w:cs="Times New Roman"/>
          <w:sz w:val="22"/>
        </w:rPr>
        <w:t xml:space="preserve"> IPA, Integrated Predictive Accuracy; RSF, Random Survival Forest. </w:t>
      </w:r>
      <w:r>
        <w:rPr>
          <w:rFonts w:hint="default" w:ascii="Times New Roman" w:hAnsi="Times New Roman" w:cs="Times New Roman"/>
          <w:i w:val="0"/>
          <w:iCs w:val="0"/>
          <w:sz w:val="22"/>
        </w:rPr>
        <w:t xml:space="preserve">Data are presented as value [95% CI] </w:t>
      </w:r>
    </w:p>
    <w:p w14:paraId="129EB18F">
      <w:pPr>
        <w:spacing w:line="360" w:lineRule="auto"/>
        <w:rPr>
          <w:rFonts w:hint="default" w:ascii="Times New Roman" w:hAnsi="Times New Roman" w:cs="Times New Roman" w:eastAsiaTheme="minorEastAsia"/>
          <w:sz w:val="22"/>
          <w:lang w:val="en-US" w:eastAsia="zh-CN"/>
        </w:rPr>
      </w:pPr>
      <w:r>
        <w:rPr>
          <w:rFonts w:hint="default" w:ascii="Times New Roman" w:hAnsi="Times New Roman" w:cs="Times New Roman"/>
          <w:sz w:val="22"/>
        </w:rPr>
        <w:t>Supplementary Table 5</w:t>
      </w:r>
      <w:r>
        <w:rPr>
          <w:rFonts w:hint="default" w:ascii="Times New Roman" w:hAnsi="Times New Roman" w:cs="Times New Roman"/>
          <w:sz w:val="22"/>
        </w:rPr>
        <w:t xml:space="preserve"> </w:t>
      </w:r>
      <w:r>
        <w:rPr>
          <w:rFonts w:hint="default" w:ascii="Times New Roman" w:hAnsi="Times New Roman" w:cs="Times New Roman"/>
          <w:sz w:val="22"/>
        </w:rPr>
        <w:t xml:space="preserve">Subdistribution Hazard Ratios (sHR) for Predictors of </w:t>
      </w:r>
      <w:r>
        <w:rPr>
          <w:rFonts w:hint="default" w:ascii="Times New Roman" w:hAnsi="Times New Roman" w:cs="Times New Roman"/>
          <w:sz w:val="22"/>
        </w:rPr>
        <w:t>Adverse Clinical Events</w:t>
      </w:r>
      <w:r>
        <w:rPr>
          <w:rFonts w:hint="default" w:ascii="Times New Roman" w:hAnsi="Times New Roman" w:cs="Times New Roman"/>
          <w:sz w:val="22"/>
        </w:rPr>
        <w:t xml:space="preserve"> Based on Fine-Gray Model</w:t>
      </w:r>
      <w:r>
        <w:rPr>
          <w:rFonts w:hint="default" w:ascii="Times New Roman" w:hAnsi="Times New Roman" w:cs="Times New Roman"/>
          <w:sz w:val="22"/>
        </w:rPr>
        <w:t xml:space="preserve"> in OCEA</w:t>
      </w:r>
      <w:r>
        <w:rPr>
          <w:rFonts w:hint="eastAsia" w:ascii="Times New Roman" w:hAnsi="Times New Roman" w:cs="Times New Roman"/>
          <w:sz w:val="22"/>
          <w:lang w:val="en-US" w:eastAsia="zh-CN"/>
        </w:rPr>
        <w:t xml:space="preserve"> cohort</w:t>
      </w:r>
    </w:p>
    <w:tbl>
      <w:tblPr>
        <w:tblStyle w:val="6"/>
        <w:tblW w:w="6548" w:type="dxa"/>
        <w:tblInd w:w="100" w:type="dxa"/>
        <w:tblLayout w:type="autofit"/>
        <w:tblCellMar>
          <w:top w:w="0" w:type="dxa"/>
          <w:left w:w="108" w:type="dxa"/>
          <w:bottom w:w="0" w:type="dxa"/>
          <w:right w:w="108" w:type="dxa"/>
        </w:tblCellMar>
      </w:tblPr>
      <w:tblGrid>
        <w:gridCol w:w="1946"/>
        <w:gridCol w:w="1180"/>
        <w:gridCol w:w="2122"/>
        <w:gridCol w:w="1306"/>
      </w:tblGrid>
      <w:tr w14:paraId="4E2E3553">
        <w:tblPrEx>
          <w:tblCellMar>
            <w:top w:w="0" w:type="dxa"/>
            <w:left w:w="108" w:type="dxa"/>
            <w:bottom w:w="0" w:type="dxa"/>
            <w:right w:w="108" w:type="dxa"/>
          </w:tblCellMar>
        </w:tblPrEx>
        <w:trPr>
          <w:trHeight w:val="285" w:hRule="atLeast"/>
        </w:trPr>
        <w:tc>
          <w:tcPr>
            <w:tcW w:w="1946" w:type="dxa"/>
            <w:tcBorders>
              <w:top w:val="single" w:color="auto" w:sz="12" w:space="0"/>
              <w:left w:val="nil"/>
              <w:bottom w:val="single" w:color="auto" w:sz="6" w:space="0"/>
              <w:right w:val="nil"/>
            </w:tcBorders>
            <w:noWrap/>
            <w:vAlign w:val="bottom"/>
          </w:tcPr>
          <w:p w14:paraId="20C0BB80">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Variable</w:t>
            </w:r>
          </w:p>
        </w:tc>
        <w:tc>
          <w:tcPr>
            <w:tcW w:w="1180" w:type="dxa"/>
            <w:tcBorders>
              <w:top w:val="single" w:color="auto" w:sz="12" w:space="0"/>
              <w:left w:val="nil"/>
              <w:bottom w:val="single" w:color="auto" w:sz="6" w:space="0"/>
              <w:right w:val="nil"/>
            </w:tcBorders>
            <w:noWrap/>
            <w:vAlign w:val="bottom"/>
          </w:tcPr>
          <w:p w14:paraId="3623E0D8">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sHR</w:t>
            </w:r>
          </w:p>
        </w:tc>
        <w:tc>
          <w:tcPr>
            <w:tcW w:w="2122" w:type="dxa"/>
            <w:tcBorders>
              <w:top w:val="single" w:color="auto" w:sz="12" w:space="0"/>
              <w:left w:val="nil"/>
              <w:bottom w:val="single" w:color="auto" w:sz="6" w:space="0"/>
              <w:right w:val="nil"/>
            </w:tcBorders>
            <w:noWrap/>
            <w:vAlign w:val="bottom"/>
          </w:tcPr>
          <w:p w14:paraId="18B04F96">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95% CI</w:t>
            </w:r>
          </w:p>
        </w:tc>
        <w:tc>
          <w:tcPr>
            <w:tcW w:w="1306" w:type="dxa"/>
            <w:tcBorders>
              <w:top w:val="single" w:color="auto" w:sz="12" w:space="0"/>
              <w:left w:val="nil"/>
              <w:bottom w:val="single" w:color="auto" w:sz="6" w:space="0"/>
              <w:right w:val="nil"/>
            </w:tcBorders>
            <w:noWrap/>
            <w:vAlign w:val="bottom"/>
          </w:tcPr>
          <w:p w14:paraId="6C0894EC">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P_value</w:t>
            </w:r>
          </w:p>
        </w:tc>
      </w:tr>
      <w:tr w14:paraId="4A2FF172">
        <w:tblPrEx>
          <w:tblCellMar>
            <w:top w:w="0" w:type="dxa"/>
            <w:left w:w="108" w:type="dxa"/>
            <w:bottom w:w="0" w:type="dxa"/>
            <w:right w:w="108" w:type="dxa"/>
          </w:tblCellMar>
        </w:tblPrEx>
        <w:trPr>
          <w:trHeight w:val="285" w:hRule="atLeast"/>
        </w:trPr>
        <w:tc>
          <w:tcPr>
            <w:tcW w:w="1946" w:type="dxa"/>
            <w:tcBorders>
              <w:top w:val="single" w:color="auto" w:sz="6" w:space="0"/>
              <w:left w:val="nil"/>
              <w:bottom w:val="nil"/>
              <w:right w:val="nil"/>
            </w:tcBorders>
            <w:noWrap/>
            <w:vAlign w:val="bottom"/>
          </w:tcPr>
          <w:p w14:paraId="0359AAB7">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NTPROBNP</w:t>
            </w:r>
          </w:p>
        </w:tc>
        <w:tc>
          <w:tcPr>
            <w:tcW w:w="1180" w:type="dxa"/>
            <w:tcBorders>
              <w:top w:val="single" w:color="auto" w:sz="6" w:space="0"/>
              <w:left w:val="nil"/>
              <w:bottom w:val="nil"/>
              <w:right w:val="nil"/>
            </w:tcBorders>
            <w:noWrap/>
            <w:vAlign w:val="bottom"/>
          </w:tcPr>
          <w:p w14:paraId="3F217CA0">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1.402</w:t>
            </w:r>
          </w:p>
        </w:tc>
        <w:tc>
          <w:tcPr>
            <w:tcW w:w="2122" w:type="dxa"/>
            <w:tcBorders>
              <w:top w:val="single" w:color="auto" w:sz="6" w:space="0"/>
              <w:left w:val="nil"/>
              <w:bottom w:val="nil"/>
              <w:right w:val="nil"/>
            </w:tcBorders>
            <w:noWrap/>
            <w:vAlign w:val="bottom"/>
          </w:tcPr>
          <w:p w14:paraId="433ABBE7">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1.316-1.493</w:t>
            </w:r>
          </w:p>
        </w:tc>
        <w:tc>
          <w:tcPr>
            <w:tcW w:w="1306" w:type="dxa"/>
            <w:tcBorders>
              <w:top w:val="single" w:color="auto" w:sz="6" w:space="0"/>
              <w:left w:val="nil"/>
              <w:bottom w:val="nil"/>
              <w:right w:val="nil"/>
            </w:tcBorders>
            <w:noWrap/>
            <w:vAlign w:val="bottom"/>
          </w:tcPr>
          <w:p w14:paraId="0B776380">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1A7B933E">
        <w:tblPrEx>
          <w:tblCellMar>
            <w:top w:w="0" w:type="dxa"/>
            <w:left w:w="108" w:type="dxa"/>
            <w:bottom w:w="0" w:type="dxa"/>
            <w:right w:w="108" w:type="dxa"/>
          </w:tblCellMar>
        </w:tblPrEx>
        <w:trPr>
          <w:trHeight w:val="285" w:hRule="atLeast"/>
        </w:trPr>
        <w:tc>
          <w:tcPr>
            <w:tcW w:w="1946" w:type="dxa"/>
            <w:tcBorders>
              <w:top w:val="nil"/>
              <w:left w:val="nil"/>
              <w:bottom w:val="nil"/>
              <w:right w:val="nil"/>
            </w:tcBorders>
            <w:noWrap/>
            <w:vAlign w:val="bottom"/>
          </w:tcPr>
          <w:p w14:paraId="6E02EAAE">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DIMER</w:t>
            </w:r>
          </w:p>
        </w:tc>
        <w:tc>
          <w:tcPr>
            <w:tcW w:w="1180" w:type="dxa"/>
            <w:tcBorders>
              <w:top w:val="nil"/>
              <w:left w:val="nil"/>
              <w:bottom w:val="nil"/>
              <w:right w:val="nil"/>
            </w:tcBorders>
            <w:noWrap/>
            <w:vAlign w:val="bottom"/>
          </w:tcPr>
          <w:p w14:paraId="3724D20E">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1.838</w:t>
            </w:r>
          </w:p>
        </w:tc>
        <w:tc>
          <w:tcPr>
            <w:tcW w:w="2122" w:type="dxa"/>
            <w:tcBorders>
              <w:top w:val="nil"/>
              <w:left w:val="nil"/>
              <w:bottom w:val="nil"/>
              <w:right w:val="nil"/>
            </w:tcBorders>
            <w:noWrap/>
            <w:vAlign w:val="bottom"/>
          </w:tcPr>
          <w:p w14:paraId="5C8BBA5C">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1.534-2.203</w:t>
            </w:r>
          </w:p>
        </w:tc>
        <w:tc>
          <w:tcPr>
            <w:tcW w:w="1306" w:type="dxa"/>
            <w:tcBorders>
              <w:top w:val="nil"/>
              <w:left w:val="nil"/>
              <w:bottom w:val="nil"/>
              <w:right w:val="nil"/>
            </w:tcBorders>
            <w:noWrap/>
            <w:vAlign w:val="bottom"/>
          </w:tcPr>
          <w:p w14:paraId="0324C201">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0E373585">
        <w:tblPrEx>
          <w:tblCellMar>
            <w:top w:w="0" w:type="dxa"/>
            <w:left w:w="108" w:type="dxa"/>
            <w:bottom w:w="0" w:type="dxa"/>
            <w:right w:w="108" w:type="dxa"/>
          </w:tblCellMar>
        </w:tblPrEx>
        <w:trPr>
          <w:trHeight w:val="285" w:hRule="atLeast"/>
        </w:trPr>
        <w:tc>
          <w:tcPr>
            <w:tcW w:w="1946" w:type="dxa"/>
            <w:tcBorders>
              <w:top w:val="nil"/>
              <w:left w:val="nil"/>
              <w:bottom w:val="nil"/>
              <w:right w:val="nil"/>
            </w:tcBorders>
            <w:noWrap/>
            <w:vAlign w:val="bottom"/>
          </w:tcPr>
          <w:p w14:paraId="234A422A">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eGFR</w:t>
            </w:r>
          </w:p>
        </w:tc>
        <w:tc>
          <w:tcPr>
            <w:tcW w:w="1180" w:type="dxa"/>
            <w:tcBorders>
              <w:top w:val="nil"/>
              <w:left w:val="nil"/>
              <w:bottom w:val="nil"/>
              <w:right w:val="nil"/>
            </w:tcBorders>
            <w:noWrap/>
            <w:vAlign w:val="bottom"/>
          </w:tcPr>
          <w:p w14:paraId="4C63F3D9">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0.767</w:t>
            </w:r>
          </w:p>
        </w:tc>
        <w:tc>
          <w:tcPr>
            <w:tcW w:w="2122" w:type="dxa"/>
            <w:tcBorders>
              <w:top w:val="nil"/>
              <w:left w:val="nil"/>
              <w:bottom w:val="nil"/>
              <w:right w:val="nil"/>
            </w:tcBorders>
            <w:noWrap/>
            <w:vAlign w:val="bottom"/>
          </w:tcPr>
          <w:p w14:paraId="1F606A97">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0.656-0.898</w:t>
            </w:r>
          </w:p>
        </w:tc>
        <w:tc>
          <w:tcPr>
            <w:tcW w:w="1306" w:type="dxa"/>
            <w:tcBorders>
              <w:top w:val="nil"/>
              <w:left w:val="nil"/>
              <w:bottom w:val="nil"/>
              <w:right w:val="nil"/>
            </w:tcBorders>
            <w:noWrap/>
            <w:vAlign w:val="bottom"/>
          </w:tcPr>
          <w:p w14:paraId="0E874C41">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0.001</w:t>
            </w:r>
          </w:p>
        </w:tc>
      </w:tr>
      <w:tr w14:paraId="561FE451">
        <w:tblPrEx>
          <w:tblCellMar>
            <w:top w:w="0" w:type="dxa"/>
            <w:left w:w="108" w:type="dxa"/>
            <w:bottom w:w="0" w:type="dxa"/>
            <w:right w:w="108" w:type="dxa"/>
          </w:tblCellMar>
        </w:tblPrEx>
        <w:trPr>
          <w:trHeight w:val="285" w:hRule="atLeast"/>
        </w:trPr>
        <w:tc>
          <w:tcPr>
            <w:tcW w:w="1946" w:type="dxa"/>
            <w:tcBorders>
              <w:top w:val="nil"/>
              <w:left w:val="nil"/>
              <w:bottom w:val="nil"/>
              <w:right w:val="nil"/>
            </w:tcBorders>
            <w:noWrap/>
            <w:vAlign w:val="bottom"/>
          </w:tcPr>
          <w:p w14:paraId="728DD20F">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GDF15</w:t>
            </w:r>
          </w:p>
        </w:tc>
        <w:tc>
          <w:tcPr>
            <w:tcW w:w="1180" w:type="dxa"/>
            <w:tcBorders>
              <w:top w:val="nil"/>
              <w:left w:val="nil"/>
              <w:bottom w:val="nil"/>
              <w:right w:val="nil"/>
            </w:tcBorders>
            <w:noWrap/>
            <w:vAlign w:val="bottom"/>
          </w:tcPr>
          <w:p w14:paraId="3989118E">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1.319</w:t>
            </w:r>
          </w:p>
        </w:tc>
        <w:tc>
          <w:tcPr>
            <w:tcW w:w="2122" w:type="dxa"/>
            <w:tcBorders>
              <w:top w:val="nil"/>
              <w:left w:val="nil"/>
              <w:bottom w:val="nil"/>
              <w:right w:val="nil"/>
            </w:tcBorders>
            <w:noWrap/>
            <w:vAlign w:val="bottom"/>
          </w:tcPr>
          <w:p w14:paraId="17881ADF">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1.197-1.453</w:t>
            </w:r>
          </w:p>
        </w:tc>
        <w:tc>
          <w:tcPr>
            <w:tcW w:w="1306" w:type="dxa"/>
            <w:tcBorders>
              <w:top w:val="nil"/>
              <w:left w:val="nil"/>
              <w:bottom w:val="nil"/>
              <w:right w:val="nil"/>
            </w:tcBorders>
            <w:noWrap/>
            <w:vAlign w:val="bottom"/>
          </w:tcPr>
          <w:p w14:paraId="428CD72D">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2D91D4F0">
        <w:tblPrEx>
          <w:tblCellMar>
            <w:top w:w="0" w:type="dxa"/>
            <w:left w:w="108" w:type="dxa"/>
            <w:bottom w:w="0" w:type="dxa"/>
            <w:right w:w="108" w:type="dxa"/>
          </w:tblCellMar>
        </w:tblPrEx>
        <w:trPr>
          <w:trHeight w:val="285" w:hRule="atLeast"/>
        </w:trPr>
        <w:tc>
          <w:tcPr>
            <w:tcW w:w="1946" w:type="dxa"/>
            <w:tcBorders>
              <w:top w:val="nil"/>
              <w:left w:val="nil"/>
              <w:bottom w:val="nil"/>
              <w:right w:val="nil"/>
            </w:tcBorders>
            <w:noWrap/>
            <w:vAlign w:val="bottom"/>
          </w:tcPr>
          <w:p w14:paraId="6289C876">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EF</w:t>
            </w:r>
          </w:p>
        </w:tc>
        <w:tc>
          <w:tcPr>
            <w:tcW w:w="1180" w:type="dxa"/>
            <w:tcBorders>
              <w:top w:val="nil"/>
              <w:left w:val="nil"/>
              <w:bottom w:val="nil"/>
              <w:right w:val="nil"/>
            </w:tcBorders>
            <w:noWrap/>
            <w:vAlign w:val="bottom"/>
          </w:tcPr>
          <w:p w14:paraId="6F3FA696">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0.975</w:t>
            </w:r>
          </w:p>
        </w:tc>
        <w:tc>
          <w:tcPr>
            <w:tcW w:w="2122" w:type="dxa"/>
            <w:tcBorders>
              <w:top w:val="nil"/>
              <w:left w:val="nil"/>
              <w:bottom w:val="nil"/>
              <w:right w:val="nil"/>
            </w:tcBorders>
            <w:noWrap/>
            <w:vAlign w:val="bottom"/>
          </w:tcPr>
          <w:p w14:paraId="7EDB4858">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0.967-0.984</w:t>
            </w:r>
          </w:p>
        </w:tc>
        <w:tc>
          <w:tcPr>
            <w:tcW w:w="1306" w:type="dxa"/>
            <w:tcBorders>
              <w:top w:val="nil"/>
              <w:left w:val="nil"/>
              <w:bottom w:val="nil"/>
              <w:right w:val="nil"/>
            </w:tcBorders>
            <w:noWrap/>
            <w:vAlign w:val="bottom"/>
          </w:tcPr>
          <w:p w14:paraId="1423D9AC">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1890ED5F">
        <w:tblPrEx>
          <w:tblCellMar>
            <w:top w:w="0" w:type="dxa"/>
            <w:left w:w="108" w:type="dxa"/>
            <w:bottom w:w="0" w:type="dxa"/>
            <w:right w:w="108" w:type="dxa"/>
          </w:tblCellMar>
        </w:tblPrEx>
        <w:trPr>
          <w:trHeight w:val="285" w:hRule="atLeast"/>
        </w:trPr>
        <w:tc>
          <w:tcPr>
            <w:tcW w:w="1946" w:type="dxa"/>
            <w:tcBorders>
              <w:top w:val="nil"/>
              <w:left w:val="nil"/>
              <w:bottom w:val="nil"/>
              <w:right w:val="nil"/>
            </w:tcBorders>
            <w:noWrap/>
            <w:vAlign w:val="bottom"/>
          </w:tcPr>
          <w:p w14:paraId="5EF92D66">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1180" w:type="dxa"/>
            <w:tcBorders>
              <w:top w:val="nil"/>
              <w:left w:val="nil"/>
              <w:bottom w:val="nil"/>
              <w:right w:val="nil"/>
            </w:tcBorders>
            <w:noWrap/>
            <w:vAlign w:val="bottom"/>
          </w:tcPr>
          <w:p w14:paraId="6777FF25">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1.016</w:t>
            </w:r>
          </w:p>
        </w:tc>
        <w:tc>
          <w:tcPr>
            <w:tcW w:w="2122" w:type="dxa"/>
            <w:tcBorders>
              <w:top w:val="nil"/>
              <w:left w:val="nil"/>
              <w:bottom w:val="nil"/>
              <w:right w:val="nil"/>
            </w:tcBorders>
            <w:noWrap/>
            <w:vAlign w:val="bottom"/>
          </w:tcPr>
          <w:p w14:paraId="548A4983">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1.010-1.023</w:t>
            </w:r>
          </w:p>
        </w:tc>
        <w:tc>
          <w:tcPr>
            <w:tcW w:w="1306" w:type="dxa"/>
            <w:tcBorders>
              <w:top w:val="nil"/>
              <w:left w:val="nil"/>
              <w:bottom w:val="nil"/>
              <w:right w:val="nil"/>
            </w:tcBorders>
            <w:noWrap/>
            <w:vAlign w:val="bottom"/>
          </w:tcPr>
          <w:p w14:paraId="5B9332C7">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&lt;0.001</w:t>
            </w:r>
          </w:p>
        </w:tc>
      </w:tr>
      <w:tr w14:paraId="2D7C17A4">
        <w:tblPrEx>
          <w:tblCellMar>
            <w:top w:w="0" w:type="dxa"/>
            <w:left w:w="108" w:type="dxa"/>
            <w:bottom w:w="0" w:type="dxa"/>
            <w:right w:w="108" w:type="dxa"/>
          </w:tblCellMar>
        </w:tblPrEx>
        <w:trPr>
          <w:trHeight w:val="285" w:hRule="atLeast"/>
        </w:trPr>
        <w:tc>
          <w:tcPr>
            <w:tcW w:w="1946" w:type="dxa"/>
            <w:tcBorders>
              <w:top w:val="nil"/>
              <w:left w:val="nil"/>
              <w:bottom w:val="single" w:color="auto" w:sz="12" w:space="0"/>
              <w:right w:val="nil"/>
            </w:tcBorders>
            <w:noWrap/>
            <w:vAlign w:val="bottom"/>
          </w:tcPr>
          <w:p w14:paraId="36919A2A">
            <w:pPr>
              <w:keepNext w:val="0"/>
              <w:keepLines w:val="0"/>
              <w:widowControl/>
              <w:suppressLineNumbers w:val="0"/>
              <w:jc w:val="left"/>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HEMOGLOBIN</w:t>
            </w:r>
          </w:p>
        </w:tc>
        <w:tc>
          <w:tcPr>
            <w:tcW w:w="1180" w:type="dxa"/>
            <w:tcBorders>
              <w:top w:val="nil"/>
              <w:left w:val="nil"/>
              <w:bottom w:val="single" w:color="auto" w:sz="12" w:space="0"/>
              <w:right w:val="nil"/>
            </w:tcBorders>
            <w:noWrap/>
            <w:vAlign w:val="bottom"/>
          </w:tcPr>
          <w:p w14:paraId="76CEC64E">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0.992</w:t>
            </w:r>
          </w:p>
        </w:tc>
        <w:tc>
          <w:tcPr>
            <w:tcW w:w="2122" w:type="dxa"/>
            <w:tcBorders>
              <w:top w:val="nil"/>
              <w:left w:val="nil"/>
              <w:bottom w:val="single" w:color="auto" w:sz="12" w:space="0"/>
              <w:right w:val="nil"/>
            </w:tcBorders>
            <w:noWrap/>
            <w:vAlign w:val="bottom"/>
          </w:tcPr>
          <w:p w14:paraId="2385A81B">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0.988-0.997</w:t>
            </w:r>
          </w:p>
        </w:tc>
        <w:tc>
          <w:tcPr>
            <w:tcW w:w="1306" w:type="dxa"/>
            <w:tcBorders>
              <w:top w:val="nil"/>
              <w:left w:val="nil"/>
              <w:bottom w:val="single" w:color="auto" w:sz="12" w:space="0"/>
              <w:right w:val="nil"/>
            </w:tcBorders>
            <w:noWrap/>
            <w:vAlign w:val="bottom"/>
          </w:tcPr>
          <w:p w14:paraId="748D9B9A">
            <w:pPr>
              <w:keepNext w:val="0"/>
              <w:keepLines w:val="0"/>
              <w:widowControl/>
              <w:suppressLineNumbers w:val="0"/>
              <w:jc w:val="center"/>
              <w:textAlignment w:val="bottom"/>
              <w:rPr>
                <w:rFonts w:hint="default" w:ascii="Times New Roman" w:hAnsi="Times New Roman"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0.001</w:t>
            </w:r>
          </w:p>
        </w:tc>
      </w:tr>
    </w:tbl>
    <w:p w14:paraId="6C171058">
      <w:pPr>
        <w:widowControl/>
        <w:jc w:val="left"/>
        <w:rPr>
          <w:rFonts w:hint="eastAsia" w:ascii="Times New Roman" w:hAnsi="Times New Roman" w:eastAsia="宋体" w:cs="Times New Roman"/>
          <w:b/>
          <w:bCs/>
          <w:sz w:val="22"/>
          <w:lang w:val="en-US" w:eastAsia="zh-CN"/>
        </w:rPr>
        <w:sectPr>
          <w:pgSz w:w="11906" w:h="16838"/>
          <w:pgMar w:top="1440" w:right="1800" w:bottom="1440" w:left="1800" w:header="851" w:footer="992" w:gutter="0"/>
          <w:lnNumType w:countBy="1"/>
          <w:cols w:space="425" w:num="1"/>
          <w:docGrid w:type="lines" w:linePitch="312" w:charSpace="0"/>
        </w:sectPr>
      </w:pPr>
      <w:r>
        <w:rPr>
          <w:rFonts w:hint="default" w:ascii="Times New Roman" w:hAnsi="Times New Roman" w:eastAsia="Segoe UI" w:cs="Times New Roman"/>
          <w:color w:val="333333"/>
          <w:kern w:val="0"/>
          <w:sz w:val="22"/>
          <w:lang w:bidi="ar"/>
        </w:rPr>
        <w:t>Abbreviations: CI = Confidence Interval, HR = Hazard Ratio</w:t>
      </w:r>
      <w:r>
        <w:rPr>
          <w:rFonts w:hint="eastAsia" w:ascii="Times New Roman" w:hAnsi="Times New Roman" w:eastAsia="宋体" w:cs="Times New Roman"/>
          <w:color w:val="333333"/>
          <w:kern w:val="0"/>
          <w:sz w:val="22"/>
          <w:lang w:val="en-US" w:eastAsia="zh-CN" w:bidi="ar"/>
        </w:rPr>
        <w:t xml:space="preserve">. </w:t>
      </w:r>
      <w:bookmarkStart w:id="6" w:name="_GoBack"/>
      <w:bookmarkEnd w:id="6"/>
      <w:r>
        <w:rPr>
          <w:rFonts w:hint="eastAsia" w:ascii="Times New Roman" w:hAnsi="Times New Roman" w:eastAsia="宋体" w:cs="Times New Roman"/>
          <w:color w:val="333333"/>
          <w:kern w:val="0"/>
          <w:sz w:val="22"/>
          <w:lang w:val="en-US" w:eastAsia="zh-CN" w:bidi="ar"/>
        </w:rPr>
        <w:t>Other abbreviations as in the table above.</w:t>
      </w:r>
    </w:p>
    <w:p w14:paraId="1762EEFB">
      <w:pPr>
        <w:pStyle w:val="14"/>
        <w:spacing w:line="360" w:lineRule="auto"/>
        <w:rPr>
          <w:rFonts w:hint="default" w:ascii="Times New Roman" w:hAnsi="Times New Roman" w:cs="Times New Roman"/>
          <w:b/>
          <w:bCs/>
          <w:sz w:val="22"/>
        </w:rPr>
      </w:pPr>
      <w:r>
        <w:rPr>
          <w:rFonts w:hint="default" w:ascii="Times New Roman" w:hAnsi="Times New Roman" w:cs="Times New Roman"/>
          <w:b/>
          <w:bCs/>
          <w:sz w:val="22"/>
        </w:rPr>
        <w:t>Reference List</w:t>
      </w:r>
    </w:p>
    <w:p w14:paraId="3DCD01CA">
      <w:pPr>
        <w:pStyle w:val="14"/>
        <w:numPr>
          <w:ilvl w:val="0"/>
          <w:numId w:val="1"/>
        </w:numPr>
        <w:spacing w:line="360" w:lineRule="auto"/>
        <w:rPr>
          <w:rFonts w:hint="default" w:ascii="Times New Roman" w:hAnsi="Times New Roman" w:cs="Times New Roman"/>
          <w:sz w:val="22"/>
        </w:rPr>
      </w:pPr>
      <w:r>
        <w:rPr>
          <w:rFonts w:hint="default" w:ascii="Times New Roman" w:hAnsi="Times New Roman" w:cs="Times New Roman"/>
          <w:sz w:val="22"/>
        </w:rPr>
        <w:fldChar w:fldCharType="begin"/>
      </w:r>
      <w:r>
        <w:rPr>
          <w:rFonts w:hint="default" w:ascii="Times New Roman" w:hAnsi="Times New Roman" w:cs="Times New Roman"/>
          <w:sz w:val="22"/>
        </w:rPr>
        <w:instrText xml:space="preserve"> ADDIN EN.REFLIST </w:instrText>
      </w:r>
      <w:r>
        <w:rPr>
          <w:rFonts w:hint="default" w:ascii="Times New Roman" w:hAnsi="Times New Roman" w:cs="Times New Roman"/>
          <w:sz w:val="22"/>
        </w:rPr>
        <w:fldChar w:fldCharType="separate"/>
      </w:r>
      <w:r>
        <w:rPr>
          <w:rFonts w:hint="default" w:ascii="Times New Roman" w:hAnsi="Times New Roman" w:cs="Times New Roman"/>
          <w:sz w:val="22"/>
        </w:rPr>
        <w:t xml:space="preserve"> Denaxas SC, George J, Herrett E, Shah AD, Kalra D, Hingorani AD, Kivimaki M, Timmis AD, Smeeth L, Hemingway H. Data resource profile: cardiovascular disease research using linked bespoke studies and electronic health records (CALIBER). Int J Epidemiol. 2012;41:1625-1638.</w:t>
      </w:r>
    </w:p>
    <w:p w14:paraId="7CCA8369">
      <w:pPr>
        <w:pStyle w:val="14"/>
        <w:numPr>
          <w:ilvl w:val="0"/>
          <w:numId w:val="1"/>
        </w:numPr>
        <w:spacing w:line="360" w:lineRule="auto"/>
        <w:rPr>
          <w:rFonts w:hint="default" w:ascii="Times New Roman" w:hAnsi="Times New Roman" w:cs="Times New Roman"/>
          <w:sz w:val="22"/>
        </w:rPr>
      </w:pPr>
      <w:r>
        <w:rPr>
          <w:rFonts w:hint="default" w:ascii="Times New Roman" w:hAnsi="Times New Roman" w:cs="Times New Roman"/>
          <w:sz w:val="22"/>
        </w:rPr>
        <w:t>Friedewald WT, Levy RI, Fredrickson DS. Estimation of the concentration of low-density lipoprotein cholesterol in plasma, without use of the preparative ultracentrifuge. Clin Chem. 1972;18:499-502.</w:t>
      </w:r>
    </w:p>
    <w:p w14:paraId="00205BF8">
      <w:pPr>
        <w:pStyle w:val="14"/>
        <w:numPr>
          <w:ilvl w:val="0"/>
          <w:numId w:val="1"/>
        </w:numPr>
        <w:spacing w:line="360" w:lineRule="auto"/>
        <w:rPr>
          <w:rFonts w:hint="default" w:ascii="Times New Roman" w:hAnsi="Times New Roman" w:cs="Times New Roman"/>
          <w:sz w:val="22"/>
        </w:rPr>
      </w:pPr>
      <w:bookmarkStart w:id="3" w:name="_ENREF_3"/>
      <w:r>
        <w:rPr>
          <w:rFonts w:hint="default" w:ascii="Times New Roman" w:hAnsi="Times New Roman" w:cs="Times New Roman"/>
          <w:sz w:val="22"/>
        </w:rPr>
        <w:t>Solvik UO, Roraas TH, Petersen PH, Stavelin AV, Monsen G and Sandberg S. Effect of coagulation factors on discrepancies in International Normalized Ratio results between instruments. Clin Chem Lab Med. 2012;50:1611-20.</w:t>
      </w:r>
      <w:bookmarkEnd w:id="3"/>
    </w:p>
    <w:p w14:paraId="7474E047">
      <w:pPr>
        <w:pStyle w:val="14"/>
        <w:numPr>
          <w:ilvl w:val="0"/>
          <w:numId w:val="1"/>
        </w:numPr>
        <w:spacing w:line="360" w:lineRule="auto"/>
        <w:rPr>
          <w:rFonts w:hint="default" w:ascii="Times New Roman" w:hAnsi="Times New Roman" w:cs="Times New Roman"/>
          <w:sz w:val="22"/>
        </w:rPr>
      </w:pPr>
      <w:bookmarkStart w:id="4" w:name="_ENREF_4"/>
      <w:r>
        <w:rPr>
          <w:rFonts w:hint="default" w:ascii="Times New Roman" w:hAnsi="Times New Roman" w:cs="Times New Roman"/>
          <w:sz w:val="22"/>
        </w:rPr>
        <w:t>Rathbun SW, Whitsett TL and Raskob GE. Negative D-dimer result to exclude recurrent deep venous thrombosis: a management trial. Ann Intern Med. 2004;141:839-45.</w:t>
      </w:r>
      <w:bookmarkEnd w:id="4"/>
    </w:p>
    <w:p w14:paraId="42CD03EC">
      <w:pPr>
        <w:pStyle w:val="14"/>
        <w:numPr>
          <w:ilvl w:val="0"/>
          <w:numId w:val="1"/>
        </w:numPr>
        <w:spacing w:line="360" w:lineRule="auto"/>
        <w:rPr>
          <w:rFonts w:hint="default" w:ascii="Times New Roman" w:hAnsi="Times New Roman" w:cs="Times New Roman"/>
          <w:sz w:val="22"/>
        </w:rPr>
      </w:pPr>
      <w:bookmarkStart w:id="5" w:name="_ENREF_5"/>
      <w:r>
        <w:rPr>
          <w:rFonts w:hint="default" w:ascii="Times New Roman" w:hAnsi="Times New Roman" w:cs="Times New Roman"/>
          <w:sz w:val="22"/>
        </w:rPr>
        <w:t>Bos MJ, Koudstaal PJ, Hofman A, Witteman JC and Breteler MM. Uric acid is a risk factor for myocardial infarction and stroke: the Rotterdam study. Stroke. 2006;37:1503-7.</w:t>
      </w:r>
      <w:bookmarkEnd w:id="5"/>
    </w:p>
    <w:p w14:paraId="3DF99514">
      <w:pPr>
        <w:numPr>
          <w:ilvl w:val="0"/>
          <w:numId w:val="1"/>
        </w:numPr>
        <w:spacing w:line="360" w:lineRule="auto"/>
        <w:rPr>
          <w:rFonts w:hint="default" w:ascii="Times New Roman" w:hAnsi="Times New Roman" w:cs="Times New Roman"/>
          <w:b/>
          <w:bCs/>
          <w:sz w:val="22"/>
        </w:rPr>
      </w:pPr>
      <w:r>
        <w:rPr>
          <w:rFonts w:hint="default" w:ascii="Times New Roman" w:hAnsi="Times New Roman" w:cs="Times New Roman"/>
          <w:sz w:val="22"/>
        </w:rPr>
        <w:fldChar w:fldCharType="end"/>
      </w:r>
      <w:r>
        <w:rPr>
          <w:rFonts w:hint="default" w:ascii="Times New Roman" w:hAnsi="Times New Roman" w:cs="Times New Roman"/>
          <w:sz w:val="22"/>
        </w:rPr>
        <w:t>Hu X, Rong S, Wang Q, Sun T, Bao W, Chen L, Liu L. Association between plasma uric acid and insulin resistance in type 2 diabetes: A Mendelian randomization analysis. Diabetes Res Clin Pract. 2021;171:108542.</w:t>
      </w:r>
    </w:p>
    <w:sectPr>
      <w:pgSz w:w="11906" w:h="16838"/>
      <w:pgMar w:top="1440" w:right="1800" w:bottom="1440" w:left="1800" w:header="851" w:footer="992" w:gutter="0"/>
      <w:lnNumType w:countBy="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9103922"/>
    </w:sdtPr>
    <w:sdtContent>
      <w:p w14:paraId="2330B2C6">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14F51B2B">
    <w:pPr>
      <w:pStyle w:val="4"/>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3C0763"/>
    <w:multiLevelType w:val="multilevel"/>
    <w:tmpl w:val="223C0763"/>
    <w:lvl w:ilvl="0" w:tentative="0">
      <w:start w:val="1"/>
      <w:numFmt w:val="decimal"/>
      <w:lvlText w:val="%1."/>
      <w:lvlJc w:val="left"/>
      <w:pPr>
        <w:ind w:left="420" w:hanging="420"/>
      </w:pPr>
      <w:rPr>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hmM2U3MDkxZTA1Y2QwMjBkMDRmYjA1MGY0MjYyMjgifQ=="/>
  </w:docVars>
  <w:rsids>
    <w:rsidRoot w:val="003D104D"/>
    <w:rsid w:val="00005023"/>
    <w:rsid w:val="00005771"/>
    <w:rsid w:val="000106E9"/>
    <w:rsid w:val="00014F04"/>
    <w:rsid w:val="00026A97"/>
    <w:rsid w:val="00046FF6"/>
    <w:rsid w:val="000722E2"/>
    <w:rsid w:val="000952E8"/>
    <w:rsid w:val="00096EDC"/>
    <w:rsid w:val="000B3691"/>
    <w:rsid w:val="000C34B4"/>
    <w:rsid w:val="000D03B5"/>
    <w:rsid w:val="000E6C70"/>
    <w:rsid w:val="000F1720"/>
    <w:rsid w:val="000F209F"/>
    <w:rsid w:val="000F546C"/>
    <w:rsid w:val="00107FFE"/>
    <w:rsid w:val="00112BB7"/>
    <w:rsid w:val="00122B91"/>
    <w:rsid w:val="0013139B"/>
    <w:rsid w:val="001422DE"/>
    <w:rsid w:val="00150405"/>
    <w:rsid w:val="001527AB"/>
    <w:rsid w:val="00176DE0"/>
    <w:rsid w:val="00177368"/>
    <w:rsid w:val="00183DA8"/>
    <w:rsid w:val="001B727B"/>
    <w:rsid w:val="001C7BE1"/>
    <w:rsid w:val="001D7BD9"/>
    <w:rsid w:val="001E0468"/>
    <w:rsid w:val="001F47ED"/>
    <w:rsid w:val="00207D21"/>
    <w:rsid w:val="0023158F"/>
    <w:rsid w:val="0025431D"/>
    <w:rsid w:val="00260305"/>
    <w:rsid w:val="00281576"/>
    <w:rsid w:val="002C6C6A"/>
    <w:rsid w:val="002F3E08"/>
    <w:rsid w:val="002F6C05"/>
    <w:rsid w:val="00307952"/>
    <w:rsid w:val="0032399E"/>
    <w:rsid w:val="00334872"/>
    <w:rsid w:val="00336681"/>
    <w:rsid w:val="00357618"/>
    <w:rsid w:val="003651AF"/>
    <w:rsid w:val="00370248"/>
    <w:rsid w:val="00375631"/>
    <w:rsid w:val="00384730"/>
    <w:rsid w:val="00391C5E"/>
    <w:rsid w:val="00394E6C"/>
    <w:rsid w:val="003B496A"/>
    <w:rsid w:val="003D104D"/>
    <w:rsid w:val="003E3468"/>
    <w:rsid w:val="003E5B80"/>
    <w:rsid w:val="00403ED3"/>
    <w:rsid w:val="00406661"/>
    <w:rsid w:val="00443559"/>
    <w:rsid w:val="00447D97"/>
    <w:rsid w:val="004659A2"/>
    <w:rsid w:val="0047150E"/>
    <w:rsid w:val="0048070C"/>
    <w:rsid w:val="00487E86"/>
    <w:rsid w:val="00490262"/>
    <w:rsid w:val="004A5AA9"/>
    <w:rsid w:val="004B0C5B"/>
    <w:rsid w:val="004C2287"/>
    <w:rsid w:val="004D53F6"/>
    <w:rsid w:val="004D7217"/>
    <w:rsid w:val="004E03F6"/>
    <w:rsid w:val="005111D5"/>
    <w:rsid w:val="005355D1"/>
    <w:rsid w:val="00551AD6"/>
    <w:rsid w:val="00562B48"/>
    <w:rsid w:val="005807C6"/>
    <w:rsid w:val="00592F8A"/>
    <w:rsid w:val="005A2323"/>
    <w:rsid w:val="005C57A8"/>
    <w:rsid w:val="005D3F7F"/>
    <w:rsid w:val="005E7C35"/>
    <w:rsid w:val="005F0A49"/>
    <w:rsid w:val="005F6EBD"/>
    <w:rsid w:val="00604D10"/>
    <w:rsid w:val="00617CF1"/>
    <w:rsid w:val="00627BAE"/>
    <w:rsid w:val="006373D6"/>
    <w:rsid w:val="006547DC"/>
    <w:rsid w:val="00656B02"/>
    <w:rsid w:val="0066320C"/>
    <w:rsid w:val="00670722"/>
    <w:rsid w:val="0068012C"/>
    <w:rsid w:val="00693835"/>
    <w:rsid w:val="006A6C8F"/>
    <w:rsid w:val="006C52EE"/>
    <w:rsid w:val="006F1256"/>
    <w:rsid w:val="006F7CC5"/>
    <w:rsid w:val="0070322E"/>
    <w:rsid w:val="00707358"/>
    <w:rsid w:val="00735C25"/>
    <w:rsid w:val="00770174"/>
    <w:rsid w:val="007866B8"/>
    <w:rsid w:val="007C372D"/>
    <w:rsid w:val="007F463C"/>
    <w:rsid w:val="0080702D"/>
    <w:rsid w:val="0081287F"/>
    <w:rsid w:val="008170C0"/>
    <w:rsid w:val="00823547"/>
    <w:rsid w:val="00867361"/>
    <w:rsid w:val="00876B4C"/>
    <w:rsid w:val="00880632"/>
    <w:rsid w:val="00893132"/>
    <w:rsid w:val="008A07A2"/>
    <w:rsid w:val="008A1D13"/>
    <w:rsid w:val="008A7663"/>
    <w:rsid w:val="008C743F"/>
    <w:rsid w:val="008D557E"/>
    <w:rsid w:val="008F4308"/>
    <w:rsid w:val="008F6F52"/>
    <w:rsid w:val="0090745A"/>
    <w:rsid w:val="00910EC7"/>
    <w:rsid w:val="00916E11"/>
    <w:rsid w:val="009209C5"/>
    <w:rsid w:val="00941395"/>
    <w:rsid w:val="00945FF6"/>
    <w:rsid w:val="009468EC"/>
    <w:rsid w:val="00984ECB"/>
    <w:rsid w:val="00995827"/>
    <w:rsid w:val="009D2420"/>
    <w:rsid w:val="009F776D"/>
    <w:rsid w:val="00A0075C"/>
    <w:rsid w:val="00A141C6"/>
    <w:rsid w:val="00A2082C"/>
    <w:rsid w:val="00A408D9"/>
    <w:rsid w:val="00A74D7B"/>
    <w:rsid w:val="00A83A4F"/>
    <w:rsid w:val="00A95D47"/>
    <w:rsid w:val="00A95E49"/>
    <w:rsid w:val="00AB5FD5"/>
    <w:rsid w:val="00AC1827"/>
    <w:rsid w:val="00AC54C9"/>
    <w:rsid w:val="00AF7272"/>
    <w:rsid w:val="00B016A5"/>
    <w:rsid w:val="00B059B8"/>
    <w:rsid w:val="00B10EFF"/>
    <w:rsid w:val="00B46D18"/>
    <w:rsid w:val="00B60CEF"/>
    <w:rsid w:val="00B777D6"/>
    <w:rsid w:val="00B806E5"/>
    <w:rsid w:val="00BA6783"/>
    <w:rsid w:val="00BB5EC7"/>
    <w:rsid w:val="00BC3CF5"/>
    <w:rsid w:val="00BC56E8"/>
    <w:rsid w:val="00BF1152"/>
    <w:rsid w:val="00BF7FA4"/>
    <w:rsid w:val="00C0577B"/>
    <w:rsid w:val="00C30A1C"/>
    <w:rsid w:val="00C35E60"/>
    <w:rsid w:val="00C37554"/>
    <w:rsid w:val="00C41A48"/>
    <w:rsid w:val="00C630B1"/>
    <w:rsid w:val="00C704C3"/>
    <w:rsid w:val="00C728F7"/>
    <w:rsid w:val="00C84968"/>
    <w:rsid w:val="00CA37CD"/>
    <w:rsid w:val="00CA44AE"/>
    <w:rsid w:val="00CF2498"/>
    <w:rsid w:val="00D123D6"/>
    <w:rsid w:val="00D142F2"/>
    <w:rsid w:val="00D2010C"/>
    <w:rsid w:val="00D44E89"/>
    <w:rsid w:val="00D452F4"/>
    <w:rsid w:val="00D56C9C"/>
    <w:rsid w:val="00D676AD"/>
    <w:rsid w:val="00D74251"/>
    <w:rsid w:val="00D843B2"/>
    <w:rsid w:val="00D96DC7"/>
    <w:rsid w:val="00DB072C"/>
    <w:rsid w:val="00DB7062"/>
    <w:rsid w:val="00DD4DF7"/>
    <w:rsid w:val="00DE64DC"/>
    <w:rsid w:val="00E0154F"/>
    <w:rsid w:val="00E04A29"/>
    <w:rsid w:val="00E1575C"/>
    <w:rsid w:val="00E241D7"/>
    <w:rsid w:val="00E3080F"/>
    <w:rsid w:val="00E338DE"/>
    <w:rsid w:val="00E344EC"/>
    <w:rsid w:val="00E65CB4"/>
    <w:rsid w:val="00E663ED"/>
    <w:rsid w:val="00E70281"/>
    <w:rsid w:val="00E7039F"/>
    <w:rsid w:val="00E72030"/>
    <w:rsid w:val="00E74F50"/>
    <w:rsid w:val="00E77D00"/>
    <w:rsid w:val="00E91525"/>
    <w:rsid w:val="00E94132"/>
    <w:rsid w:val="00ED5B72"/>
    <w:rsid w:val="00EE2299"/>
    <w:rsid w:val="00F00FCC"/>
    <w:rsid w:val="00F05E50"/>
    <w:rsid w:val="00F24D76"/>
    <w:rsid w:val="00F42943"/>
    <w:rsid w:val="00F57369"/>
    <w:rsid w:val="00F75A33"/>
    <w:rsid w:val="00F82382"/>
    <w:rsid w:val="00F85B5F"/>
    <w:rsid w:val="00F94768"/>
    <w:rsid w:val="00FA774E"/>
    <w:rsid w:val="00FB7239"/>
    <w:rsid w:val="00FC26DA"/>
    <w:rsid w:val="00FD25CC"/>
    <w:rsid w:val="00FF5BAF"/>
    <w:rsid w:val="07F7141C"/>
    <w:rsid w:val="0CF462EF"/>
    <w:rsid w:val="0DC42165"/>
    <w:rsid w:val="10C17989"/>
    <w:rsid w:val="129A15E0"/>
    <w:rsid w:val="2431212D"/>
    <w:rsid w:val="280C55A0"/>
    <w:rsid w:val="2F261EE0"/>
    <w:rsid w:val="3AB31314"/>
    <w:rsid w:val="3C7A1ABD"/>
    <w:rsid w:val="3D6F504E"/>
    <w:rsid w:val="3E287A22"/>
    <w:rsid w:val="3F060A5B"/>
    <w:rsid w:val="441B1AE4"/>
    <w:rsid w:val="456536EC"/>
    <w:rsid w:val="4A4F62B5"/>
    <w:rsid w:val="4EEA30EF"/>
    <w:rsid w:val="50966A6E"/>
    <w:rsid w:val="5AA91A93"/>
    <w:rsid w:val="61951EFE"/>
    <w:rsid w:val="6AC553A1"/>
    <w:rsid w:val="6C547331"/>
    <w:rsid w:val="727E27F5"/>
    <w:rsid w:val="73A57C99"/>
    <w:rsid w:val="7AAD3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keepNext/>
      <w:keepLines/>
      <w:widowControl/>
      <w:spacing w:before="480" w:line="480" w:lineRule="auto"/>
      <w:jc w:val="left"/>
      <w:outlineLvl w:val="0"/>
    </w:pPr>
    <w:rPr>
      <w:rFonts w:ascii="Times New Roman" w:hAnsi="Times New Roman" w:eastAsiaTheme="majorEastAsia" w:cstheme="majorBidi"/>
      <w:b/>
      <w:bCs/>
      <w:caps/>
      <w:kern w:val="0"/>
      <w:sz w:val="28"/>
      <w:szCs w:val="28"/>
      <w:lang w:eastAsia="en-US"/>
    </w:rPr>
  </w:style>
  <w:style w:type="paragraph" w:styleId="3">
    <w:name w:val="heading 2"/>
    <w:basedOn w:val="1"/>
    <w:next w:val="1"/>
    <w:link w:val="1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line number"/>
    <w:basedOn w:val="8"/>
    <w:semiHidden/>
    <w:unhideWhenUsed/>
    <w:qFormat/>
    <w:uiPriority w:val="99"/>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1 字符"/>
    <w:basedOn w:val="8"/>
    <w:link w:val="2"/>
    <w:qFormat/>
    <w:uiPriority w:val="9"/>
    <w:rPr>
      <w:rFonts w:ascii="Times New Roman" w:hAnsi="Times New Roman" w:eastAsiaTheme="majorEastAsia" w:cstheme="majorBidi"/>
      <w:b/>
      <w:bCs/>
      <w:caps/>
      <w:kern w:val="0"/>
      <w:sz w:val="28"/>
      <w:szCs w:val="28"/>
      <w:lang w:eastAsia="en-US"/>
    </w:rPr>
  </w:style>
  <w:style w:type="character" w:customStyle="1" w:styleId="13">
    <w:name w:val="标题 2 字符"/>
    <w:basedOn w:val="8"/>
    <w:link w:val="3"/>
    <w:semiHidden/>
    <w:qFormat/>
    <w:uiPriority w:val="9"/>
    <w:rPr>
      <w:rFonts w:asciiTheme="majorHAnsi" w:hAnsiTheme="majorHAnsi" w:eastAsiaTheme="majorEastAsia" w:cstheme="majorBidi"/>
      <w:b/>
      <w:bCs/>
      <w:sz w:val="32"/>
      <w:szCs w:val="32"/>
    </w:rPr>
  </w:style>
  <w:style w:type="paragraph" w:customStyle="1" w:styleId="14">
    <w:name w:val="EndNote Bibliography"/>
    <w:basedOn w:val="1"/>
    <w:link w:val="15"/>
    <w:qFormat/>
    <w:uiPriority w:val="0"/>
    <w:rPr>
      <w:rFonts w:ascii="Calibri" w:hAnsi="Calibri"/>
      <w:sz w:val="20"/>
    </w:rPr>
  </w:style>
  <w:style w:type="character" w:customStyle="1" w:styleId="15">
    <w:name w:val="EndNote Bibliography Char"/>
    <w:basedOn w:val="8"/>
    <w:link w:val="14"/>
    <w:qFormat/>
    <w:uiPriority w:val="0"/>
    <w:rPr>
      <w:rFonts w:ascii="Calibri" w:hAnsi="Calibri"/>
      <w:sz w:val="20"/>
    </w:rPr>
  </w:style>
  <w:style w:type="paragraph" w:styleId="16">
    <w:name w:val="List Paragraph"/>
    <w:basedOn w:val="1"/>
    <w:qFormat/>
    <w:uiPriority w:val="34"/>
    <w:pPr>
      <w:ind w:left="720"/>
      <w:contextualSpacing/>
    </w:pPr>
  </w:style>
  <w:style w:type="character" w:customStyle="1" w:styleId="17">
    <w:name w:val="EndNote Bibliography 字符"/>
    <w:qFormat/>
    <w:uiPriority w:val="0"/>
    <w:rPr>
      <w:kern w:val="2"/>
      <w:szCs w:val="22"/>
    </w:rPr>
  </w:style>
  <w:style w:type="paragraph" w:customStyle="1" w:styleId="1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9C682-5D5F-4635-A871-625EEAEE7DC7}">
  <ds:schemaRefs/>
</ds:datastoreItem>
</file>

<file path=docProps/app.xml><?xml version="1.0" encoding="utf-8"?>
<Properties xmlns="http://schemas.openxmlformats.org/officeDocument/2006/extended-properties" xmlns:vt="http://schemas.openxmlformats.org/officeDocument/2006/docPropsVTypes">
  <Template>Normal.dotm</Template>
  <Pages>8</Pages>
  <Words>1996</Words>
  <Characters>12183</Characters>
  <Lines>235</Lines>
  <Paragraphs>89</Paragraphs>
  <TotalTime>0</TotalTime>
  <ScaleCrop>false</ScaleCrop>
  <LinksUpToDate>false</LinksUpToDate>
  <CharactersWithSpaces>13992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2026-06-27T09:13:00Z</dcterms:created>
  <dc:creator>王 娟</dc:creator>
  <cp:lastModifiedBy>王娟</cp:lastModifiedBy>
  <dcterms:modified xsi:type="dcterms:W3CDTF">2026-06-29T12:07:43Z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B50DE5B27C88425E9E787BF3A7225297_13</vt:lpwstr>
  </property>
  <property fmtid="{D5CDD505-2E9C-101B-9397-08002B2CF9AE}" pid="4" name="KSOTemplateDocerSaveRecord">
    <vt:lpwstr>eyJoZGlkIjoiMDljYzUzMWQ4OWI0YzBkYjYzMDRhZTY5ZjZkYmFmYTgiLCJ1c2VySWQiOiI1NTAwMjA0MTgifQ==</vt:lpwstr>
  </property>
</Properties>
</file>