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CF063" w14:textId="77777777" w:rsidR="00DE0D26" w:rsidRDefault="00DE0D26" w:rsidP="00DE0D26">
      <w:pPr>
        <w:rPr>
          <w:lang w:val="en-US" w:eastAsia="zh-CN"/>
        </w:rPr>
      </w:pPr>
    </w:p>
    <w:p w14:paraId="090EF6F6" w14:textId="77777777" w:rsidR="00DE0D26" w:rsidRDefault="00DE0D26" w:rsidP="00DE0D26">
      <w:pPr>
        <w:rPr>
          <w:lang w:val="en-US" w:eastAsia="zh-CN"/>
        </w:rPr>
      </w:pPr>
    </w:p>
    <w:p w14:paraId="1E24EB8C" w14:textId="77777777" w:rsidR="00DE0D26" w:rsidRPr="00CF017D" w:rsidRDefault="00DE0D26" w:rsidP="00DE0D26">
      <w:pPr>
        <w:rPr>
          <w:lang w:val="en-US" w:eastAsia="zh-CN"/>
        </w:rPr>
      </w:pPr>
    </w:p>
    <w:p w14:paraId="096D2BD6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3C375947" w14:textId="77777777" w:rsidR="00DE0D26" w:rsidRPr="00CF017D" w:rsidRDefault="00DE0D26" w:rsidP="00DE0D2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F017D">
        <w:rPr>
          <w:rFonts w:ascii="Times New Roman" w:hAnsi="Times New Roman" w:cs="Times New Roman"/>
          <w:b/>
          <w:bCs/>
          <w:sz w:val="20"/>
          <w:szCs w:val="20"/>
        </w:rPr>
        <w:t>Supplementary Table S1. Scoring anchors used for expert evaluation of AI-generated responses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612"/>
        <w:gridCol w:w="3865"/>
      </w:tblGrid>
      <w:tr w:rsidR="00DE0D26" w:rsidRPr="00CF017D" w14:paraId="2E24D48B" w14:textId="77777777" w:rsidTr="001837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68DCE6" w14:textId="77777777" w:rsidR="00DE0D26" w:rsidRPr="00CF017D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7BEF30CD" w14:textId="77777777" w:rsidR="00DE0D26" w:rsidRPr="00CF017D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 Scale Interpretation</w:t>
            </w:r>
          </w:p>
        </w:tc>
        <w:tc>
          <w:tcPr>
            <w:tcW w:w="0" w:type="auto"/>
            <w:vAlign w:val="center"/>
            <w:hideMark/>
          </w:tcPr>
          <w:p w14:paraId="22303318" w14:textId="77777777" w:rsidR="00DE0D26" w:rsidRPr="00CF017D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Usefulness Scale Interpretation</w:t>
            </w:r>
          </w:p>
        </w:tc>
      </w:tr>
      <w:tr w:rsidR="00DE0D26" w:rsidRPr="00CF017D" w14:paraId="43ECFD29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AB482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EBBB2B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Very unreliable: Most information could not be verified with scientific medical sources and contained major inaccuracies or omissions.</w:t>
            </w:r>
          </w:p>
        </w:tc>
        <w:tc>
          <w:tcPr>
            <w:tcW w:w="0" w:type="auto"/>
            <w:vAlign w:val="center"/>
            <w:hideMark/>
          </w:tcPr>
          <w:p w14:paraId="27780F3A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Not useful: The response was difficult to understand, contained major deficiencies, and was unlikely to assist patient understanding.</w:t>
            </w:r>
          </w:p>
        </w:tc>
      </w:tr>
      <w:tr w:rsidR="00DE0D26" w:rsidRPr="00CF017D" w14:paraId="3652CF1A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8E69B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73CAE8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Poor reliability: Considerable portions of the response were inaccurate, incomplete, or unsupported by current medical evidence.</w:t>
            </w:r>
          </w:p>
        </w:tc>
        <w:tc>
          <w:tcPr>
            <w:tcW w:w="0" w:type="auto"/>
            <w:vAlign w:val="center"/>
            <w:hideMark/>
          </w:tcPr>
          <w:p w14:paraId="623C1732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Minimally useful: Some understandable information was provided, but important deficiencies limited practical patient value.</w:t>
            </w:r>
          </w:p>
        </w:tc>
      </w:tr>
      <w:tr w:rsidR="00DE0D26" w:rsidRPr="00CF017D" w14:paraId="6E1954E3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FEE8A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CEF2A9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Limited reliability: Much of the information was generally verifiable, although important inaccuracies or omissions remained.</w:t>
            </w:r>
          </w:p>
        </w:tc>
        <w:tc>
          <w:tcPr>
            <w:tcW w:w="0" w:type="auto"/>
            <w:vAlign w:val="center"/>
            <w:hideMark/>
          </w:tcPr>
          <w:p w14:paraId="6C3FFEA8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Limited usefulness: Basic information was presented, although important details remained incomplete or unclear.</w:t>
            </w:r>
          </w:p>
        </w:tc>
      </w:tr>
      <w:tr w:rsidR="00DE0D26" w:rsidRPr="00CF017D" w14:paraId="57CA3821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A6AD8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41CD57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Moderate reliability: Most information was scientifically accurate, with minor inaccuracies or incomplete details.</w:t>
            </w:r>
          </w:p>
        </w:tc>
        <w:tc>
          <w:tcPr>
            <w:tcW w:w="0" w:type="auto"/>
            <w:vAlign w:val="center"/>
            <w:hideMark/>
          </w:tcPr>
          <w:p w14:paraId="716F5985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Moderately useful: The response provided understandable and partially practical information for patients despite some limitations.</w:t>
            </w:r>
          </w:p>
        </w:tc>
      </w:tr>
      <w:tr w:rsidR="00DE0D26" w:rsidRPr="00CF017D" w14:paraId="6C8C6165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82ABA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EBC1CB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Good reliability: The majority of information was accurate, evidence-based, and clinically appropriate, with only minimal deficiencies.</w:t>
            </w:r>
          </w:p>
        </w:tc>
        <w:tc>
          <w:tcPr>
            <w:tcW w:w="0" w:type="auto"/>
            <w:vAlign w:val="center"/>
            <w:hideMark/>
          </w:tcPr>
          <w:p w14:paraId="6D764044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Useful: Most clinically relevant information was presented clearly and could support patient understanding.</w:t>
            </w:r>
          </w:p>
        </w:tc>
      </w:tr>
      <w:tr w:rsidR="00DE0D26" w:rsidRPr="00CF017D" w14:paraId="23A2189D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140B9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99CDBBD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Very good reliability: Information was highly accurate, comprehensive, and largely consistent with current medical knowledge.</w:t>
            </w:r>
          </w:p>
        </w:tc>
        <w:tc>
          <w:tcPr>
            <w:tcW w:w="0" w:type="auto"/>
            <w:vAlign w:val="center"/>
            <w:hideMark/>
          </w:tcPr>
          <w:p w14:paraId="71A6B607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Very useful: The response was clear, comprehensive, and practically informative for patients.</w:t>
            </w:r>
          </w:p>
        </w:tc>
      </w:tr>
      <w:tr w:rsidR="00DE0D26" w:rsidRPr="00CF017D" w14:paraId="558CC689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7126F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AAAE62B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Excellent reliability: Information was consistently accurate, comprehensive, and clinically appropriate, without any major inaccuracies identified during expert review.</w:t>
            </w:r>
          </w:p>
        </w:tc>
        <w:tc>
          <w:tcPr>
            <w:tcW w:w="0" w:type="auto"/>
            <w:vAlign w:val="center"/>
            <w:hideMark/>
          </w:tcPr>
          <w:p w14:paraId="394CE227" w14:textId="77777777" w:rsidR="00DE0D26" w:rsidRPr="00CF017D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017D">
              <w:rPr>
                <w:rFonts w:ascii="Times New Roman" w:hAnsi="Times New Roman" w:cs="Times New Roman"/>
                <w:sz w:val="20"/>
                <w:szCs w:val="20"/>
              </w:rPr>
              <w:t>Extremely useful: The response was highly understandable, comprehensive, and provided substantial educational value for patients.</w:t>
            </w:r>
          </w:p>
        </w:tc>
      </w:tr>
    </w:tbl>
    <w:p w14:paraId="14A963D8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4168026D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4E31E8D6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6BBE4064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7CB936AF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6873C93D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3CFC1821" w14:textId="77777777" w:rsidR="00DE0D26" w:rsidRPr="00F324C5" w:rsidRDefault="00DE0D26" w:rsidP="00DE0D2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324C5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F324C5">
        <w:rPr>
          <w:rFonts w:ascii="Times New Roman" w:hAnsi="Times New Roman" w:cs="Times New Roman"/>
          <w:b/>
          <w:bCs/>
          <w:sz w:val="20"/>
          <w:szCs w:val="20"/>
        </w:rPr>
        <w:t>. Mixed-effects sensitivity analyses accounting for clustering at the question level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3428"/>
        <w:gridCol w:w="1148"/>
        <w:gridCol w:w="1277"/>
        <w:gridCol w:w="708"/>
      </w:tblGrid>
      <w:tr w:rsidR="00DE0D26" w:rsidRPr="00F324C5" w14:paraId="06BAFECE" w14:textId="77777777" w:rsidTr="001837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368434" w14:textId="77777777" w:rsidR="00DE0D26" w:rsidRPr="00F324C5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7C7A8D0A" w14:textId="77777777" w:rsidR="00DE0D26" w:rsidRPr="00F324C5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Comparison (Reference = ChatGPT-4o)</w:t>
            </w:r>
          </w:p>
        </w:tc>
        <w:tc>
          <w:tcPr>
            <w:tcW w:w="0" w:type="auto"/>
            <w:vAlign w:val="center"/>
            <w:hideMark/>
          </w:tcPr>
          <w:p w14:paraId="0481A3C9" w14:textId="77777777" w:rsidR="00DE0D26" w:rsidRPr="00F324C5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Coefficient</w:t>
            </w:r>
          </w:p>
        </w:tc>
        <w:tc>
          <w:tcPr>
            <w:tcW w:w="0" w:type="auto"/>
            <w:vAlign w:val="center"/>
            <w:hideMark/>
          </w:tcPr>
          <w:p w14:paraId="7C74FFC0" w14:textId="77777777" w:rsidR="00DE0D26" w:rsidRPr="00F324C5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2F846F9F" w14:textId="77777777" w:rsidR="00DE0D26" w:rsidRPr="00F324C5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DE0D26" w:rsidRPr="00F324C5" w14:paraId="42A61373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DE8B8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Reliability</w:t>
            </w:r>
          </w:p>
        </w:tc>
        <w:tc>
          <w:tcPr>
            <w:tcW w:w="0" w:type="auto"/>
            <w:vAlign w:val="center"/>
            <w:hideMark/>
          </w:tcPr>
          <w:p w14:paraId="4C65CA69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Gemini-2.5-Flash vs. ChatGPT-4o</w:t>
            </w:r>
          </w:p>
        </w:tc>
        <w:tc>
          <w:tcPr>
            <w:tcW w:w="0" w:type="auto"/>
            <w:vAlign w:val="center"/>
            <w:hideMark/>
          </w:tcPr>
          <w:p w14:paraId="781309BD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0" w:type="auto"/>
            <w:vAlign w:val="center"/>
            <w:hideMark/>
          </w:tcPr>
          <w:p w14:paraId="0D699192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0.487 to 0.846</w:t>
            </w:r>
          </w:p>
        </w:tc>
        <w:tc>
          <w:tcPr>
            <w:tcW w:w="0" w:type="auto"/>
            <w:vAlign w:val="center"/>
            <w:hideMark/>
          </w:tcPr>
          <w:p w14:paraId="260255E6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E0D26" w:rsidRPr="00F324C5" w14:paraId="50FF0451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4F3C6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48DA56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DeepSeek-V3 vs. ChatGPT-4o</w:t>
            </w:r>
          </w:p>
        </w:tc>
        <w:tc>
          <w:tcPr>
            <w:tcW w:w="0" w:type="auto"/>
            <w:vAlign w:val="center"/>
            <w:hideMark/>
          </w:tcPr>
          <w:p w14:paraId="6DECBBD4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-0.117</w:t>
            </w:r>
          </w:p>
        </w:tc>
        <w:tc>
          <w:tcPr>
            <w:tcW w:w="0" w:type="auto"/>
            <w:vAlign w:val="center"/>
            <w:hideMark/>
          </w:tcPr>
          <w:p w14:paraId="2DEEA2C3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-0.296 to 0.063</w:t>
            </w:r>
          </w:p>
        </w:tc>
        <w:tc>
          <w:tcPr>
            <w:tcW w:w="0" w:type="auto"/>
            <w:vAlign w:val="center"/>
            <w:hideMark/>
          </w:tcPr>
          <w:p w14:paraId="36E6D826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</w:tr>
      <w:tr w:rsidR="00DE0D26" w:rsidRPr="00F324C5" w14:paraId="7C244036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558173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Usefulness</w:t>
            </w:r>
          </w:p>
        </w:tc>
        <w:tc>
          <w:tcPr>
            <w:tcW w:w="0" w:type="auto"/>
            <w:vAlign w:val="center"/>
            <w:hideMark/>
          </w:tcPr>
          <w:p w14:paraId="0553F372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Gemini-2.5-Flash vs. ChatGPT-4o</w:t>
            </w:r>
          </w:p>
        </w:tc>
        <w:tc>
          <w:tcPr>
            <w:tcW w:w="0" w:type="auto"/>
            <w:vAlign w:val="center"/>
            <w:hideMark/>
          </w:tcPr>
          <w:p w14:paraId="00AF07A7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0" w:type="auto"/>
            <w:vAlign w:val="center"/>
            <w:hideMark/>
          </w:tcPr>
          <w:p w14:paraId="55C53DBA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-0.022 to 0.456</w:t>
            </w:r>
          </w:p>
        </w:tc>
        <w:tc>
          <w:tcPr>
            <w:tcW w:w="0" w:type="auto"/>
            <w:vAlign w:val="center"/>
            <w:hideMark/>
          </w:tcPr>
          <w:p w14:paraId="0ADDDAEC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DE0D26" w:rsidRPr="00F324C5" w14:paraId="79C97DD7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04577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35A4A6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DeepSeek-V3 vs. ChatGPT-4o</w:t>
            </w:r>
          </w:p>
        </w:tc>
        <w:tc>
          <w:tcPr>
            <w:tcW w:w="0" w:type="auto"/>
            <w:vAlign w:val="center"/>
            <w:hideMark/>
          </w:tcPr>
          <w:p w14:paraId="00FA338C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0" w:type="auto"/>
            <w:vAlign w:val="center"/>
            <w:hideMark/>
          </w:tcPr>
          <w:p w14:paraId="19984107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0.061 to 0.539</w:t>
            </w:r>
          </w:p>
        </w:tc>
        <w:tc>
          <w:tcPr>
            <w:tcW w:w="0" w:type="auto"/>
            <w:vAlign w:val="center"/>
            <w:hideMark/>
          </w:tcPr>
          <w:p w14:paraId="010361BF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DE0D26" w:rsidRPr="00F324C5" w14:paraId="01086B75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D9210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Global Quality Score (GQS)</w:t>
            </w:r>
          </w:p>
        </w:tc>
        <w:tc>
          <w:tcPr>
            <w:tcW w:w="0" w:type="auto"/>
            <w:vAlign w:val="center"/>
            <w:hideMark/>
          </w:tcPr>
          <w:p w14:paraId="52093B1D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Gemini-2.5-Flash vs. ChatGPT-4o</w:t>
            </w:r>
          </w:p>
        </w:tc>
        <w:tc>
          <w:tcPr>
            <w:tcW w:w="0" w:type="auto"/>
            <w:vAlign w:val="center"/>
            <w:hideMark/>
          </w:tcPr>
          <w:p w14:paraId="472DB66E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3FBC6D35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-0.228 to 0.228</w:t>
            </w:r>
          </w:p>
        </w:tc>
        <w:tc>
          <w:tcPr>
            <w:tcW w:w="0" w:type="auto"/>
            <w:vAlign w:val="center"/>
            <w:hideMark/>
          </w:tcPr>
          <w:p w14:paraId="3AB65C87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DE0D26" w:rsidRPr="00F324C5" w14:paraId="3336812A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F14C3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9C4B97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DeepSeek-V3 vs. ChatGPT-4o</w:t>
            </w:r>
          </w:p>
        </w:tc>
        <w:tc>
          <w:tcPr>
            <w:tcW w:w="0" w:type="auto"/>
            <w:vAlign w:val="center"/>
            <w:hideMark/>
          </w:tcPr>
          <w:p w14:paraId="230CC17D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  <w:tc>
          <w:tcPr>
            <w:tcW w:w="0" w:type="auto"/>
            <w:vAlign w:val="center"/>
            <w:hideMark/>
          </w:tcPr>
          <w:p w14:paraId="3B67A5E3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-0.294 to 0.161</w:t>
            </w:r>
          </w:p>
        </w:tc>
        <w:tc>
          <w:tcPr>
            <w:tcW w:w="0" w:type="auto"/>
            <w:vAlign w:val="center"/>
            <w:hideMark/>
          </w:tcPr>
          <w:p w14:paraId="1253C844" w14:textId="77777777" w:rsidR="00DE0D26" w:rsidRPr="00F324C5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4C5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</w:tr>
    </w:tbl>
    <w:p w14:paraId="4D060565" w14:textId="77777777" w:rsidR="00DE0D26" w:rsidRPr="00F324C5" w:rsidRDefault="00DE0D26" w:rsidP="00DE0D26">
      <w:pPr>
        <w:rPr>
          <w:rFonts w:ascii="Times New Roman" w:hAnsi="Times New Roman" w:cs="Times New Roman"/>
          <w:sz w:val="20"/>
          <w:szCs w:val="20"/>
        </w:rPr>
      </w:pPr>
      <w:r w:rsidRPr="00F324C5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F324C5">
        <w:rPr>
          <w:rFonts w:ascii="Times New Roman" w:hAnsi="Times New Roman" w:cs="Times New Roman"/>
          <w:sz w:val="20"/>
          <w:szCs w:val="20"/>
        </w:rPr>
        <w:t> β, regression coefficient; CI, confidence interval; GQS, Global Quality Score.</w:t>
      </w:r>
    </w:p>
    <w:p w14:paraId="7B09C50F" w14:textId="77777777" w:rsidR="00DE0D26" w:rsidRPr="000A6576" w:rsidRDefault="00DE0D26" w:rsidP="00DE0D2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324C5">
        <w:rPr>
          <w:rFonts w:ascii="Times New Roman" w:hAnsi="Times New Roman" w:cs="Times New Roman"/>
          <w:sz w:val="20"/>
          <w:szCs w:val="20"/>
        </w:rPr>
        <w:t>Sensitivity analyses were performed using mixed-effects linear regression models treating the ordinal rating scales as approximately continuous variables, with clinical question included as a random effect.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0A6576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0A6576">
        <w:rPr>
          <w:rFonts w:ascii="Times New Roman" w:hAnsi="Times New Roman" w:cs="Times New Roman"/>
          <w:b/>
          <w:bCs/>
          <w:sz w:val="20"/>
          <w:szCs w:val="20"/>
        </w:rPr>
        <w:t>. Representative examples of potentially oversimplified or misleading AI-generated responses identified during qualitative expert review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962"/>
        <w:gridCol w:w="1912"/>
        <w:gridCol w:w="2182"/>
        <w:gridCol w:w="2484"/>
      </w:tblGrid>
      <w:tr w:rsidR="00DE0D26" w:rsidRPr="000A6576" w14:paraId="029E6CA9" w14:textId="77777777" w:rsidTr="001837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D9DAB1" w14:textId="77777777" w:rsidR="00DE0D26" w:rsidRPr="000A6576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Clinical Question</w:t>
            </w:r>
          </w:p>
        </w:tc>
        <w:tc>
          <w:tcPr>
            <w:tcW w:w="0" w:type="auto"/>
            <w:vAlign w:val="center"/>
            <w:hideMark/>
          </w:tcPr>
          <w:p w14:paraId="00A79717" w14:textId="77777777" w:rsidR="00DE0D26" w:rsidRPr="000A6576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 Model</w:t>
            </w:r>
          </w:p>
        </w:tc>
        <w:tc>
          <w:tcPr>
            <w:tcW w:w="0" w:type="auto"/>
            <w:vAlign w:val="center"/>
            <w:hideMark/>
          </w:tcPr>
          <w:p w14:paraId="385BF837" w14:textId="77777777" w:rsidR="00DE0D26" w:rsidRPr="000A6576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Representative Response Excerpt</w:t>
            </w:r>
          </w:p>
        </w:tc>
        <w:tc>
          <w:tcPr>
            <w:tcW w:w="0" w:type="auto"/>
            <w:vAlign w:val="center"/>
            <w:hideMark/>
          </w:tcPr>
          <w:p w14:paraId="3B4E2BED" w14:textId="77777777" w:rsidR="00DE0D26" w:rsidRPr="000A6576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Potential Concern Identified by Reviewers</w:t>
            </w:r>
          </w:p>
        </w:tc>
        <w:tc>
          <w:tcPr>
            <w:tcW w:w="0" w:type="auto"/>
            <w:vAlign w:val="center"/>
            <w:hideMark/>
          </w:tcPr>
          <w:p w14:paraId="40F7EF26" w14:textId="77777777" w:rsidR="00DE0D26" w:rsidRPr="000A6576" w:rsidRDefault="00DE0D26" w:rsidP="00183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 Interpretation</w:t>
            </w:r>
          </w:p>
        </w:tc>
      </w:tr>
      <w:tr w:rsidR="00DE0D26" w:rsidRPr="000A6576" w14:paraId="1E95E17E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B396F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“Do methods such as orthopedic insoles, splints, pads, exercises, or taping work?”</w:t>
            </w:r>
          </w:p>
        </w:tc>
        <w:tc>
          <w:tcPr>
            <w:tcW w:w="0" w:type="auto"/>
            <w:vAlign w:val="center"/>
            <w:hideMark/>
          </w:tcPr>
          <w:p w14:paraId="339706FB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DeepSeek-V3</w:t>
            </w:r>
          </w:p>
        </w:tc>
        <w:tc>
          <w:tcPr>
            <w:tcW w:w="0" w:type="auto"/>
            <w:vAlign w:val="center"/>
            <w:hideMark/>
          </w:tcPr>
          <w:p w14:paraId="43F3A9BE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“Early stage (mild curvature) → 70–80% success”</w:t>
            </w:r>
          </w:p>
        </w:tc>
        <w:tc>
          <w:tcPr>
            <w:tcW w:w="0" w:type="auto"/>
            <w:vAlign w:val="center"/>
            <w:hideMark/>
          </w:tcPr>
          <w:p w14:paraId="75C3C0B3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Quantitative success estimates were presented without supporting evidence or clarification of outcome definitions.</w:t>
            </w:r>
          </w:p>
        </w:tc>
        <w:tc>
          <w:tcPr>
            <w:tcW w:w="0" w:type="auto"/>
            <w:vAlign w:val="center"/>
            <w:hideMark/>
          </w:tcPr>
          <w:p w14:paraId="71C49BB2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Conservative treatment may improve symptoms and footwear tolerance but does not reliably correct deformity progression.</w:t>
            </w:r>
          </w:p>
        </w:tc>
      </w:tr>
      <w:tr w:rsidR="00DE0D26" w:rsidRPr="000A6576" w14:paraId="535118F7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872EA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“Is non-surgical treatment possible in hallux valgus?”</w:t>
            </w:r>
          </w:p>
        </w:tc>
        <w:tc>
          <w:tcPr>
            <w:tcW w:w="0" w:type="auto"/>
            <w:vAlign w:val="center"/>
            <w:hideMark/>
          </w:tcPr>
          <w:p w14:paraId="345D7A89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DeepSeek-V3</w:t>
            </w:r>
          </w:p>
        </w:tc>
        <w:tc>
          <w:tcPr>
            <w:tcW w:w="0" w:type="auto"/>
            <w:vAlign w:val="center"/>
            <w:hideMark/>
          </w:tcPr>
          <w:p w14:paraId="0132B975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“Early stage … can completely resolve pain.”</w:t>
            </w:r>
          </w:p>
        </w:tc>
        <w:tc>
          <w:tcPr>
            <w:tcW w:w="0" w:type="auto"/>
            <w:vAlign w:val="center"/>
            <w:hideMark/>
          </w:tcPr>
          <w:p w14:paraId="12016F42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Potentially optimistic wording may create unrealistic expectations regarding conservative management.</w:t>
            </w:r>
          </w:p>
        </w:tc>
        <w:tc>
          <w:tcPr>
            <w:tcW w:w="0" w:type="auto"/>
            <w:vAlign w:val="center"/>
            <w:hideMark/>
          </w:tcPr>
          <w:p w14:paraId="5C1601D4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Symptom relief is possible in selected patients; however, treatment response is variable and structural correction is generally limited without surgery.</w:t>
            </w:r>
          </w:p>
        </w:tc>
      </w:tr>
      <w:tr w:rsidR="00DE0D26" w:rsidRPr="000A6576" w14:paraId="65554E2A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79006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“Does hallux valgus recur after surgery?”</w:t>
            </w:r>
          </w:p>
        </w:tc>
        <w:tc>
          <w:tcPr>
            <w:tcW w:w="0" w:type="auto"/>
            <w:vAlign w:val="center"/>
            <w:hideMark/>
          </w:tcPr>
          <w:p w14:paraId="139D1D49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ChatGPT-4o</w:t>
            </w:r>
          </w:p>
        </w:tc>
        <w:tc>
          <w:tcPr>
            <w:tcW w:w="0" w:type="auto"/>
            <w:vAlign w:val="center"/>
            <w:hideMark/>
          </w:tcPr>
          <w:p w14:paraId="0D792A9A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“Recurrence risk is lower with minimally invasive methods and appropriate post-op care.”</w:t>
            </w:r>
          </w:p>
        </w:tc>
        <w:tc>
          <w:tcPr>
            <w:tcW w:w="0" w:type="auto"/>
            <w:vAlign w:val="center"/>
            <w:hideMark/>
          </w:tcPr>
          <w:p w14:paraId="7C640872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The statement may oversimplify recurrence risk and imply superiority of minimally invasive techniques without adequate clinical context.</w:t>
            </w:r>
          </w:p>
        </w:tc>
        <w:tc>
          <w:tcPr>
            <w:tcW w:w="0" w:type="auto"/>
            <w:vAlign w:val="center"/>
            <w:hideMark/>
          </w:tcPr>
          <w:p w14:paraId="24A4E797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Recurrence risk depends on multiple factors including deformity severity, surgical technique selection, patient-related factors, and postoperative compliance.</w:t>
            </w:r>
          </w:p>
        </w:tc>
      </w:tr>
      <w:tr w:rsidR="00DE0D26" w:rsidRPr="000A6576" w14:paraId="29D0E621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497F2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“What are the types of hallux valgus surgery?”</w:t>
            </w:r>
          </w:p>
        </w:tc>
        <w:tc>
          <w:tcPr>
            <w:tcW w:w="0" w:type="auto"/>
            <w:vAlign w:val="center"/>
            <w:hideMark/>
          </w:tcPr>
          <w:p w14:paraId="0965EDF8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DeepSeek-V3</w:t>
            </w:r>
          </w:p>
        </w:tc>
        <w:tc>
          <w:tcPr>
            <w:tcW w:w="0" w:type="auto"/>
            <w:vAlign w:val="center"/>
            <w:hideMark/>
          </w:tcPr>
          <w:p w14:paraId="2666E869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“Laser hallux valgus treatment … has no scientific basis.”</w:t>
            </w:r>
          </w:p>
        </w:tc>
        <w:tc>
          <w:tcPr>
            <w:tcW w:w="0" w:type="auto"/>
            <w:vAlign w:val="center"/>
            <w:hideMark/>
          </w:tcPr>
          <w:p w14:paraId="54EEC927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The statement was considered overly absolute and lacked nuance regarding minimally invasive surgical marketing terminology.</w:t>
            </w:r>
          </w:p>
        </w:tc>
        <w:tc>
          <w:tcPr>
            <w:tcW w:w="0" w:type="auto"/>
            <w:vAlign w:val="center"/>
            <w:hideMark/>
          </w:tcPr>
          <w:p w14:paraId="67A7C22B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Evidence supporting isolated “laser” hallux valgus treatment remains limited, although minimally invasive surgical techniques are increasingly used in selected patients.</w:t>
            </w:r>
          </w:p>
        </w:tc>
      </w:tr>
      <w:tr w:rsidR="00DE0D26" w:rsidRPr="000A6576" w14:paraId="1F4B741D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95927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“When can I wear normal shoes after surgery?”</w:t>
            </w:r>
          </w:p>
        </w:tc>
        <w:tc>
          <w:tcPr>
            <w:tcW w:w="0" w:type="auto"/>
            <w:vAlign w:val="center"/>
            <w:hideMark/>
          </w:tcPr>
          <w:p w14:paraId="3D7E0CDA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DeepSeek-V3</w:t>
            </w:r>
          </w:p>
        </w:tc>
        <w:tc>
          <w:tcPr>
            <w:tcW w:w="0" w:type="auto"/>
            <w:vAlign w:val="center"/>
            <w:hideMark/>
          </w:tcPr>
          <w:p w14:paraId="27BFDF50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“After 6–8 weeks you can wear comfortable sports shoes.”</w:t>
            </w:r>
          </w:p>
        </w:tc>
        <w:tc>
          <w:tcPr>
            <w:tcW w:w="0" w:type="auto"/>
            <w:vAlign w:val="center"/>
            <w:hideMark/>
          </w:tcPr>
          <w:p w14:paraId="06E6CAEB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Recovery timelines were sometimes presented as fixed schedules despite known variability between patients and surgical procedures.</w:t>
            </w:r>
          </w:p>
        </w:tc>
        <w:tc>
          <w:tcPr>
            <w:tcW w:w="0" w:type="auto"/>
            <w:vAlign w:val="center"/>
            <w:hideMark/>
          </w:tcPr>
          <w:p w14:paraId="5F035E74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Return to footwear varies according to surgical technique, bone healing, swelling, and surgeon preference.</w:t>
            </w:r>
          </w:p>
        </w:tc>
      </w:tr>
      <w:tr w:rsidR="00DE0D26" w:rsidRPr="000A6576" w14:paraId="3ED30F02" w14:textId="77777777" w:rsidTr="00183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24C8F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“Is pain, swelling, and redness normal in hallux valgus?”</w:t>
            </w:r>
          </w:p>
        </w:tc>
        <w:tc>
          <w:tcPr>
            <w:tcW w:w="0" w:type="auto"/>
            <w:vAlign w:val="center"/>
            <w:hideMark/>
          </w:tcPr>
          <w:p w14:paraId="4F2FE37D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DeepSeek-V3</w:t>
            </w:r>
          </w:p>
        </w:tc>
        <w:tc>
          <w:tcPr>
            <w:tcW w:w="0" w:type="auto"/>
            <w:vAlign w:val="center"/>
            <w:hideMark/>
          </w:tcPr>
          <w:p w14:paraId="7B370E92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“Red-warm swelling may be a sign of infection!”</w:t>
            </w:r>
          </w:p>
        </w:tc>
        <w:tc>
          <w:tcPr>
            <w:tcW w:w="0" w:type="auto"/>
            <w:vAlign w:val="center"/>
            <w:hideMark/>
          </w:tcPr>
          <w:p w14:paraId="0A36E0EB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Some responses used alarm-oriented language that could increase unnecessary patient anxiety in otherwise common inflammatory presentations.</w:t>
            </w:r>
          </w:p>
        </w:tc>
        <w:tc>
          <w:tcPr>
            <w:tcW w:w="0" w:type="auto"/>
            <w:vAlign w:val="center"/>
            <w:hideMark/>
          </w:tcPr>
          <w:p w14:paraId="765F3DCE" w14:textId="77777777" w:rsidR="00DE0D26" w:rsidRPr="000A6576" w:rsidRDefault="00DE0D26" w:rsidP="00183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576">
              <w:rPr>
                <w:rFonts w:ascii="Times New Roman" w:hAnsi="Times New Roman" w:cs="Times New Roman"/>
                <w:sz w:val="20"/>
                <w:szCs w:val="20"/>
              </w:rPr>
              <w:t>Pain, swelling, and local irritation are common in hallux valgus; however, rapidly progressive redness, fever, or severe symptoms require clinical assessment.</w:t>
            </w:r>
          </w:p>
        </w:tc>
      </w:tr>
    </w:tbl>
    <w:p w14:paraId="41F38D47" w14:textId="77777777" w:rsidR="00DE0D26" w:rsidRDefault="00DE0D26" w:rsidP="00DE0D2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7FB68F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  <w:r w:rsidRPr="001E2DFF">
        <w:rPr>
          <w:rFonts w:ascii="Times New Roman" w:hAnsi="Times New Roman" w:cs="Times New Roman"/>
          <w:b/>
          <w:bCs/>
          <w:sz w:val="20"/>
          <w:szCs w:val="20"/>
        </w:rPr>
        <w:t>Supplementary Table 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2DFF">
        <w:rPr>
          <w:rFonts w:ascii="Times New Roman" w:hAnsi="Times New Roman" w:cs="Times New Roman"/>
          <w:b/>
          <w:bCs/>
          <w:sz w:val="20"/>
          <w:szCs w:val="20"/>
        </w:rPr>
        <w:t>Clinical takeaways.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8B56A7" w14:textId="77777777" w:rsidR="00DE0D26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DzTablo2"/>
        <w:tblW w:w="9393" w:type="dxa"/>
        <w:tblLook w:val="0000" w:firstRow="0" w:lastRow="0" w:firstColumn="0" w:lastColumn="0" w:noHBand="0" w:noVBand="0"/>
      </w:tblPr>
      <w:tblGrid>
        <w:gridCol w:w="1806"/>
        <w:gridCol w:w="2609"/>
        <w:gridCol w:w="2810"/>
        <w:gridCol w:w="2168"/>
      </w:tblGrid>
      <w:tr w:rsidR="00DE0D26" w:rsidRPr="001E2DFF" w14:paraId="5AC4BDE9" w14:textId="77777777" w:rsidTr="0018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188222E" w14:textId="77777777" w:rsidR="00DE0D26" w:rsidRPr="001E2DFF" w:rsidRDefault="00DE0D26" w:rsidP="00183792">
            <w:pPr>
              <w:jc w:val="center"/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E940C90" w14:textId="77777777" w:rsidR="00DE0D26" w:rsidRPr="001E2DFF" w:rsidRDefault="00DE0D26" w:rsidP="00183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H</w:t>
            </w:r>
            <w:r w:rsidRPr="00A777A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ighest-scoring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0B2BF97" w14:textId="77777777" w:rsidR="00DE0D26" w:rsidRPr="001E2DFF" w:rsidRDefault="00DE0D26" w:rsidP="00183792">
            <w:pPr>
              <w:jc w:val="center"/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Key finding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46CBE14" w14:textId="77777777" w:rsidR="00DE0D26" w:rsidRPr="001E2DFF" w:rsidRDefault="00DE0D26" w:rsidP="00183792">
            <w:pPr>
              <w:jc w:val="center"/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Clinical recommendation</w:t>
            </w:r>
          </w:p>
        </w:tc>
      </w:tr>
      <w:tr w:rsidR="00DE0D26" w:rsidRPr="001E2DFF" w14:paraId="2FDA8D73" w14:textId="77777777" w:rsidTr="00183792">
        <w:trPr>
          <w:trHeight w:val="9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14:paraId="48B679C6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Reliability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9" w:type="dxa"/>
          </w:tcPr>
          <w:p w14:paraId="1B6A6A83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Gemini-2.5-Flash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0" w:type="dxa"/>
          </w:tcPr>
          <w:p w14:paraId="5C84E54D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Significantly higher overall reliability scores across all questions and in the etiology/clinical presentation domain (p &lt; 0.001)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8" w:type="dxa"/>
          </w:tcPr>
          <w:p w14:paraId="715DA046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Prioritize Gemini-2.5-Flash when factual accuracy is paramount (e.g., surgical decision-making discussions)</w:t>
            </w:r>
          </w:p>
        </w:tc>
      </w:tr>
      <w:tr w:rsidR="00DE0D26" w:rsidRPr="001E2DFF" w14:paraId="6CF73F8E" w14:textId="77777777" w:rsidTr="0018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14:paraId="6E713D88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Readability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9" w:type="dxa"/>
          </w:tcPr>
          <w:p w14:paraId="0952728F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DeepSeek-V3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0" w:type="dxa"/>
          </w:tcPr>
          <w:p w14:paraId="3B019DDC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Highest Flesch Reading Ease scores; lowest grade-level indices; shorter, more accessible responses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8" w:type="dxa"/>
          </w:tcPr>
          <w:p w14:paraId="4811C675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Use DeepSeek-V3 for patients with lower health literacy or when plain language is essential</w:t>
            </w:r>
          </w:p>
        </w:tc>
      </w:tr>
      <w:tr w:rsidR="00DE0D26" w:rsidRPr="001E2DFF" w14:paraId="77A76B6D" w14:textId="77777777" w:rsidTr="00183792">
        <w:trPr>
          <w:trHeight w:val="1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14:paraId="644E2E9C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Reliability–Readability trade-off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9" w:type="dxa"/>
          </w:tcPr>
          <w:p w14:paraId="265EF276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All models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0" w:type="dxa"/>
          </w:tcPr>
          <w:p w14:paraId="23885FE7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No single model achieved both high reliability and recommended readability (6th–8th grade). Gemini responses required 11th–13th grade reading level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8" w:type="dxa"/>
          </w:tcPr>
          <w:p w14:paraId="41D3DBE3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Clinician review and simplification of AI-generated content is necessary before sharing with patients</w:t>
            </w:r>
          </w:p>
        </w:tc>
      </w:tr>
      <w:tr w:rsidR="00DE0D26" w:rsidRPr="001E2DFF" w14:paraId="103B9FA7" w14:textId="77777777" w:rsidTr="0018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14:paraId="6CD13E3D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lastRenderedPageBreak/>
              <w:t>Usefulness &amp; global quality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9" w:type="dxa"/>
          </w:tcPr>
          <w:p w14:paraId="324D9DED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No significant difference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0" w:type="dxa"/>
          </w:tcPr>
          <w:p w14:paraId="66B058FF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Overall usefulness (GQS) scores did not differ significantly among models (GQS means: ChatGPT 4.16, Gemini 4.16, DeepSeek 4.10 out of 5)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8" w:type="dxa"/>
          </w:tcPr>
          <w:p w14:paraId="16532EEB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Patients may perceive all models as similarly helpful; clinician oversight is still required regardless of model choice</w:t>
            </w:r>
          </w:p>
        </w:tc>
      </w:tr>
      <w:tr w:rsidR="00DE0D26" w:rsidRPr="001E2DFF" w14:paraId="14C90B66" w14:textId="77777777" w:rsidTr="00183792">
        <w:trPr>
          <w:trHeight w:val="1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14:paraId="5A687892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Risk of misleading content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9" w:type="dxa"/>
          </w:tcPr>
          <w:p w14:paraId="74E66E00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All models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0" w:type="dxa"/>
          </w:tcPr>
          <w:p w14:paraId="4716E498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Overly optimistic descriptions of conservative treatment efficacy; inconsistent postoperative recovery timelines; limited discussion of recurrence risk identified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8" w:type="dxa"/>
          </w:tcPr>
          <w:p w14:paraId="544C78F4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Explicitly correct AI-generated content on orthotics (symptomatic relief only, no corrective effect) and realistic surgical outcomes</w:t>
            </w:r>
          </w:p>
        </w:tc>
      </w:tr>
      <w:tr w:rsidR="00DE0D26" w:rsidRPr="001E2DFF" w14:paraId="4B68AEBE" w14:textId="77777777" w:rsidTr="0018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6" w:type="dxa"/>
          </w:tcPr>
          <w:p w14:paraId="7FC70AF6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Clinical integration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09" w:type="dxa"/>
          </w:tcPr>
          <w:p w14:paraId="11FC8771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All models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0" w:type="dxa"/>
          </w:tcPr>
          <w:p w14:paraId="1FE4A822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AI tools performed variably across clinical domains; no model was uniformly superior across all question categories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68" w:type="dxa"/>
          </w:tcPr>
          <w:p w14:paraId="2212EF07" w14:textId="77777777" w:rsidR="00DE0D26" w:rsidRPr="001E2DFF" w:rsidRDefault="00DE0D26" w:rsidP="00183792">
            <w:pPr>
              <w:rPr>
                <w:rFonts w:ascii="Times New Roman" w:hAnsi="Times New Roman" w:cs="Times New Roman"/>
              </w:rPr>
            </w:pPr>
            <w:r w:rsidRPr="001E2DFF">
              <w:rPr>
                <w:rFonts w:ascii="Times New Roman" w:eastAsia="Arial" w:hAnsi="Times New Roman" w:cs="Times New Roman"/>
                <w:color w:val="1A1A1A"/>
                <w:sz w:val="18"/>
                <w:szCs w:val="18"/>
              </w:rPr>
              <w:t>AI should function as an adjunct to—not a replacement for—clinician-led patient education, particularly for surgical indications and postoperative expectations</w:t>
            </w:r>
          </w:p>
        </w:tc>
      </w:tr>
    </w:tbl>
    <w:p w14:paraId="0A0488A4" w14:textId="77777777" w:rsidR="00DE0D26" w:rsidRPr="00E36D9D" w:rsidRDefault="00DE0D26" w:rsidP="00DE0D26">
      <w:pPr>
        <w:rPr>
          <w:rFonts w:ascii="Times New Roman" w:hAnsi="Times New Roman" w:cs="Times New Roman"/>
          <w:sz w:val="20"/>
          <w:szCs w:val="20"/>
        </w:rPr>
      </w:pPr>
    </w:p>
    <w:p w14:paraId="25803A46" w14:textId="77777777" w:rsidR="00D1598B" w:rsidRDefault="00D1598B"/>
    <w:sectPr w:rsidR="00D1598B" w:rsidSect="00DE0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26"/>
    <w:rsid w:val="00004BF7"/>
    <w:rsid w:val="002C6CD8"/>
    <w:rsid w:val="005B77DF"/>
    <w:rsid w:val="00D1598B"/>
    <w:rsid w:val="00D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7FE516"/>
  <w15:chartTrackingRefBased/>
  <w15:docId w15:val="{0744E3D0-7412-A541-8A9E-4D6E6AA9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26"/>
  </w:style>
  <w:style w:type="paragraph" w:styleId="Balk1">
    <w:name w:val="heading 1"/>
    <w:basedOn w:val="Normal"/>
    <w:next w:val="Normal"/>
    <w:link w:val="Balk1Char"/>
    <w:uiPriority w:val="9"/>
    <w:qFormat/>
    <w:rsid w:val="00DE0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0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0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0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0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0D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0D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0D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0D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0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0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0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0D2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0D2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0D2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0D2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0D2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0D2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E0D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0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E0D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E0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E0D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E0D2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E0D2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E0D2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0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0D2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E0D26"/>
    <w:rPr>
      <w:b/>
      <w:bCs/>
      <w:smallCaps/>
      <w:color w:val="0F4761" w:themeColor="accent1" w:themeShade="BF"/>
      <w:spacing w:val="5"/>
    </w:rPr>
  </w:style>
  <w:style w:type="table" w:styleId="DzTablo2">
    <w:name w:val="Plain Table 2"/>
    <w:basedOn w:val="NormalTablo"/>
    <w:uiPriority w:val="42"/>
    <w:rsid w:val="00DE0D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atrNumaras">
    <w:name w:val="line number"/>
    <w:basedOn w:val="VarsaylanParagrafYazTipi"/>
    <w:uiPriority w:val="99"/>
    <w:semiHidden/>
    <w:unhideWhenUsed/>
    <w:rsid w:val="00DE0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köksal</dc:creator>
  <cp:keywords/>
  <dc:description/>
  <cp:lastModifiedBy>esra köksal</cp:lastModifiedBy>
  <cp:revision>1</cp:revision>
  <dcterms:created xsi:type="dcterms:W3CDTF">2026-05-29T20:16:00Z</dcterms:created>
  <dcterms:modified xsi:type="dcterms:W3CDTF">2026-05-29T20:16:00Z</dcterms:modified>
</cp:coreProperties>
</file>