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1"/>
        <w:tblW w:w="0" w:type="auto"/>
        <w:tblBorders>
          <w:top w:val="none" w:sz="0" w:space="0" w:color="auto"/>
        </w:tblBorders>
        <w:tblLook w:val="04A0" w:firstRow="1" w:lastRow="0" w:firstColumn="1" w:lastColumn="0" w:noHBand="0" w:noVBand="1"/>
      </w:tblPr>
      <w:tblGrid>
        <w:gridCol w:w="2068"/>
        <w:gridCol w:w="4023"/>
        <w:gridCol w:w="2205"/>
      </w:tblGrid>
      <w:tr w:rsidR="00701761" w:rsidRPr="00701761" w14:paraId="6C862E02" w14:textId="77777777" w:rsidTr="00B21E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8296" w:type="dxa"/>
            <w:gridSpan w:val="3"/>
            <w:tcBorders>
              <w:top w:val="nil"/>
              <w:bottom w:val="single" w:sz="12" w:space="0" w:color="auto"/>
            </w:tcBorders>
          </w:tcPr>
          <w:p w14:paraId="07E4B87C" w14:textId="512DC985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 w:hint="eastAsia"/>
                <w:spacing w:val="0"/>
                <w:sz w:val="21"/>
                <w:szCs w:val="28"/>
                <w14:ligatures w14:val="none"/>
              </w:rPr>
              <w:t>Table</w:t>
            </w:r>
            <w:r w:rsidR="000E1143">
              <w:rPr>
                <w:rFonts w:ascii="Times New Roman" w:hAnsi="Times New Roman" w:cs="Times New Roman" w:hint="eastAsia"/>
                <w:spacing w:val="0"/>
                <w:sz w:val="21"/>
                <w:szCs w:val="28"/>
                <w14:ligatures w14:val="none"/>
              </w:rPr>
              <w:t>S1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:szCs w:val="28"/>
                <w14:ligatures w14:val="none"/>
              </w:rPr>
              <w:t xml:space="preserve"> </w:t>
            </w:r>
            <w:r w:rsidRPr="00701761">
              <w:rPr>
                <w:rFonts w:ascii="Times New Roman" w:hAnsi="Times New Roman" w:cs="Times New Roman" w:hint="eastAsia"/>
                <w:spacing w:val="0"/>
                <w:sz w:val="21"/>
                <w:szCs w:val="28"/>
                <w14:ligatures w14:val="none"/>
              </w:rPr>
              <w:t>The m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:szCs w:val="28"/>
                <w14:ligatures w14:val="none"/>
              </w:rPr>
              <w:t>odel Evaluation Index and calculation formulas.</w:t>
            </w:r>
          </w:p>
        </w:tc>
      </w:tr>
      <w:tr w:rsidR="00701761" w:rsidRPr="00701761" w14:paraId="1A51E83F" w14:textId="77777777" w:rsidTr="00B21E30">
        <w:tc>
          <w:tcPr>
            <w:tcW w:w="2068" w:type="dxa"/>
            <w:tcBorders>
              <w:top w:val="single" w:sz="12" w:space="0" w:color="auto"/>
              <w:bottom w:val="single" w:sz="6" w:space="0" w:color="auto"/>
            </w:tcBorders>
          </w:tcPr>
          <w:p w14:paraId="729FEF12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Metric</w:t>
            </w:r>
          </w:p>
        </w:tc>
        <w:tc>
          <w:tcPr>
            <w:tcW w:w="4023" w:type="dxa"/>
            <w:tcBorders>
              <w:top w:val="single" w:sz="12" w:space="0" w:color="auto"/>
              <w:bottom w:val="single" w:sz="6" w:space="0" w:color="auto"/>
            </w:tcBorders>
          </w:tcPr>
          <w:p w14:paraId="7CA3788D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Definition</w:t>
            </w:r>
          </w:p>
        </w:tc>
        <w:tc>
          <w:tcPr>
            <w:tcW w:w="2205" w:type="dxa"/>
            <w:tcBorders>
              <w:top w:val="single" w:sz="12" w:space="0" w:color="auto"/>
              <w:bottom w:val="single" w:sz="6" w:space="0" w:color="auto"/>
            </w:tcBorders>
          </w:tcPr>
          <w:p w14:paraId="2654B289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Formula</w:t>
            </w:r>
          </w:p>
        </w:tc>
      </w:tr>
      <w:tr w:rsidR="00701761" w:rsidRPr="00701761" w14:paraId="48EE76E4" w14:textId="77777777" w:rsidTr="00B21E30">
        <w:tc>
          <w:tcPr>
            <w:tcW w:w="2068" w:type="dxa"/>
            <w:tcBorders>
              <w:top w:val="single" w:sz="6" w:space="0" w:color="auto"/>
            </w:tcBorders>
          </w:tcPr>
          <w:p w14:paraId="53476E62" w14:textId="77E9437A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>
              <w:rPr>
                <w:rFonts w:ascii="Times New Roman" w:hAnsi="Times New Roman" w:cs="Times New Roman" w:hint="eastAsia"/>
                <w:spacing w:val="0"/>
                <w:sz w:val="21"/>
                <w14:ligatures w14:val="none"/>
              </w:rPr>
              <w:t>A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ccuracy</w:t>
            </w:r>
          </w:p>
        </w:tc>
        <w:tc>
          <w:tcPr>
            <w:tcW w:w="4023" w:type="dxa"/>
            <w:tcBorders>
              <w:top w:val="single" w:sz="6" w:space="0" w:color="auto"/>
            </w:tcBorders>
          </w:tcPr>
          <w:p w14:paraId="766299F6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 w:hint="eastAsia"/>
                <w:spacing w:val="0"/>
                <w:sz w:val="21"/>
                <w14:ligatures w14:val="none"/>
              </w:rPr>
              <w:t>C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orrect predictions divided by the total number of samples.</w:t>
            </w:r>
          </w:p>
        </w:tc>
        <w:tc>
          <w:tcPr>
            <w:tcW w:w="2205" w:type="dxa"/>
            <w:tcBorders>
              <w:top w:val="single" w:sz="6" w:space="0" w:color="auto"/>
            </w:tcBorders>
          </w:tcPr>
          <w:p w14:paraId="3FB975F1" w14:textId="77777777" w:rsidR="00701761" w:rsidRPr="00701761" w:rsidRDefault="00701761" w:rsidP="00701761">
            <w:pPr>
              <w:ind w:firstLine="320"/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pacing w:val="0"/>
                        <w:sz w:val="21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TP+TN</m:t>
                    </m:r>
                  </m:num>
                  <m:den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TP+TN+FP+FN</m:t>
                    </m:r>
                  </m:den>
                </m:f>
              </m:oMath>
            </m:oMathPara>
          </w:p>
        </w:tc>
      </w:tr>
      <w:tr w:rsidR="00701761" w:rsidRPr="00701761" w14:paraId="3766E0D4" w14:textId="77777777" w:rsidTr="00B21E30">
        <w:tc>
          <w:tcPr>
            <w:tcW w:w="2068" w:type="dxa"/>
          </w:tcPr>
          <w:p w14:paraId="7F53E895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Recall</w:t>
            </w:r>
          </w:p>
        </w:tc>
        <w:tc>
          <w:tcPr>
            <w:tcW w:w="4023" w:type="dxa"/>
          </w:tcPr>
          <w:p w14:paraId="510EA193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Correct positive predictions divided by all positive samples.</w:t>
            </w:r>
          </w:p>
        </w:tc>
        <w:tc>
          <w:tcPr>
            <w:tcW w:w="2205" w:type="dxa"/>
          </w:tcPr>
          <w:p w14:paraId="39597193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pacing w:val="0"/>
                        <w:sz w:val="21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</m:t>
                    </m:r>
                  </m:num>
                  <m:den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TP+FN</m:t>
                    </m:r>
                  </m:den>
                </m:f>
              </m:oMath>
            </m:oMathPara>
          </w:p>
        </w:tc>
      </w:tr>
      <w:tr w:rsidR="00701761" w:rsidRPr="00701761" w14:paraId="598135C4" w14:textId="77777777" w:rsidTr="00B21E30">
        <w:tc>
          <w:tcPr>
            <w:tcW w:w="2068" w:type="dxa"/>
          </w:tcPr>
          <w:p w14:paraId="00CC0959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Precision</w:t>
            </w:r>
          </w:p>
        </w:tc>
        <w:tc>
          <w:tcPr>
            <w:tcW w:w="4023" w:type="dxa"/>
          </w:tcPr>
          <w:p w14:paraId="2E8F5720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Correct positive predictions divided by all positive predictions.</w:t>
            </w:r>
          </w:p>
        </w:tc>
        <w:tc>
          <w:tcPr>
            <w:tcW w:w="2205" w:type="dxa"/>
          </w:tcPr>
          <w:p w14:paraId="4C0E3E84" w14:textId="77777777" w:rsidR="00701761" w:rsidRPr="00701761" w:rsidRDefault="00701761" w:rsidP="00701761">
            <w:pPr>
              <w:ind w:firstLine="480"/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pacing w:val="0"/>
                        <w:sz w:val="21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</m:t>
                    </m:r>
                  </m:num>
                  <m:den>
                    <m:r>
                      <w:rPr>
                        <w:rFonts w:ascii="Cambria Math" w:hAnsi="Cambria Math" w:cs="Times New Roman"/>
                        <w:spacing w:val="0"/>
                        <w:sz w:val="21"/>
                        <w14:ligatures w14:val="none"/>
                      </w:rPr>
                      <m:t>TP+FP</m:t>
                    </m:r>
                  </m:den>
                </m:f>
              </m:oMath>
            </m:oMathPara>
          </w:p>
        </w:tc>
      </w:tr>
      <w:tr w:rsidR="00701761" w:rsidRPr="00701761" w14:paraId="232F36A6" w14:textId="77777777" w:rsidTr="00B21E30">
        <w:tc>
          <w:tcPr>
            <w:tcW w:w="2068" w:type="dxa"/>
            <w:tcBorders>
              <w:bottom w:val="single" w:sz="12" w:space="0" w:color="auto"/>
            </w:tcBorders>
          </w:tcPr>
          <w:p w14:paraId="4CF88043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F1</w:t>
            </w:r>
            <w:r w:rsidRPr="00701761">
              <w:rPr>
                <w:rFonts w:ascii="Times New Roman" w:hAnsi="Times New Roman" w:cs="Times New Roman" w:hint="eastAsia"/>
                <w:spacing w:val="0"/>
                <w:sz w:val="21"/>
                <w14:ligatures w14:val="none"/>
              </w:rPr>
              <w:t>-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score</w:t>
            </w:r>
          </w:p>
        </w:tc>
        <w:tc>
          <w:tcPr>
            <w:tcW w:w="4023" w:type="dxa"/>
            <w:tcBorders>
              <w:bottom w:val="single" w:sz="12" w:space="0" w:color="auto"/>
            </w:tcBorders>
          </w:tcPr>
          <w:p w14:paraId="745D5EEE" w14:textId="77777777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 xml:space="preserve">The harmonic </w:t>
            </w:r>
            <w:proofErr w:type="gramStart"/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>mean</w:t>
            </w:r>
            <w:proofErr w:type="gramEnd"/>
            <w:r w:rsidRPr="00701761"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  <w:t xml:space="preserve"> of precision and recall.</w:t>
            </w:r>
          </w:p>
        </w:tc>
        <w:tc>
          <w:tcPr>
            <w:tcW w:w="2205" w:type="dxa"/>
            <w:tcBorders>
              <w:bottom w:val="single" w:sz="12" w:space="0" w:color="auto"/>
            </w:tcBorders>
          </w:tcPr>
          <w:p w14:paraId="3D0FD370" w14:textId="77777777" w:rsidR="00701761" w:rsidRPr="00701761" w:rsidRDefault="00701761" w:rsidP="00701761">
            <w:pPr>
              <w:ind w:firstLine="400"/>
              <w:rPr>
                <w:rFonts w:ascii="Times New Roman" w:hAnsi="Times New Roman" w:cs="Times New Roman"/>
                <w:spacing w:val="0"/>
                <w:sz w:val="21"/>
                <w14:ligatures w14:val="none"/>
              </w:rPr>
            </w:pPr>
            <m:oMathPara>
              <m:oMath>
                <m:r>
                  <w:rPr>
                    <w:rFonts w:ascii="Cambria Math" w:hAnsi="Cambria Math" w:cs="Times New Roman"/>
                    <w:spacing w:val="0"/>
                    <w:szCs w:val="18"/>
                    <w14:ligatures w14:val="none"/>
                  </w:rPr>
                  <m:t>2*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pacing w:val="0"/>
                        <w:szCs w:val="18"/>
                        <w14:ligatures w14:val="none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spacing w:val="0"/>
                        <w:szCs w:val="18"/>
                        <w14:ligatures w14:val="none"/>
                      </w:rPr>
                      <m:t>Precision*Recall</m:t>
                    </m:r>
                  </m:num>
                  <m:den>
                    <m:r>
                      <w:rPr>
                        <w:rFonts w:ascii="Cambria Math" w:hAnsi="Cambria Math" w:cs="Times New Roman"/>
                        <w:spacing w:val="0"/>
                        <w:szCs w:val="18"/>
                        <w14:ligatures w14:val="none"/>
                      </w:rPr>
                      <m:t>Precision+Recall</m:t>
                    </m:r>
                  </m:den>
                </m:f>
              </m:oMath>
            </m:oMathPara>
          </w:p>
        </w:tc>
      </w:tr>
      <w:tr w:rsidR="00701761" w:rsidRPr="00701761" w14:paraId="50A6B66C" w14:textId="77777777" w:rsidTr="00B21E30">
        <w:tc>
          <w:tcPr>
            <w:tcW w:w="8296" w:type="dxa"/>
            <w:gridSpan w:val="3"/>
            <w:tcBorders>
              <w:top w:val="single" w:sz="12" w:space="0" w:color="auto"/>
              <w:bottom w:val="nil"/>
            </w:tcBorders>
          </w:tcPr>
          <w:p w14:paraId="6550324E" w14:textId="4ACEA990" w:rsidR="00701761" w:rsidRPr="00701761" w:rsidRDefault="00701761" w:rsidP="00701761">
            <w:pPr>
              <w:rPr>
                <w:rFonts w:ascii="Times New Roman" w:hAnsi="Times New Roman" w:cs="Times New Roman"/>
                <w:spacing w:val="0"/>
                <w:sz w:val="21"/>
                <w:szCs w:val="21"/>
                <w14:ligatures w14:val="none"/>
              </w:rPr>
            </w:pPr>
            <w:r w:rsidRPr="00701761">
              <w:rPr>
                <w:rFonts w:ascii="Times New Roman" w:hAnsi="Times New Roman" w:cs="Times New Roman"/>
                <w:spacing w:val="0"/>
                <w:sz w:val="21"/>
                <w:szCs w:val="21"/>
                <w14:ligatures w14:val="none"/>
              </w:rPr>
              <w:t>True positives (TP): instances that are positives and are classified as positives. False positive (FP): instances</w:t>
            </w:r>
            <w:r w:rsidRPr="00701761">
              <w:rPr>
                <w:rFonts w:ascii="Times New Roman" w:hAnsi="Times New Roman" w:cs="Times New Roman" w:hint="eastAsia"/>
                <w:spacing w:val="0"/>
                <w:sz w:val="21"/>
                <w:szCs w:val="21"/>
                <w14:ligatures w14:val="none"/>
              </w:rPr>
              <w:t xml:space="preserve"> </w:t>
            </w:r>
            <w:r w:rsidRPr="00701761">
              <w:rPr>
                <w:rFonts w:ascii="Times New Roman" w:hAnsi="Times New Roman" w:cs="Times New Roman"/>
                <w:spacing w:val="0"/>
                <w:sz w:val="21"/>
                <w:szCs w:val="21"/>
                <w14:ligatures w14:val="none"/>
              </w:rPr>
              <w:t xml:space="preserve">that are negatives and are classified as positives. False negative (FN): instances that are positives and are classified as negatives. True </w:t>
            </w:r>
            <w:proofErr w:type="gramStart"/>
            <w:r w:rsidRPr="00701761">
              <w:rPr>
                <w:rFonts w:ascii="Times New Roman" w:hAnsi="Times New Roman" w:cs="Times New Roman"/>
                <w:spacing w:val="0"/>
                <w:sz w:val="21"/>
                <w:szCs w:val="21"/>
                <w14:ligatures w14:val="none"/>
              </w:rPr>
              <w:t>negatives(</w:t>
            </w:r>
            <w:proofErr w:type="gramEnd"/>
            <w:r w:rsidRPr="00701761">
              <w:rPr>
                <w:rFonts w:ascii="Times New Roman" w:hAnsi="Times New Roman" w:cs="Times New Roman"/>
                <w:spacing w:val="0"/>
                <w:sz w:val="21"/>
                <w:szCs w:val="21"/>
                <w14:ligatures w14:val="none"/>
              </w:rPr>
              <w:t xml:space="preserve">TN): instances that are negatives and are classified as negatives. </w:t>
            </w:r>
          </w:p>
        </w:tc>
      </w:tr>
    </w:tbl>
    <w:p w14:paraId="527534E7" w14:textId="77777777" w:rsidR="00517657" w:rsidRDefault="00517657">
      <w:pPr>
        <w:rPr>
          <w:rFonts w:hint="eastAsia"/>
        </w:rPr>
      </w:pPr>
    </w:p>
    <w:sectPr w:rsidR="005176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7942C" w14:textId="77777777" w:rsidR="00E61C19" w:rsidRDefault="00E61C19" w:rsidP="00517657">
      <w:pPr>
        <w:rPr>
          <w:rFonts w:hint="eastAsia"/>
        </w:rPr>
      </w:pPr>
      <w:r>
        <w:separator/>
      </w:r>
    </w:p>
  </w:endnote>
  <w:endnote w:type="continuationSeparator" w:id="0">
    <w:p w14:paraId="0A10DBCE" w14:textId="77777777" w:rsidR="00E61C19" w:rsidRDefault="00E61C19" w:rsidP="0051765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B41A8" w14:textId="77777777" w:rsidR="00E61C19" w:rsidRDefault="00E61C19" w:rsidP="00517657">
      <w:pPr>
        <w:rPr>
          <w:rFonts w:hint="eastAsia"/>
        </w:rPr>
      </w:pPr>
      <w:r>
        <w:separator/>
      </w:r>
    </w:p>
  </w:footnote>
  <w:footnote w:type="continuationSeparator" w:id="0">
    <w:p w14:paraId="2C17671A" w14:textId="77777777" w:rsidR="00E61C19" w:rsidRDefault="00E61C19" w:rsidP="00517657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2FE5"/>
    <w:rsid w:val="000E1143"/>
    <w:rsid w:val="00517657"/>
    <w:rsid w:val="00701761"/>
    <w:rsid w:val="009700BF"/>
    <w:rsid w:val="00994579"/>
    <w:rsid w:val="00AF2FE5"/>
    <w:rsid w:val="00E61C19"/>
    <w:rsid w:val="00ED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7A655"/>
  <w15:chartTrackingRefBased/>
  <w15:docId w15:val="{5AE7804B-6187-4B31-BE77-2088070E4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7"/>
    <w:pPr>
      <w:widowControl w:val="0"/>
      <w:jc w:val="both"/>
    </w:pPr>
    <w:rPr>
      <w:rFonts w:ascii="Arial" w:eastAsia="宋体" w:hAnsi="Arial" w:cs="Arial"/>
      <w:spacing w:val="15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AF2FE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2FE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2FE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2FE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2FE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2FE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2FE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2FE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2FE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2FE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2FE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2FE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F2FE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F2FE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2FE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2FE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2FE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2FE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2FE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2FE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2FE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F2FE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2FE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2FE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2FE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F2FE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2FE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1765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1765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176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17657"/>
    <w:rPr>
      <w:sz w:val="18"/>
      <w:szCs w:val="18"/>
    </w:rPr>
  </w:style>
  <w:style w:type="table" w:customStyle="1" w:styleId="af2">
    <w:name w:val="论文三线表"/>
    <w:basedOn w:val="a1"/>
    <w:autoRedefine/>
    <w:uiPriority w:val="99"/>
    <w:qFormat/>
    <w:rsid w:val="00517657"/>
    <w:rPr>
      <w:rFonts w:ascii="Times New Roman" w:eastAsia="宋体" w:hAnsi="Times New Roman" w:cs="Arial"/>
      <w:kern w:val="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11">
    <w:name w:val="论文三线表1"/>
    <w:basedOn w:val="a1"/>
    <w:autoRedefine/>
    <w:uiPriority w:val="99"/>
    <w:qFormat/>
    <w:rsid w:val="00701761"/>
    <w:rPr>
      <w:rFonts w:ascii="Times New Roman" w:eastAsia="宋体" w:hAnsi="Times New Roman" w:cs="Arial"/>
      <w:kern w:val="0"/>
      <w:szCs w:val="20"/>
    </w:r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faye spike</dc:creator>
  <cp:keywords/>
  <dc:description/>
  <cp:lastModifiedBy>faye spike</cp:lastModifiedBy>
  <cp:revision>3</cp:revision>
  <dcterms:created xsi:type="dcterms:W3CDTF">2025-03-27T02:28:00Z</dcterms:created>
  <dcterms:modified xsi:type="dcterms:W3CDTF">2025-03-27T02:45:00Z</dcterms:modified>
</cp:coreProperties>
</file>