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4BDE7" w14:textId="77777777" w:rsidR="00D94DA1" w:rsidRDefault="00000000">
      <w:pPr>
        <w:jc w:val="center"/>
      </w:pPr>
      <w:r>
        <w:rPr>
          <w:b/>
          <w:sz w:val="22"/>
        </w:rPr>
        <w:t>Supplementary Table S5. Sensitivity analysis of class-imbalance handling in the CatBoost model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561"/>
        <w:gridCol w:w="1881"/>
        <w:gridCol w:w="945"/>
        <w:gridCol w:w="945"/>
        <w:gridCol w:w="1037"/>
        <w:gridCol w:w="945"/>
        <w:gridCol w:w="1149"/>
        <w:gridCol w:w="1121"/>
      </w:tblGrid>
      <w:tr w:rsidR="00D94DA1" w:rsidRPr="0072732F" w14:paraId="5B17BB5D" w14:textId="77777777" w:rsidTr="0072732F">
        <w:trPr>
          <w:jc w:val="center"/>
        </w:trPr>
        <w:tc>
          <w:tcPr>
            <w:tcW w:w="2561" w:type="dxa"/>
            <w:vAlign w:val="center"/>
          </w:tcPr>
          <w:p w14:paraId="31861D03" w14:textId="77777777" w:rsidR="00D94DA1" w:rsidRPr="0072732F" w:rsidRDefault="00000000" w:rsidP="0072732F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</w:rPr>
              <w:t>Strategy</w:t>
            </w:r>
          </w:p>
        </w:tc>
        <w:tc>
          <w:tcPr>
            <w:tcW w:w="1881" w:type="dxa"/>
            <w:vAlign w:val="center"/>
          </w:tcPr>
          <w:p w14:paraId="0113CA9E" w14:textId="77777777" w:rsidR="00D94DA1" w:rsidRPr="0072732F" w:rsidRDefault="00000000" w:rsidP="0072732F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</w:rPr>
              <w:t>Training minority/majority ratio</w:t>
            </w:r>
          </w:p>
        </w:tc>
        <w:tc>
          <w:tcPr>
            <w:tcW w:w="945" w:type="dxa"/>
            <w:vAlign w:val="center"/>
          </w:tcPr>
          <w:p w14:paraId="6F50D0A9" w14:textId="77777777" w:rsidR="00D94DA1" w:rsidRPr="0072732F" w:rsidRDefault="00000000" w:rsidP="0072732F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</w:rPr>
              <w:t>Test AUC</w:t>
            </w:r>
          </w:p>
        </w:tc>
        <w:tc>
          <w:tcPr>
            <w:tcW w:w="945" w:type="dxa"/>
            <w:vAlign w:val="center"/>
          </w:tcPr>
          <w:p w14:paraId="0A61C541" w14:textId="77777777" w:rsidR="00D94DA1" w:rsidRPr="0072732F" w:rsidRDefault="00000000" w:rsidP="0072732F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</w:rPr>
              <w:t>Test AP</w:t>
            </w:r>
          </w:p>
        </w:tc>
        <w:tc>
          <w:tcPr>
            <w:tcW w:w="1037" w:type="dxa"/>
            <w:vAlign w:val="center"/>
          </w:tcPr>
          <w:p w14:paraId="63D9162B" w14:textId="77777777" w:rsidR="00D94DA1" w:rsidRPr="0072732F" w:rsidRDefault="00000000" w:rsidP="0072732F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</w:rPr>
              <w:t>Brier score</w:t>
            </w:r>
          </w:p>
        </w:tc>
        <w:tc>
          <w:tcPr>
            <w:tcW w:w="945" w:type="dxa"/>
            <w:vAlign w:val="center"/>
          </w:tcPr>
          <w:p w14:paraId="1A345B5F" w14:textId="77777777" w:rsidR="00D94DA1" w:rsidRPr="0072732F" w:rsidRDefault="00000000" w:rsidP="0072732F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</w:rPr>
              <w:t>Recall</w:t>
            </w:r>
          </w:p>
        </w:tc>
        <w:tc>
          <w:tcPr>
            <w:tcW w:w="1149" w:type="dxa"/>
            <w:vAlign w:val="center"/>
          </w:tcPr>
          <w:p w14:paraId="65A206A1" w14:textId="77777777" w:rsidR="00D94DA1" w:rsidRPr="0072732F" w:rsidRDefault="00000000" w:rsidP="0072732F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</w:rPr>
              <w:t>Specificity</w:t>
            </w:r>
          </w:p>
        </w:tc>
        <w:tc>
          <w:tcPr>
            <w:tcW w:w="1121" w:type="dxa"/>
            <w:vAlign w:val="center"/>
          </w:tcPr>
          <w:p w14:paraId="13E53465" w14:textId="77777777" w:rsidR="00D94DA1" w:rsidRPr="0072732F" w:rsidRDefault="00000000" w:rsidP="0072732F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</w:rPr>
              <w:t>Precision</w:t>
            </w:r>
          </w:p>
        </w:tc>
      </w:tr>
      <w:tr w:rsidR="00D94DA1" w:rsidRPr="0072732F" w14:paraId="263442BD" w14:textId="77777777" w:rsidTr="00825437">
        <w:trPr>
          <w:jc w:val="center"/>
        </w:trPr>
        <w:tc>
          <w:tcPr>
            <w:tcW w:w="2561" w:type="dxa"/>
            <w:vAlign w:val="center"/>
          </w:tcPr>
          <w:p w14:paraId="387BD339" w14:textId="77777777" w:rsidR="00D94DA1" w:rsidRPr="0072732F" w:rsidRDefault="00000000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No SMOTE and no class weighting</w:t>
            </w:r>
          </w:p>
        </w:tc>
        <w:tc>
          <w:tcPr>
            <w:tcW w:w="1881" w:type="dxa"/>
            <w:vAlign w:val="center"/>
          </w:tcPr>
          <w:p w14:paraId="016315E4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713/6363 (0.11)</w:t>
            </w:r>
          </w:p>
        </w:tc>
        <w:tc>
          <w:tcPr>
            <w:tcW w:w="945" w:type="dxa"/>
            <w:vAlign w:val="center"/>
          </w:tcPr>
          <w:p w14:paraId="514B79AF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0.9782</w:t>
            </w:r>
          </w:p>
        </w:tc>
        <w:tc>
          <w:tcPr>
            <w:tcW w:w="945" w:type="dxa"/>
            <w:vAlign w:val="center"/>
          </w:tcPr>
          <w:p w14:paraId="57880EB5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0.8391</w:t>
            </w:r>
          </w:p>
        </w:tc>
        <w:tc>
          <w:tcPr>
            <w:tcW w:w="1037" w:type="dxa"/>
            <w:vAlign w:val="center"/>
          </w:tcPr>
          <w:p w14:paraId="19A91CC8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0.0340</w:t>
            </w:r>
          </w:p>
        </w:tc>
        <w:tc>
          <w:tcPr>
            <w:tcW w:w="945" w:type="dxa"/>
            <w:vAlign w:val="center"/>
          </w:tcPr>
          <w:p w14:paraId="07C1F522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0.7475</w:t>
            </w:r>
          </w:p>
        </w:tc>
        <w:tc>
          <w:tcPr>
            <w:tcW w:w="1149" w:type="dxa"/>
            <w:vAlign w:val="center"/>
          </w:tcPr>
          <w:p w14:paraId="36E5CFFA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0.9776</w:t>
            </w:r>
          </w:p>
        </w:tc>
        <w:tc>
          <w:tcPr>
            <w:tcW w:w="1121" w:type="dxa"/>
            <w:vAlign w:val="center"/>
          </w:tcPr>
          <w:p w14:paraId="29686D42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0.7889</w:t>
            </w:r>
          </w:p>
        </w:tc>
      </w:tr>
      <w:tr w:rsidR="00D94DA1" w:rsidRPr="0072732F" w14:paraId="2E202B35" w14:textId="77777777" w:rsidTr="00825437">
        <w:trPr>
          <w:jc w:val="center"/>
        </w:trPr>
        <w:tc>
          <w:tcPr>
            <w:tcW w:w="2561" w:type="dxa"/>
            <w:vAlign w:val="center"/>
          </w:tcPr>
          <w:p w14:paraId="3DF10442" w14:textId="77777777" w:rsidR="00D94DA1" w:rsidRPr="0072732F" w:rsidRDefault="00000000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Class weighting only</w:t>
            </w:r>
          </w:p>
        </w:tc>
        <w:tc>
          <w:tcPr>
            <w:tcW w:w="1881" w:type="dxa"/>
            <w:vAlign w:val="center"/>
          </w:tcPr>
          <w:p w14:paraId="623D2946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713/6363 (0.11)</w:t>
            </w:r>
          </w:p>
        </w:tc>
        <w:tc>
          <w:tcPr>
            <w:tcW w:w="945" w:type="dxa"/>
            <w:vAlign w:val="center"/>
          </w:tcPr>
          <w:p w14:paraId="5F653F57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0.9786</w:t>
            </w:r>
          </w:p>
        </w:tc>
        <w:tc>
          <w:tcPr>
            <w:tcW w:w="945" w:type="dxa"/>
            <w:vAlign w:val="center"/>
          </w:tcPr>
          <w:p w14:paraId="4A3BCF70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0.8388</w:t>
            </w:r>
          </w:p>
        </w:tc>
        <w:tc>
          <w:tcPr>
            <w:tcW w:w="1037" w:type="dxa"/>
            <w:vAlign w:val="center"/>
          </w:tcPr>
          <w:p w14:paraId="7391C590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0.0380</w:t>
            </w:r>
          </w:p>
        </w:tc>
        <w:tc>
          <w:tcPr>
            <w:tcW w:w="945" w:type="dxa"/>
            <w:vAlign w:val="center"/>
          </w:tcPr>
          <w:p w14:paraId="3A552943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0.8459</w:t>
            </w:r>
          </w:p>
        </w:tc>
        <w:tc>
          <w:tcPr>
            <w:tcW w:w="1149" w:type="dxa"/>
            <w:vAlign w:val="center"/>
          </w:tcPr>
          <w:p w14:paraId="701CC43B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0.9608</w:t>
            </w:r>
          </w:p>
        </w:tc>
        <w:tc>
          <w:tcPr>
            <w:tcW w:w="1121" w:type="dxa"/>
            <w:vAlign w:val="center"/>
          </w:tcPr>
          <w:p w14:paraId="1AA103EC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0.7068</w:t>
            </w:r>
          </w:p>
        </w:tc>
      </w:tr>
      <w:tr w:rsidR="00D94DA1" w:rsidRPr="0072732F" w14:paraId="557A5A35" w14:textId="77777777" w:rsidTr="00825437">
        <w:trPr>
          <w:jc w:val="center"/>
        </w:trPr>
        <w:tc>
          <w:tcPr>
            <w:tcW w:w="2561" w:type="dxa"/>
            <w:vAlign w:val="center"/>
          </w:tcPr>
          <w:p w14:paraId="23266C1E" w14:textId="77777777" w:rsidR="00D94DA1" w:rsidRPr="0072732F" w:rsidRDefault="00000000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Borderline-SMOTE 20% + class weighting</w:t>
            </w:r>
          </w:p>
        </w:tc>
        <w:tc>
          <w:tcPr>
            <w:tcW w:w="1881" w:type="dxa"/>
            <w:vAlign w:val="center"/>
          </w:tcPr>
          <w:p w14:paraId="140E88E7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1272/6363 (0.20)</w:t>
            </w:r>
          </w:p>
        </w:tc>
        <w:tc>
          <w:tcPr>
            <w:tcW w:w="945" w:type="dxa"/>
            <w:vAlign w:val="center"/>
          </w:tcPr>
          <w:p w14:paraId="0CA6BCC5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0.9789</w:t>
            </w:r>
          </w:p>
        </w:tc>
        <w:tc>
          <w:tcPr>
            <w:tcW w:w="945" w:type="dxa"/>
            <w:vAlign w:val="center"/>
          </w:tcPr>
          <w:p w14:paraId="73A4838A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0.8453</w:t>
            </w:r>
          </w:p>
        </w:tc>
        <w:tc>
          <w:tcPr>
            <w:tcW w:w="1037" w:type="dxa"/>
            <w:vAlign w:val="center"/>
          </w:tcPr>
          <w:p w14:paraId="09574B42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0.0386</w:t>
            </w:r>
          </w:p>
        </w:tc>
        <w:tc>
          <w:tcPr>
            <w:tcW w:w="945" w:type="dxa"/>
            <w:vAlign w:val="center"/>
          </w:tcPr>
          <w:p w14:paraId="74EEDBD8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0.8590</w:t>
            </w:r>
          </w:p>
        </w:tc>
        <w:tc>
          <w:tcPr>
            <w:tcW w:w="1149" w:type="dxa"/>
            <w:vAlign w:val="center"/>
          </w:tcPr>
          <w:p w14:paraId="0A74E881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0.9586</w:t>
            </w:r>
          </w:p>
        </w:tc>
        <w:tc>
          <w:tcPr>
            <w:tcW w:w="1121" w:type="dxa"/>
            <w:vAlign w:val="center"/>
          </w:tcPr>
          <w:p w14:paraId="42085A3B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0.6987</w:t>
            </w:r>
          </w:p>
        </w:tc>
      </w:tr>
      <w:tr w:rsidR="00D94DA1" w:rsidRPr="0072732F" w14:paraId="7EF5D830" w14:textId="77777777" w:rsidTr="00825437">
        <w:trPr>
          <w:jc w:val="center"/>
        </w:trPr>
        <w:tc>
          <w:tcPr>
            <w:tcW w:w="2561" w:type="dxa"/>
            <w:vAlign w:val="center"/>
          </w:tcPr>
          <w:p w14:paraId="0C5C7145" w14:textId="77777777" w:rsidR="00D94DA1" w:rsidRPr="0072732F" w:rsidRDefault="00000000">
            <w:pPr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Borderline-SMOTE 50% + class weighting</w:t>
            </w:r>
          </w:p>
        </w:tc>
        <w:tc>
          <w:tcPr>
            <w:tcW w:w="1881" w:type="dxa"/>
            <w:vAlign w:val="center"/>
          </w:tcPr>
          <w:p w14:paraId="51721631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3181/6363 (0.50)</w:t>
            </w:r>
          </w:p>
        </w:tc>
        <w:tc>
          <w:tcPr>
            <w:tcW w:w="945" w:type="dxa"/>
            <w:vAlign w:val="center"/>
          </w:tcPr>
          <w:p w14:paraId="20CA437F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0.9788</w:t>
            </w:r>
          </w:p>
        </w:tc>
        <w:tc>
          <w:tcPr>
            <w:tcW w:w="945" w:type="dxa"/>
            <w:vAlign w:val="center"/>
          </w:tcPr>
          <w:p w14:paraId="0A8C35FB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0.8440</w:t>
            </w:r>
          </w:p>
        </w:tc>
        <w:tc>
          <w:tcPr>
            <w:tcW w:w="1037" w:type="dxa"/>
            <w:vAlign w:val="center"/>
          </w:tcPr>
          <w:p w14:paraId="3FFFA5AA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0.0385</w:t>
            </w:r>
          </w:p>
        </w:tc>
        <w:tc>
          <w:tcPr>
            <w:tcW w:w="945" w:type="dxa"/>
            <w:vAlign w:val="center"/>
          </w:tcPr>
          <w:p w14:paraId="4D834F89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0.8525</w:t>
            </w:r>
          </w:p>
        </w:tc>
        <w:tc>
          <w:tcPr>
            <w:tcW w:w="1149" w:type="dxa"/>
            <w:vAlign w:val="center"/>
          </w:tcPr>
          <w:p w14:paraId="418F205F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0.9600</w:t>
            </w:r>
          </w:p>
        </w:tc>
        <w:tc>
          <w:tcPr>
            <w:tcW w:w="1121" w:type="dxa"/>
            <w:vAlign w:val="center"/>
          </w:tcPr>
          <w:p w14:paraId="2AD9C20B" w14:textId="77777777" w:rsidR="00D94DA1" w:rsidRPr="0072732F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72732F">
              <w:rPr>
                <w:rFonts w:ascii="Times New Roman" w:hAnsi="Times New Roman" w:cs="Times New Roman"/>
                <w:sz w:val="16"/>
              </w:rPr>
              <w:t>0.7046</w:t>
            </w:r>
          </w:p>
        </w:tc>
      </w:tr>
    </w:tbl>
    <w:p w14:paraId="3873B27B" w14:textId="77777777" w:rsidR="00D94DA1" w:rsidRDefault="00000000">
      <w:pPr>
        <w:spacing w:before="160" w:line="252" w:lineRule="auto"/>
      </w:pPr>
      <w:r>
        <w:rPr>
          <w:sz w:val="16"/>
        </w:rPr>
        <w:t>Note. The sensitivity analysis used the final seven predictors, the same stratified 7:3 split (random_state=42), and the CatBoost hyperparameters reported in Supplementary Table S4. Borderline-SMOTE was applied only within the training set; the held-out test set remained unchanged. These sensitivity reruns were intended to assess robustness to imbalance-handling choices and do not replace the primary model-performance estimates reported in Table 3.</w:t>
      </w:r>
    </w:p>
    <w:sectPr w:rsidR="00D94DA1" w:rsidSect="00034616">
      <w:pgSz w:w="12240" w:h="15840"/>
      <w:pgMar w:top="1152" w:right="936" w:bottom="115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6C572" w14:textId="77777777" w:rsidR="007B3B45" w:rsidRDefault="007B3B45" w:rsidP="00825437">
      <w:pPr>
        <w:spacing w:after="0" w:line="240" w:lineRule="auto"/>
      </w:pPr>
      <w:r>
        <w:separator/>
      </w:r>
    </w:p>
  </w:endnote>
  <w:endnote w:type="continuationSeparator" w:id="0">
    <w:p w14:paraId="45D93582" w14:textId="77777777" w:rsidR="007B3B45" w:rsidRDefault="007B3B45" w:rsidP="0082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2D7C9" w14:textId="77777777" w:rsidR="007B3B45" w:rsidRDefault="007B3B45" w:rsidP="00825437">
      <w:pPr>
        <w:spacing w:after="0" w:line="240" w:lineRule="auto"/>
      </w:pPr>
      <w:r>
        <w:separator/>
      </w:r>
    </w:p>
  </w:footnote>
  <w:footnote w:type="continuationSeparator" w:id="0">
    <w:p w14:paraId="3D94EDCE" w14:textId="77777777" w:rsidR="007B3B45" w:rsidRDefault="007B3B45" w:rsidP="00825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5768441">
    <w:abstractNumId w:val="8"/>
  </w:num>
  <w:num w:numId="2" w16cid:durableId="1082065272">
    <w:abstractNumId w:val="6"/>
  </w:num>
  <w:num w:numId="3" w16cid:durableId="987242051">
    <w:abstractNumId w:val="5"/>
  </w:num>
  <w:num w:numId="4" w16cid:durableId="190149907">
    <w:abstractNumId w:val="4"/>
  </w:num>
  <w:num w:numId="5" w16cid:durableId="1904683276">
    <w:abstractNumId w:val="7"/>
  </w:num>
  <w:num w:numId="6" w16cid:durableId="1237784090">
    <w:abstractNumId w:val="3"/>
  </w:num>
  <w:num w:numId="7" w16cid:durableId="916093586">
    <w:abstractNumId w:val="2"/>
  </w:num>
  <w:num w:numId="8" w16cid:durableId="1557280599">
    <w:abstractNumId w:val="1"/>
  </w:num>
  <w:num w:numId="9" w16cid:durableId="963190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5CF6"/>
    <w:rsid w:val="004C7534"/>
    <w:rsid w:val="0072732F"/>
    <w:rsid w:val="007B3B45"/>
    <w:rsid w:val="00825437"/>
    <w:rsid w:val="00AA1D8D"/>
    <w:rsid w:val="00B47730"/>
    <w:rsid w:val="00BB19BA"/>
    <w:rsid w:val="00CB0664"/>
    <w:rsid w:val="00D94D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E712C2"/>
  <w14:defaultImageDpi w14:val="300"/>
  <w15:docId w15:val="{DC499C2C-EAF4-490C-B862-122AC13A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881</Characters>
  <Application>Microsoft Office Word</Application>
  <DocSecurity>0</DocSecurity>
  <Lines>51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faye spike</cp:lastModifiedBy>
  <cp:revision>3</cp:revision>
  <dcterms:created xsi:type="dcterms:W3CDTF">2013-12-23T23:15:00Z</dcterms:created>
  <dcterms:modified xsi:type="dcterms:W3CDTF">2026-06-30T07:32:00Z</dcterms:modified>
  <cp:category/>
</cp:coreProperties>
</file>