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DB6DF">
      <w:pPr>
        <w:jc w:val="center"/>
        <w:rPr>
          <w:rFonts w:hint="eastAsia" w:eastAsiaTheme="minorEastAsia"/>
          <w:vertAlign w:val="baseline"/>
          <w:lang w:val="en-US" w:eastAsia="zh-CN"/>
        </w:rPr>
      </w:pPr>
      <w:r>
        <w:rPr>
          <w:rFonts w:hint="eastAsia"/>
          <w:vertAlign w:val="baseline"/>
        </w:rPr>
        <w:t xml:space="preserve">Supplementary </w:t>
      </w:r>
      <w:r>
        <w:rPr>
          <w:rFonts w:hint="eastAsia"/>
          <w:vertAlign w:val="baseline"/>
          <w:lang w:val="en-US" w:eastAsia="zh-CN"/>
        </w:rPr>
        <w:t xml:space="preserve">table.1  </w:t>
      </w:r>
      <w:r>
        <w:rPr>
          <w:rFonts w:hint="eastAsia"/>
          <w:vertAlign w:val="baseline"/>
        </w:rPr>
        <w:t>Summary of predictive models reviewed in this study</w:t>
      </w:r>
      <w:r>
        <w:rPr>
          <w:rFonts w:hint="eastAsia"/>
          <w:vertAlign w:val="baseline"/>
          <w:lang w:val="en-US" w:eastAsia="zh-CN"/>
        </w:rPr>
        <w:t xml:space="preserve"> </w:t>
      </w:r>
      <w:bookmarkStart w:id="0" w:name="_GoBack"/>
      <w:bookmarkEnd w:id="0"/>
    </w:p>
    <w:tbl>
      <w:tblPr>
        <w:tblStyle w:val="3"/>
        <w:tblW w:w="11485" w:type="dxa"/>
        <w:tblInd w:w="-15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500"/>
        <w:gridCol w:w="1782"/>
        <w:gridCol w:w="2452"/>
        <w:gridCol w:w="1834"/>
        <w:gridCol w:w="2837"/>
      </w:tblGrid>
      <w:tr w14:paraId="5E543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46804524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Section</w:t>
            </w:r>
          </w:p>
        </w:tc>
        <w:tc>
          <w:tcPr>
            <w:tcW w:w="1500" w:type="dxa"/>
          </w:tcPr>
          <w:p w14:paraId="0B2CE550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Study &amp; Year</w:t>
            </w:r>
          </w:p>
        </w:tc>
        <w:tc>
          <w:tcPr>
            <w:tcW w:w="1782" w:type="dxa"/>
          </w:tcPr>
          <w:p w14:paraId="6BFC99C4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Sample Size (n)</w:t>
            </w:r>
          </w:p>
        </w:tc>
        <w:tc>
          <w:tcPr>
            <w:tcW w:w="2452" w:type="dxa"/>
          </w:tcPr>
          <w:p w14:paraId="40AA64BE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Data Modality / Key Predictors</w:t>
            </w:r>
          </w:p>
        </w:tc>
        <w:tc>
          <w:tcPr>
            <w:tcW w:w="1834" w:type="dxa"/>
          </w:tcPr>
          <w:p w14:paraId="7E77B8E4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Algorithm / Model</w:t>
            </w:r>
          </w:p>
        </w:tc>
        <w:tc>
          <w:tcPr>
            <w:tcW w:w="2837" w:type="dxa"/>
          </w:tcPr>
          <w:p w14:paraId="16116B7E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Clinical Endpoint &amp; Target</w:t>
            </w:r>
          </w:p>
        </w:tc>
      </w:tr>
      <w:tr w14:paraId="7A051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597C60B0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Diagnosis</w:t>
            </w:r>
          </w:p>
        </w:tc>
        <w:tc>
          <w:tcPr>
            <w:tcW w:w="1500" w:type="dxa"/>
          </w:tcPr>
          <w:p w14:paraId="72C40A23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Zheng C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</w:rPr>
              <w:t>et al.</w:t>
            </w:r>
            <w:r>
              <w:rPr>
                <w:rFonts w:hint="eastAsia"/>
                <w:vertAlign w:val="baseline"/>
                <w:lang w:val="en-US" w:eastAsia="zh-CN"/>
              </w:rPr>
              <w:t>(</w:t>
            </w:r>
            <w:r>
              <w:rPr>
                <w:rFonts w:hint="eastAsia"/>
                <w:vertAlign w:val="baseline"/>
              </w:rPr>
              <w:t>2024</w:t>
            </w:r>
            <w:r>
              <w:rPr>
                <w:rFonts w:hint="eastAsia"/>
                <w:vertAlign w:val="baseline"/>
                <w:lang w:val="en-US" w:eastAsia="zh-CN"/>
              </w:rPr>
              <w:t>)</w:t>
            </w:r>
          </w:p>
        </w:tc>
        <w:tc>
          <w:tcPr>
            <w:tcW w:w="1782" w:type="dxa"/>
          </w:tcPr>
          <w:p w14:paraId="1D2F04B4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Retrospective, Public DB; Adult (n=388)</w:t>
            </w:r>
          </w:p>
        </w:tc>
        <w:tc>
          <w:tcPr>
            <w:tcW w:w="2452" w:type="dxa"/>
          </w:tcPr>
          <w:p w14:paraId="27E0F964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Angiogenesis-related mucosal genes (CEACAM3, OSM, CXCL5)</w:t>
            </w:r>
          </w:p>
        </w:tc>
        <w:tc>
          <w:tcPr>
            <w:tcW w:w="1834" w:type="dxa"/>
          </w:tcPr>
          <w:p w14:paraId="2607B5A6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WGCNA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</w:rPr>
              <w:t>+ Random Forest</w:t>
            </w:r>
          </w:p>
        </w:tc>
        <w:tc>
          <w:tcPr>
            <w:tcW w:w="2837" w:type="dxa"/>
          </w:tcPr>
          <w:p w14:paraId="50305569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Distinguishing CD from healthy controls and predicting infliximab non-response</w:t>
            </w:r>
          </w:p>
        </w:tc>
      </w:tr>
      <w:tr w14:paraId="79C47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5ECCA756">
            <w:pPr>
              <w:rPr>
                <w:vertAlign w:val="baseline"/>
              </w:rPr>
            </w:pPr>
          </w:p>
        </w:tc>
        <w:tc>
          <w:tcPr>
            <w:tcW w:w="1500" w:type="dxa"/>
          </w:tcPr>
          <w:p w14:paraId="55421471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Wang et al. (2023)</w:t>
            </w:r>
          </w:p>
        </w:tc>
        <w:tc>
          <w:tcPr>
            <w:tcW w:w="1782" w:type="dxa"/>
          </w:tcPr>
          <w:p w14:paraId="2128F63C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Retrospective, Public DB (GEO); Adult (n=531)  </w:t>
            </w:r>
          </w:p>
        </w:tc>
        <w:tc>
          <w:tcPr>
            <w:tcW w:w="2452" w:type="dxa"/>
          </w:tcPr>
          <w:p w14:paraId="01C4886F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Cuproptosis-related gene (CRG) profiles minimized to a 5-gene mucosal transcriptomic signature (PLXDC1, WAS, CTSK, PLCE1, LIMD2)</w:t>
            </w:r>
          </w:p>
        </w:tc>
        <w:tc>
          <w:tcPr>
            <w:tcW w:w="1834" w:type="dxa"/>
          </w:tcPr>
          <w:p w14:paraId="7FAEDC44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WGCNA + Optimized Extreme Gradient Boosting (XGBoost) framework</w:t>
            </w:r>
          </w:p>
        </w:tc>
        <w:tc>
          <w:tcPr>
            <w:tcW w:w="2837" w:type="dxa"/>
          </w:tcPr>
          <w:p w14:paraId="302F0FBB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Dissecting immunophenotypic subtypes of UC</w:t>
            </w:r>
          </w:p>
        </w:tc>
      </w:tr>
      <w:tr w14:paraId="00A98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56B4DA61">
            <w:pPr>
              <w:rPr>
                <w:vertAlign w:val="baseline"/>
              </w:rPr>
            </w:pPr>
          </w:p>
        </w:tc>
        <w:tc>
          <w:tcPr>
            <w:tcW w:w="1500" w:type="dxa"/>
          </w:tcPr>
          <w:p w14:paraId="33C56EA4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Jiang S et al. (2022)</w:t>
            </w:r>
          </w:p>
        </w:tc>
        <w:tc>
          <w:tcPr>
            <w:tcW w:w="1782" w:type="dxa"/>
          </w:tcPr>
          <w:p w14:paraId="01F56C2D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Retrospective, Public DB (NCBI); Adult (n=414</w:t>
            </w:r>
            <w:r>
              <w:rPr>
                <w:rFonts w:hint="eastAsia"/>
                <w:vertAlign w:val="baseline"/>
                <w:lang w:val="en-US" w:eastAsia="zh-CN"/>
              </w:rPr>
              <w:t>)</w:t>
            </w:r>
          </w:p>
        </w:tc>
        <w:tc>
          <w:tcPr>
            <w:tcW w:w="2452" w:type="dxa"/>
          </w:tcPr>
          <w:p w14:paraId="27B7B37F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Intestinal microbial single nucleotide variants (SNVs) aggregated into a 5-gene marker panel spanning Faecalibacterium prausnitzii (Fp_RS08950, Fp_RS08935, Fp_RS06070, Fp_RS10895) and Eubacterium rectale (Er_RS15585)</w:t>
            </w:r>
          </w:p>
        </w:tc>
        <w:tc>
          <w:tcPr>
            <w:tcW w:w="1834" w:type="dxa"/>
          </w:tcPr>
          <w:p w14:paraId="59F9EC00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Metagenomic SNV Profiling </w:t>
            </w:r>
          </w:p>
        </w:tc>
        <w:tc>
          <w:tcPr>
            <w:tcW w:w="2837" w:type="dxa"/>
          </w:tcPr>
          <w:p w14:paraId="23256003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Highly precise identification of Crohn's disease (CD) and specific differentiation from healthy controls, UC, and colorectal cancer (CRC)</w:t>
            </w:r>
          </w:p>
        </w:tc>
      </w:tr>
      <w:tr w14:paraId="53608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65C1040A">
            <w:pPr>
              <w:rPr>
                <w:vertAlign w:val="baseline"/>
              </w:rPr>
            </w:pPr>
          </w:p>
        </w:tc>
        <w:tc>
          <w:tcPr>
            <w:tcW w:w="1500" w:type="dxa"/>
          </w:tcPr>
          <w:p w14:paraId="746C5C5E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Gao S et al. (2023)</w:t>
            </w:r>
          </w:p>
        </w:tc>
        <w:tc>
          <w:tcPr>
            <w:tcW w:w="1782" w:type="dxa"/>
          </w:tcPr>
          <w:p w14:paraId="601821A1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Retrospective + Prospective, Public DB &amp; In-house Cohort; Adult (n=1,418)</w:t>
            </w:r>
          </w:p>
        </w:tc>
        <w:tc>
          <w:tcPr>
            <w:tcW w:w="2452" w:type="dxa"/>
          </w:tcPr>
          <w:p w14:paraId="06647E21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Multidimensional gut metagenomic signatures (multi-kingdom species, functional KO genes, and microbial SNVs); key predictors include phosphotransferase system (PTS) genes</w:t>
            </w:r>
          </w:p>
        </w:tc>
        <w:tc>
          <w:tcPr>
            <w:tcW w:w="1834" w:type="dxa"/>
          </w:tcPr>
          <w:p w14:paraId="60CB1FF4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Feedforward Neural Network (FNN) Artificial Intelligence algorithm combined with MMUPHin batch-correction</w:t>
            </w:r>
          </w:p>
        </w:tc>
        <w:tc>
          <w:tcPr>
            <w:tcW w:w="2837" w:type="dxa"/>
          </w:tcPr>
          <w:p w14:paraId="4036AC35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Universal noninvasive diagnosis of Crohn's disease (CD) across cultures, with robust specific exclusion of UC, CRC</w:t>
            </w:r>
          </w:p>
        </w:tc>
      </w:tr>
      <w:tr w14:paraId="78D1A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40D58F11">
            <w:pPr>
              <w:rPr>
                <w:vertAlign w:val="baseline"/>
              </w:rPr>
            </w:pPr>
          </w:p>
        </w:tc>
        <w:tc>
          <w:tcPr>
            <w:tcW w:w="1500" w:type="dxa"/>
          </w:tcPr>
          <w:p w14:paraId="5A9BBA64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Liñares-Blanco J et al. (2022)</w:t>
            </w:r>
          </w:p>
        </w:tc>
        <w:tc>
          <w:tcPr>
            <w:tcW w:w="1782" w:type="dxa"/>
          </w:tcPr>
          <w:p w14:paraId="6197FD27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Retrospective, Public DB (AGP + External Cohorts); Adult (n=1,008) </w:t>
            </w:r>
          </w:p>
        </w:tc>
        <w:tc>
          <w:tcPr>
            <w:tcW w:w="2452" w:type="dxa"/>
          </w:tcPr>
          <w:p w14:paraId="2B0D7E54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Global fecal microbiota taxonomy profile; metagenomic signature optimized to a 40-genus panel (predominantly highlighted by Proteobacteria and Firmicutes components including HTCC2188, Parvimonas, Rhodoplanes, and Akkermansia)</w:t>
            </w:r>
          </w:p>
        </w:tc>
        <w:tc>
          <w:tcPr>
            <w:tcW w:w="1834" w:type="dxa"/>
          </w:tcPr>
          <w:p w14:paraId="445650CC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Random Forest (RF) classifier</w:t>
            </w:r>
          </w:p>
        </w:tc>
        <w:tc>
          <w:tcPr>
            <w:tcW w:w="2837" w:type="dxa"/>
          </w:tcPr>
          <w:p w14:paraId="3864540D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Cross-subtype classification of IBD from fecal samples and generalizable validation across both Crohn's disease (CD) and Ulcerative Colitis (UC) cohorts</w:t>
            </w:r>
          </w:p>
        </w:tc>
      </w:tr>
      <w:tr w14:paraId="5BB4A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0BDD43BE">
            <w:pPr>
              <w:rPr>
                <w:vertAlign w:val="baseline"/>
              </w:rPr>
            </w:pPr>
          </w:p>
        </w:tc>
        <w:tc>
          <w:tcPr>
            <w:tcW w:w="1500" w:type="dxa"/>
          </w:tcPr>
          <w:p w14:paraId="114463ED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Kang et al. (2023)</w:t>
            </w:r>
          </w:p>
        </w:tc>
        <w:tc>
          <w:tcPr>
            <w:tcW w:w="1782" w:type="dxa"/>
          </w:tcPr>
          <w:p w14:paraId="4171479F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Retrospective + Prospective, In-house Biobank &amp; Public DB (IBDMDB); Adult (n=562)</w:t>
            </w:r>
          </w:p>
        </w:tc>
        <w:tc>
          <w:tcPr>
            <w:tcW w:w="2452" w:type="dxa"/>
          </w:tcPr>
          <w:p w14:paraId="5105D35A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Fecal whole-metagenome shotgun (WMS) taxonomic profiles; 68-species differential panel (e.g., Escherichia coli, Shigella dysenteriae, Alistipes shahii, Akkermansia muciniphila)  </w:t>
            </w:r>
          </w:p>
        </w:tc>
        <w:tc>
          <w:tcPr>
            <w:tcW w:w="1834" w:type="dxa"/>
          </w:tcPr>
          <w:p w14:paraId="6487DB78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Penalized Ridge Logistic Regression classifier</w:t>
            </w:r>
          </w:p>
        </w:tc>
        <w:tc>
          <w:tcPr>
            <w:tcW w:w="2837" w:type="dxa"/>
          </w:tcPr>
          <w:p w14:paraId="503E6D0A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Direct differential diagnosis between Crohn's disease (CD) and Ulcerative Colitis (UC), alongside noninvasive mapping of progressive disease severity stages</w:t>
            </w:r>
          </w:p>
        </w:tc>
      </w:tr>
      <w:tr w14:paraId="005F3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3C3056D6">
            <w:pPr>
              <w:rPr>
                <w:vertAlign w:val="baseline"/>
              </w:rPr>
            </w:pPr>
          </w:p>
        </w:tc>
        <w:tc>
          <w:tcPr>
            <w:tcW w:w="1500" w:type="dxa"/>
          </w:tcPr>
          <w:p w14:paraId="7751A673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Gacesa R et al. (2021)</w:t>
            </w:r>
          </w:p>
        </w:tc>
        <w:tc>
          <w:tcPr>
            <w:tcW w:w="1782" w:type="dxa"/>
          </w:tcPr>
          <w:p w14:paraId="46756662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Retrospective, Multi-cohort Pooling (1000IBD, LLD, MIBS); Adult (n=1,660)  </w:t>
            </w:r>
          </w:p>
        </w:tc>
        <w:tc>
          <w:tcPr>
            <w:tcW w:w="2452" w:type="dxa"/>
          </w:tcPr>
          <w:p w14:paraId="2A647710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Multi-omic fusion data including fecal biomarkers (FCal, HBD2, CgA) and gut microbiota profiles (phyla, genera, species, and MetaCyc pathways); key microbial predictors include Collinsella, Coprococcus, Ruminococcus, Methanobrevibacter, and Alistipes</w:t>
            </w:r>
          </w:p>
        </w:tc>
        <w:tc>
          <w:tcPr>
            <w:tcW w:w="1834" w:type="dxa"/>
          </w:tcPr>
          <w:p w14:paraId="737BC3D5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Recursive Feature Elimination + Multivariate Logistic Regression &amp; Support Vector Machine (SVM) machine learning models</w:t>
            </w:r>
          </w:p>
        </w:tc>
        <w:tc>
          <w:tcPr>
            <w:tcW w:w="2837" w:type="dxa"/>
          </w:tcPr>
          <w:p w14:paraId="17B2284F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Noninvasive discrimination between IBD and IBS to minimize unnecessary colonoscopies, supplemented by prediction of longitudinal IBD disease activity state</w:t>
            </w:r>
          </w:p>
        </w:tc>
      </w:tr>
      <w:tr w14:paraId="7B029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5B438437">
            <w:pPr>
              <w:rPr>
                <w:vertAlign w:val="baseline"/>
              </w:rPr>
            </w:pPr>
          </w:p>
        </w:tc>
        <w:tc>
          <w:tcPr>
            <w:tcW w:w="1500" w:type="dxa"/>
          </w:tcPr>
          <w:p w14:paraId="090F3C0C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Arehart CH et al. (2024)</w:t>
            </w:r>
          </w:p>
        </w:tc>
        <w:tc>
          <w:tcPr>
            <w:tcW w:w="1782" w:type="dxa"/>
          </w:tcPr>
          <w:p w14:paraId="6DE3A76C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Retrospective, Public DB (HMP2); Adult (n=130)  </w:t>
            </w:r>
          </w:p>
        </w:tc>
        <w:tc>
          <w:tcPr>
            <w:tcW w:w="2452" w:type="dxa"/>
          </w:tcPr>
          <w:p w14:paraId="280A1EBF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Multi-omic risk metrics encompassing metagenomics (species taxonomy), metatranscriptomics (pathway abundance), viromics (tobamoviruses and bacteriophages), and untargeted metabolomics (fatty acids and specialized metabolites like docosapentaenoate and phenyllactate)</w:t>
            </w:r>
          </w:p>
        </w:tc>
        <w:tc>
          <w:tcPr>
            <w:tcW w:w="1834" w:type="dxa"/>
          </w:tcPr>
          <w:p w14:paraId="632BEEC8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L1-penalized Mixed-Effects LASSO Regression + Multi-omic Polygenic-like Regression Integration</w:t>
            </w:r>
          </w:p>
        </w:tc>
        <w:tc>
          <w:tcPr>
            <w:tcW w:w="2837" w:type="dxa"/>
          </w:tcPr>
          <w:p w14:paraId="6950AC0C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Comprehensive evaluation and additive prediction of IBD diagnosis</w:t>
            </w:r>
          </w:p>
        </w:tc>
      </w:tr>
      <w:tr w14:paraId="2EC1E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5D5DE477">
            <w:pPr>
              <w:rPr>
                <w:vertAlign w:val="baseline"/>
              </w:rPr>
            </w:pPr>
          </w:p>
        </w:tc>
        <w:tc>
          <w:tcPr>
            <w:tcW w:w="1500" w:type="dxa"/>
          </w:tcPr>
          <w:p w14:paraId="71D4D814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Jagt JZ et al. (2022)</w:t>
            </w:r>
          </w:p>
        </w:tc>
        <w:tc>
          <w:tcPr>
            <w:tcW w:w="1782" w:type="dxa"/>
          </w:tcPr>
          <w:p w14:paraId="11494353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Prospective, Multicenter Case-Control Study; Pediatric (n=183)  </w:t>
            </w:r>
          </w:p>
        </w:tc>
        <w:tc>
          <w:tcPr>
            <w:tcW w:w="2452" w:type="dxa"/>
          </w:tcPr>
          <w:p w14:paraId="01127118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Targeted fecal metabolomic profiles; 29-amino acid panel with heavily weighted diagnostic drivers comprising tryptophan, taurine, alanine, ornithine, valine, histidine, and leucine</w:t>
            </w:r>
          </w:p>
        </w:tc>
        <w:tc>
          <w:tcPr>
            <w:tcW w:w="1834" w:type="dxa"/>
          </w:tcPr>
          <w:p w14:paraId="125CDC33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Random Forest classifier combined with Ordinal Regression modeling</w:t>
            </w:r>
          </w:p>
        </w:tc>
        <w:tc>
          <w:tcPr>
            <w:tcW w:w="2837" w:type="dxa"/>
          </w:tcPr>
          <w:p w14:paraId="274B16B5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De novo diagnosis of pediatric IBD against symptomatic/healthy controls, phenotypic differentiation mapping (CD vs. UC), and tracking expanded disease localization (pancolitis)</w:t>
            </w:r>
          </w:p>
        </w:tc>
      </w:tr>
      <w:tr w14:paraId="6643F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8" w:hRule="atLeast"/>
        </w:trPr>
        <w:tc>
          <w:tcPr>
            <w:tcW w:w="1080" w:type="dxa"/>
          </w:tcPr>
          <w:p w14:paraId="4F76BEB3">
            <w:pPr>
              <w:rPr>
                <w:vertAlign w:val="baseline"/>
              </w:rPr>
            </w:pPr>
          </w:p>
        </w:tc>
        <w:tc>
          <w:tcPr>
            <w:tcW w:w="1500" w:type="dxa"/>
          </w:tcPr>
          <w:p w14:paraId="236841A1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Feng J et al. (2025)</w:t>
            </w:r>
          </w:p>
        </w:tc>
        <w:tc>
          <w:tcPr>
            <w:tcW w:w="1782" w:type="dxa"/>
          </w:tcPr>
          <w:p w14:paraId="4E895F04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Prospective + Cross-sectional, Public DB (UKB) &amp; Multicenter Cohorts; Adult (n=55,914) </w:t>
            </w:r>
          </w:p>
        </w:tc>
        <w:tc>
          <w:tcPr>
            <w:tcW w:w="2452" w:type="dxa"/>
          </w:tcPr>
          <w:p w14:paraId="0BB9A87E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High-throughput plasma proteomic profiles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</w:rPr>
              <w:t>; signature optimized to a 9-protein panel (dominated by CD274, CHI3L1, REG1B, ITGAV, PRSS8, ITGA11, GDF15, DEFA1_DEFA1B, and IL6)</w:t>
            </w:r>
          </w:p>
        </w:tc>
        <w:tc>
          <w:tcPr>
            <w:tcW w:w="1834" w:type="dxa"/>
          </w:tcPr>
          <w:p w14:paraId="372B2E8A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Cox Proportional Hazards Screening + eXtreme Gradient Boosting (XGBoost) computational pipeline </w:t>
            </w:r>
          </w:p>
        </w:tc>
        <w:tc>
          <w:tcPr>
            <w:tcW w:w="2837" w:type="dxa"/>
          </w:tcPr>
          <w:p w14:paraId="4507168C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Noninvasive ultra-early prediction of incident Crohn's disease (CD) risk up to 16 years prior to clinical onset and stratification of preclinical risk cohorts</w:t>
            </w:r>
          </w:p>
        </w:tc>
      </w:tr>
      <w:tr w14:paraId="1F259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7193A61F">
            <w:pPr>
              <w:rPr>
                <w:vertAlign w:val="baseline"/>
              </w:rPr>
            </w:pPr>
          </w:p>
        </w:tc>
        <w:tc>
          <w:tcPr>
            <w:tcW w:w="1500" w:type="dxa"/>
          </w:tcPr>
          <w:p w14:paraId="2CFC32C2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Li Y et al. (2022)</w:t>
            </w:r>
          </w:p>
        </w:tc>
        <w:tc>
          <w:tcPr>
            <w:tcW w:w="1782" w:type="dxa"/>
          </w:tcPr>
          <w:p w14:paraId="68133EF9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Retrospective, In-house Monocenter Cohort (Second Xiangya Hospital); Adult (n=332) </w:t>
            </w:r>
          </w:p>
        </w:tc>
        <w:tc>
          <w:tcPr>
            <w:tcW w:w="2452" w:type="dxa"/>
          </w:tcPr>
          <w:p w14:paraId="41C1065B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57 multi-dimensional clinical indicators spanning demographics, laboratory indicators (CRP, platelets, albumin), computed tomography enterography (CTE) traits (comb sign, segmental lesions), and endoscopic features</w:t>
            </w:r>
          </w:p>
        </w:tc>
        <w:tc>
          <w:tcPr>
            <w:tcW w:w="1834" w:type="dxa"/>
          </w:tcPr>
          <w:p w14:paraId="57F125DA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Ten-fold cross-validated LASSO Logistic Regression  </w:t>
            </w:r>
          </w:p>
        </w:tc>
        <w:tc>
          <w:tcPr>
            <w:tcW w:w="2837" w:type="dxa"/>
          </w:tcPr>
          <w:p w14:paraId="0DB9242C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Precise differential diagnosis between atypical Crohn's disease (UCD) and intestinal tuberculosis (ITB) to eradicate catastrophic real-world misclassification</w:t>
            </w:r>
          </w:p>
        </w:tc>
      </w:tr>
    </w:tbl>
    <w:p w14:paraId="482724DE"/>
    <w:tbl>
      <w:tblPr>
        <w:tblStyle w:val="3"/>
        <w:tblW w:w="11485" w:type="dxa"/>
        <w:tblInd w:w="-15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500"/>
        <w:gridCol w:w="1782"/>
        <w:gridCol w:w="2452"/>
        <w:gridCol w:w="1834"/>
        <w:gridCol w:w="2837"/>
      </w:tblGrid>
      <w:tr w14:paraId="7F3FA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34A48F24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Section</w:t>
            </w:r>
          </w:p>
        </w:tc>
        <w:tc>
          <w:tcPr>
            <w:tcW w:w="1500" w:type="dxa"/>
          </w:tcPr>
          <w:p w14:paraId="3CDC31A7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Study &amp; Year</w:t>
            </w:r>
          </w:p>
        </w:tc>
        <w:tc>
          <w:tcPr>
            <w:tcW w:w="1782" w:type="dxa"/>
          </w:tcPr>
          <w:p w14:paraId="01CA7D4A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Sample Size (n)</w:t>
            </w:r>
          </w:p>
        </w:tc>
        <w:tc>
          <w:tcPr>
            <w:tcW w:w="2452" w:type="dxa"/>
          </w:tcPr>
          <w:p w14:paraId="00A984D2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Data Modality / Key Predictors</w:t>
            </w:r>
          </w:p>
        </w:tc>
        <w:tc>
          <w:tcPr>
            <w:tcW w:w="1834" w:type="dxa"/>
          </w:tcPr>
          <w:p w14:paraId="4EBF8FE5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Algorithm / Model</w:t>
            </w:r>
          </w:p>
        </w:tc>
        <w:tc>
          <w:tcPr>
            <w:tcW w:w="2837" w:type="dxa"/>
          </w:tcPr>
          <w:p w14:paraId="6DB0C1C8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Clinical Endpoint &amp; Target</w:t>
            </w:r>
          </w:p>
        </w:tc>
      </w:tr>
      <w:tr w14:paraId="11F61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3FA2029F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Activity Assessment</w:t>
            </w:r>
          </w:p>
        </w:tc>
        <w:tc>
          <w:tcPr>
            <w:tcW w:w="1500" w:type="dxa"/>
          </w:tcPr>
          <w:p w14:paraId="7D455071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Dranga M et al. (2024)</w:t>
            </w:r>
          </w:p>
        </w:tc>
        <w:tc>
          <w:tcPr>
            <w:tcW w:w="1782" w:type="dxa"/>
          </w:tcPr>
          <w:p w14:paraId="62C8450D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Prospective, Observational, Single-Center Study ("Saint Spiridon" Hospital); Adult (n=98)  </w:t>
            </w:r>
          </w:p>
        </w:tc>
        <w:tc>
          <w:tcPr>
            <w:tcW w:w="2452" w:type="dxa"/>
          </w:tcPr>
          <w:p w14:paraId="0A5C8928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Multimodal laboratory and symptomatic indices; key predictors optimized to a four-dimensional panel comprising fecal calprotectin, DAIS score, fibrinogen, and platelet count</w:t>
            </w:r>
          </w:p>
        </w:tc>
        <w:tc>
          <w:tcPr>
            <w:tcW w:w="1834" w:type="dxa"/>
          </w:tcPr>
          <w:p w14:paraId="71454FCE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Multilayer Perceptron (MLP) Artificial Neural Network frameworks with SMOTE oversampling  </w:t>
            </w:r>
          </w:p>
        </w:tc>
        <w:tc>
          <w:tcPr>
            <w:tcW w:w="2837" w:type="dxa"/>
          </w:tcPr>
          <w:p w14:paraId="32A697FA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Non-invasive assessment of endoscopic disease activity (EDA) and prediction of objective mucosal remission vs. active relapse on the Mayo scale</w:t>
            </w:r>
          </w:p>
        </w:tc>
      </w:tr>
      <w:tr w14:paraId="1D5A6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50805F1D">
            <w:pPr>
              <w:rPr>
                <w:rFonts w:hint="eastAsia"/>
                <w:vertAlign w:val="baseline"/>
              </w:rPr>
            </w:pPr>
          </w:p>
        </w:tc>
        <w:tc>
          <w:tcPr>
            <w:tcW w:w="1500" w:type="dxa"/>
          </w:tcPr>
          <w:p w14:paraId="203510D6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Chen R et al. (2020)</w:t>
            </w:r>
          </w:p>
        </w:tc>
        <w:tc>
          <w:tcPr>
            <w:tcW w:w="1782" w:type="dxa"/>
          </w:tcPr>
          <w:p w14:paraId="1220E34F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Retrospective, Multicenter Collaboration Cohort (Four Chinese Referral Centers); Adult (n=882) </w:t>
            </w:r>
          </w:p>
        </w:tc>
        <w:tc>
          <w:tcPr>
            <w:tcW w:w="2452" w:type="dxa"/>
          </w:tcPr>
          <w:p w14:paraId="551F3339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Peripheral whole-blood indices from complete blood count (CBC) matrices; key derived indicator is the platelet-to-lymphocyte percentage ratio (PLpR)</w:t>
            </w:r>
          </w:p>
        </w:tc>
        <w:tc>
          <w:tcPr>
            <w:tcW w:w="1834" w:type="dxa"/>
          </w:tcPr>
          <w:p w14:paraId="5945D936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Univariate and Multivariate Logistic Regression diagnostics</w:t>
            </w:r>
          </w:p>
        </w:tc>
        <w:tc>
          <w:tcPr>
            <w:tcW w:w="2837" w:type="dxa"/>
          </w:tcPr>
          <w:p w14:paraId="38217B82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Non-invasive surveillance of endoscopic disease activity and tracking of objective endoscopic remission (ER) in patients with established CD</w:t>
            </w:r>
          </w:p>
        </w:tc>
      </w:tr>
      <w:tr w14:paraId="40FF0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10ECFCCB">
            <w:pPr>
              <w:rPr>
                <w:rFonts w:hint="eastAsia"/>
                <w:vertAlign w:val="baseline"/>
              </w:rPr>
            </w:pPr>
          </w:p>
        </w:tc>
        <w:tc>
          <w:tcPr>
            <w:tcW w:w="1500" w:type="dxa"/>
          </w:tcPr>
          <w:p w14:paraId="4447D2F5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Cesaro N et al. (2025)</w:t>
            </w:r>
          </w:p>
        </w:tc>
        <w:tc>
          <w:tcPr>
            <w:tcW w:w="1782" w:type="dxa"/>
          </w:tcPr>
          <w:p w14:paraId="1526142E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Retrospective, Observational Cross-sectional Study (University of L'Aquila Referral Center); Adult (n=173)</w:t>
            </w:r>
          </w:p>
        </w:tc>
        <w:tc>
          <w:tcPr>
            <w:tcW w:w="2452" w:type="dxa"/>
          </w:tcPr>
          <w:p w14:paraId="46306F1C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Ten heterogeneous multi-source peripheral whole-blood biomarkers and hematological cell indices; key derivative driving predictors include the Systemic Inflammation Response Index (SIRI) and Neutrophil-to-Lymphocyte Ratio (NLR)</w:t>
            </w:r>
          </w:p>
        </w:tc>
        <w:tc>
          <w:tcPr>
            <w:tcW w:w="1834" w:type="dxa"/>
          </w:tcPr>
          <w:p w14:paraId="215F69DF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Hold-out validation split + Univariate and Multivariate Receiver Operating Characteristic (ROC) curve analysis integrated with De Long's non-parametric optimization</w:t>
            </w:r>
          </w:p>
        </w:tc>
        <w:tc>
          <w:tcPr>
            <w:tcW w:w="2837" w:type="dxa"/>
          </w:tcPr>
          <w:p w14:paraId="3270FE07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Non-invasive evaluation and quantitative cutting estimation of concurrent endoscopic activity alongside deep histological inflammation activity mapping</w:t>
            </w:r>
          </w:p>
        </w:tc>
      </w:tr>
      <w:tr w14:paraId="6CB1A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49F89E04">
            <w:pPr>
              <w:rPr>
                <w:rFonts w:hint="eastAsia"/>
                <w:vertAlign w:val="baseline"/>
              </w:rPr>
            </w:pPr>
          </w:p>
        </w:tc>
        <w:tc>
          <w:tcPr>
            <w:tcW w:w="1500" w:type="dxa"/>
          </w:tcPr>
          <w:p w14:paraId="4B5B73CC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Gottlieb K et al. (2021)</w:t>
            </w:r>
          </w:p>
        </w:tc>
        <w:tc>
          <w:tcPr>
            <w:tcW w:w="1782" w:type="dxa"/>
          </w:tcPr>
          <w:p w14:paraId="68EB3EDC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Prospective, Global Multicenter Phase 2 Randomized Controlled Trial (Lilly Mirikizumab Cohort); Adult (n=249)</w:t>
            </w:r>
          </w:p>
        </w:tc>
        <w:tc>
          <w:tcPr>
            <w:tcW w:w="2452" w:type="dxa"/>
          </w:tcPr>
          <w:p w14:paraId="025A80D5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Continuous digital computer vision streaming matrices totaling 19.5 million individual image frames; key extracted predictors consist of dense pixel-level automated mucosal abnormality phenotypes</w:t>
            </w:r>
          </w:p>
        </w:tc>
        <w:tc>
          <w:tcPr>
            <w:tcW w:w="1834" w:type="dxa"/>
          </w:tcPr>
          <w:p w14:paraId="5483A20B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Convolutional Neural Networks (CNN) for video feature extraction + Recurrent Neural Network (RNN) sequence deep learning architecture</w:t>
            </w:r>
          </w:p>
        </w:tc>
        <w:tc>
          <w:tcPr>
            <w:tcW w:w="2837" w:type="dxa"/>
          </w:tcPr>
          <w:p w14:paraId="1500BA46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Automated central evaluation of full-length trial videos to predict macro-level Endoscopic Mayo Scores (eMS) and Ulcerative Colitis Endoscopic Index of Severity (UCEIS)</w:t>
            </w:r>
          </w:p>
        </w:tc>
      </w:tr>
      <w:tr w14:paraId="03235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5BDCBF83">
            <w:pPr>
              <w:rPr>
                <w:rFonts w:hint="eastAsia"/>
                <w:vertAlign w:val="baseline"/>
              </w:rPr>
            </w:pPr>
          </w:p>
        </w:tc>
        <w:tc>
          <w:tcPr>
            <w:tcW w:w="1500" w:type="dxa"/>
          </w:tcPr>
          <w:p w14:paraId="5314F7D0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Li XH et al. (2021)</w:t>
            </w:r>
          </w:p>
        </w:tc>
        <w:tc>
          <w:tcPr>
            <w:tcW w:w="1782" w:type="dxa"/>
          </w:tcPr>
          <w:p w14:paraId="29005253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Retrospective, Multicenter Consortium Study (Three Chinese Referral Centers); Adult (n=167)</w:t>
            </w:r>
          </w:p>
        </w:tc>
        <w:tc>
          <w:tcPr>
            <w:tcW w:w="2452" w:type="dxa"/>
          </w:tcPr>
          <w:p w14:paraId="44231909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Volumetric radiomic profiles and high-dimensional spatial micro-texture vectors extracted from contrast-enhanced venous-phase Computed Tomography Enterography (CTE); 4 core driving features optimized to specific wavelet-transformed busyness phenotypes</w:t>
            </w:r>
          </w:p>
        </w:tc>
        <w:tc>
          <w:tcPr>
            <w:tcW w:w="1834" w:type="dxa"/>
          </w:tcPr>
          <w:p w14:paraId="78AC5A80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Intraclass Correlation Coefficients (ICC) feature pruning + Ten-fold cross-validated LASSO feature screening combined with Logistic Regression modeling</w:t>
            </w:r>
          </w:p>
        </w:tc>
        <w:tc>
          <w:tcPr>
            <w:tcW w:w="2837" w:type="dxa"/>
          </w:tcPr>
          <w:p w14:paraId="7BC33473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Non-invasive quantitative evaluation and precise characterization of transmural intestinal fibrosis severity (none-mild vs. moderate-severe) to bypass mucosal biopsy depth limitations  </w:t>
            </w:r>
          </w:p>
        </w:tc>
      </w:tr>
      <w:tr w14:paraId="4B2B8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5E1C9E45">
            <w:pPr>
              <w:rPr>
                <w:rFonts w:hint="eastAsia"/>
                <w:vertAlign w:val="baseline"/>
              </w:rPr>
            </w:pPr>
          </w:p>
        </w:tc>
        <w:tc>
          <w:tcPr>
            <w:tcW w:w="1500" w:type="dxa"/>
          </w:tcPr>
          <w:p w14:paraId="119FF65B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Zhou Q et al. (2023)</w:t>
            </w:r>
          </w:p>
        </w:tc>
        <w:tc>
          <w:tcPr>
            <w:tcW w:w="1782" w:type="dxa"/>
          </w:tcPr>
          <w:p w14:paraId="5D4ED1CB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Retrospective, In-house Monocenter Cohort (Peking Union Medical College Hospital); Adult (n=110)</w:t>
            </w:r>
          </w:p>
        </w:tc>
        <w:tc>
          <w:tcPr>
            <w:tcW w:w="2452" w:type="dxa"/>
          </w:tcPr>
          <w:p w14:paraId="68E78D60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Multimodal noninvasive data streams including serum biomarkers (ESR, ALB) paired with quantitative Bowel Ultrasound (BUS) indices (BWT and Doppler-derived Limberg grade [LimG])</w:t>
            </w:r>
          </w:p>
        </w:tc>
        <w:tc>
          <w:tcPr>
            <w:tcW w:w="1834" w:type="dxa"/>
          </w:tcPr>
          <w:p w14:paraId="41BFFA07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Univariate predictive feature extraction + Mathematical Stepwise Multivariate Logistic Regression architectures </w:t>
            </w:r>
          </w:p>
        </w:tc>
        <w:tc>
          <w:tcPr>
            <w:tcW w:w="2837" w:type="dxa"/>
          </w:tcPr>
          <w:p w14:paraId="4EEE55F6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Dual-target noninvasive scoring (Model A &amp; B) for independent mathematical quantification of active endoscopic mucosal lesions and transmural inflammation activity</w:t>
            </w:r>
          </w:p>
        </w:tc>
      </w:tr>
      <w:tr w14:paraId="691F7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68481BF3">
            <w:pPr>
              <w:rPr>
                <w:rFonts w:hint="eastAsia"/>
                <w:vertAlign w:val="baseline"/>
              </w:rPr>
            </w:pPr>
          </w:p>
        </w:tc>
        <w:tc>
          <w:tcPr>
            <w:tcW w:w="1500" w:type="dxa"/>
          </w:tcPr>
          <w:p w14:paraId="456AA013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Guez I et al. (2022)</w:t>
            </w:r>
          </w:p>
        </w:tc>
        <w:tc>
          <w:tcPr>
            <w:tcW w:w="1782" w:type="dxa"/>
          </w:tcPr>
          <w:p w14:paraId="5447CDCA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Retrospective + Prospective, Multicenter Collaborative Study (Four International Tertiary Centers); Pediatric &amp; Young Adult (n=108)</w:t>
            </w:r>
          </w:p>
        </w:tc>
        <w:tc>
          <w:tcPr>
            <w:tcW w:w="2452" w:type="dxa"/>
          </w:tcPr>
          <w:p w14:paraId="0581C5ED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Multimodal data integration incorporating Magnetic Resonance Enterography (MRE) imaging features (e.g., wall thickness, Clermont score) and biochemical markers (fecal calprotectin, CRP, albumin)</w:t>
            </w:r>
          </w:p>
        </w:tc>
        <w:tc>
          <w:tcPr>
            <w:tcW w:w="1834" w:type="dxa"/>
          </w:tcPr>
          <w:p w14:paraId="51B2461B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Hold-out data validation partitioning + Parallel assessment of traditional Linear Regression baseline vs. multi-modal Random Forest (RF) fusion algorithms</w:t>
            </w:r>
          </w:p>
        </w:tc>
        <w:tc>
          <w:tcPr>
            <w:tcW w:w="2837" w:type="dxa"/>
          </w:tcPr>
          <w:p w14:paraId="1922C7CF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Non-invasive mathematical evaluation of ileal Crohn's disease endoscopic activity (SES-CD tracking) to substitute burdensome serial endoscopies</w:t>
            </w:r>
          </w:p>
        </w:tc>
      </w:tr>
    </w:tbl>
    <w:p w14:paraId="0288D0FF"/>
    <w:tbl>
      <w:tblPr>
        <w:tblStyle w:val="3"/>
        <w:tblW w:w="11794" w:type="dxa"/>
        <w:tblInd w:w="-1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1500"/>
        <w:gridCol w:w="1782"/>
        <w:gridCol w:w="2452"/>
        <w:gridCol w:w="1997"/>
        <w:gridCol w:w="2914"/>
      </w:tblGrid>
      <w:tr w14:paraId="0F50D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</w:tcPr>
          <w:p w14:paraId="23F1D9F5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Section</w:t>
            </w:r>
          </w:p>
        </w:tc>
        <w:tc>
          <w:tcPr>
            <w:tcW w:w="1500" w:type="dxa"/>
          </w:tcPr>
          <w:p w14:paraId="58DF3F9D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Study &amp; Year</w:t>
            </w:r>
          </w:p>
        </w:tc>
        <w:tc>
          <w:tcPr>
            <w:tcW w:w="1782" w:type="dxa"/>
          </w:tcPr>
          <w:p w14:paraId="16BDDCC1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Sample Size (n)</w:t>
            </w:r>
          </w:p>
        </w:tc>
        <w:tc>
          <w:tcPr>
            <w:tcW w:w="2452" w:type="dxa"/>
          </w:tcPr>
          <w:p w14:paraId="553A0868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Data Modality / Key Predictors</w:t>
            </w:r>
          </w:p>
        </w:tc>
        <w:tc>
          <w:tcPr>
            <w:tcW w:w="1997" w:type="dxa"/>
          </w:tcPr>
          <w:p w14:paraId="63D74B40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Algorithm / Model</w:t>
            </w:r>
          </w:p>
        </w:tc>
        <w:tc>
          <w:tcPr>
            <w:tcW w:w="2914" w:type="dxa"/>
          </w:tcPr>
          <w:p w14:paraId="059F2580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Clinical Endpoint &amp; Target</w:t>
            </w:r>
          </w:p>
        </w:tc>
      </w:tr>
      <w:tr w14:paraId="3E9C1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</w:tcPr>
          <w:p w14:paraId="2DCD75C5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Treatment Response Prediction</w:t>
            </w:r>
          </w:p>
        </w:tc>
        <w:tc>
          <w:tcPr>
            <w:tcW w:w="1500" w:type="dxa"/>
          </w:tcPr>
          <w:p w14:paraId="65E79064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Wang Y et al. (2023)</w:t>
            </w:r>
          </w:p>
        </w:tc>
        <w:tc>
          <w:tcPr>
            <w:tcW w:w="1782" w:type="dxa"/>
          </w:tcPr>
          <w:p w14:paraId="1D290B3F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Retrospective Case-Control Study (IBD Center Registry); Adult (n=256)</w:t>
            </w:r>
          </w:p>
        </w:tc>
        <w:tc>
          <w:tcPr>
            <w:tcW w:w="2452" w:type="dxa"/>
          </w:tcPr>
          <w:p w14:paraId="4DBA1F54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Multimodal histology-clinical fusion data; including mucosal mucus barrier function index (goblet cells [GCs] area, MUC2 intensity, and SLC26A3 channel levels) integrated with standard baseline metrics (hemoglobin, Mayo score, disease duration)</w:t>
            </w:r>
          </w:p>
        </w:tc>
        <w:tc>
          <w:tcPr>
            <w:tcW w:w="1997" w:type="dxa"/>
          </w:tcPr>
          <w:p w14:paraId="2E9E4AA6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Chi-square &amp; Log-rank statistical pre-screening + Mathematical Backward Stepwise Logistic Regression selection &amp; Multi-timeframe Cox proportional hazards validation</w:t>
            </w:r>
          </w:p>
        </w:tc>
        <w:tc>
          <w:tcPr>
            <w:tcW w:w="2914" w:type="dxa"/>
          </w:tcPr>
          <w:p w14:paraId="013A3B52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Dual-endpoint predictive nomograms for personalized mathematical estimation of overall therapeutic failure (TF) incidence and long-term hard colectomy survival rates</w:t>
            </w:r>
          </w:p>
        </w:tc>
      </w:tr>
      <w:tr w14:paraId="74C2E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</w:tcPr>
          <w:p w14:paraId="71319443">
            <w:pPr>
              <w:rPr>
                <w:rFonts w:hint="eastAsia"/>
                <w:vertAlign w:val="baseline"/>
              </w:rPr>
            </w:pPr>
          </w:p>
        </w:tc>
        <w:tc>
          <w:tcPr>
            <w:tcW w:w="1500" w:type="dxa"/>
          </w:tcPr>
          <w:p w14:paraId="77FBFABC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Morikubo H et al. (2024)</w:t>
            </w:r>
          </w:p>
        </w:tc>
        <w:tc>
          <w:tcPr>
            <w:tcW w:w="1782" w:type="dxa"/>
          </w:tcPr>
          <w:p w14:paraId="51A8D2A2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Retrospective, Multicenter Collaborative Study (Keio University &amp; Affiliated Hospitals Network); Adult (n=103)</w:t>
            </w:r>
          </w:p>
        </w:tc>
        <w:tc>
          <w:tcPr>
            <w:tcW w:w="2452" w:type="dxa"/>
          </w:tcPr>
          <w:p w14:paraId="7FB05A86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Heterogeneous multimodal clinical baseline vectors; encompassing background demographics (height), disease indices (Lichtiger index, partial Mayo score), and peripheral serological counts (Alb, monocytes, MCV, TP, WBC, MCHC, CRP)</w:t>
            </w:r>
          </w:p>
        </w:tc>
        <w:tc>
          <w:tcPr>
            <w:tcW w:w="1997" w:type="dxa"/>
          </w:tcPr>
          <w:p w14:paraId="6DDA5979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Random Forest (RF) Gini-impurity feature permutation selection + Retrained Support Vector Machine (SVM), Random Forest (RF), LightGBM, and Logistic Regression algorithms validated via stratified Five-fold Cross-validation</w:t>
            </w:r>
          </w:p>
        </w:tc>
        <w:tc>
          <w:tcPr>
            <w:tcW w:w="2914" w:type="dxa"/>
          </w:tcPr>
          <w:p w14:paraId="71F65B07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Pre-treatment noninvasive prediction of medium-term targeted biological response (steroid-free clinical remission at 6 months) specific to Ustekinumab therapy</w:t>
            </w:r>
          </w:p>
        </w:tc>
      </w:tr>
      <w:tr w14:paraId="76387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</w:tcPr>
          <w:p w14:paraId="7A54D3FD">
            <w:pPr>
              <w:rPr>
                <w:rFonts w:hint="eastAsia"/>
                <w:vertAlign w:val="baseline"/>
              </w:rPr>
            </w:pPr>
          </w:p>
        </w:tc>
        <w:tc>
          <w:tcPr>
            <w:tcW w:w="1500" w:type="dxa"/>
          </w:tcPr>
          <w:p w14:paraId="39B9AAE1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Stevens TW et al. (2021)</w:t>
            </w:r>
          </w:p>
        </w:tc>
        <w:tc>
          <w:tcPr>
            <w:tcW w:w="1782" w:type="dxa"/>
          </w:tcPr>
          <w:p w14:paraId="7E313EBA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Post-hoc Analysis of a Multicenter Randomized Controlled Phase 4 Drug Trial (MOMENTUM Cohort); Adult (n=144)</w:t>
            </w:r>
          </w:p>
        </w:tc>
        <w:tc>
          <w:tcPr>
            <w:tcW w:w="2452" w:type="dxa"/>
          </w:tcPr>
          <w:p w14:paraId="3DE73BB3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Dynamic longitudinal fecal biomarker trajectories; optimized specifically to fecal calprotectin (FC) metrics collected tracking from baseline up to week 8 (W8) of active therapy</w:t>
            </w:r>
          </w:p>
        </w:tc>
        <w:tc>
          <w:tcPr>
            <w:tcW w:w="1997" w:type="dxa"/>
          </w:tcPr>
          <w:p w14:paraId="4758C96E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Non-parametric Wilcoxon signed-rank screening coupled with Multivariate Stepwise Binary Logistic Regression models</w:t>
            </w:r>
          </w:p>
        </w:tc>
        <w:tc>
          <w:tcPr>
            <w:tcW w:w="2914" w:type="dxa"/>
          </w:tcPr>
          <w:p w14:paraId="479E7B01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Post-induction prediction of long-term histological inflammation clearance and mathematical estimation of subsequent 12-month clinical relapse-free outcomes</w:t>
            </w:r>
          </w:p>
        </w:tc>
      </w:tr>
      <w:tr w14:paraId="0C893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</w:tcPr>
          <w:p w14:paraId="0AF03805">
            <w:pPr>
              <w:rPr>
                <w:rFonts w:hint="eastAsia"/>
                <w:vertAlign w:val="baseline"/>
              </w:rPr>
            </w:pPr>
          </w:p>
        </w:tc>
        <w:tc>
          <w:tcPr>
            <w:tcW w:w="1500" w:type="dxa"/>
          </w:tcPr>
          <w:p w14:paraId="4441D8CD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Caenepeel C et al. (2024)</w:t>
            </w:r>
          </w:p>
        </w:tc>
        <w:tc>
          <w:tcPr>
            <w:tcW w:w="1782" w:type="dxa"/>
          </w:tcPr>
          <w:p w14:paraId="131CECA1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Prospective Multicenter Longitudinal Cohort Study (University Hospitals Leuven Network); Adult (n=296)</w:t>
            </w:r>
          </w:p>
        </w:tc>
        <w:tc>
          <w:tcPr>
            <w:tcW w:w="2452" w:type="dxa"/>
          </w:tcPr>
          <w:p w14:paraId="6269969E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Multimodal quantitative microbiome-clinical fingerprinted metrics; including baseline flow-cytometry bacterial cell counts (microbial load), stool moisture content, and fecal calprotectin fused with Bacteroides2 (Bact2) dysbiotic enterotyping</w:t>
            </w:r>
          </w:p>
        </w:tc>
        <w:tc>
          <w:tcPr>
            <w:tcW w:w="1997" w:type="dxa"/>
          </w:tcPr>
          <w:p w14:paraId="540D4F14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</w:rPr>
              <w:t>Stepwise distance-based redundancy analysis (dbRDA) multi-omic screening + Mathematical Multivariate Logistic Regression classifiers</w:t>
            </w:r>
          </w:p>
        </w:tc>
        <w:tc>
          <w:tcPr>
            <w:tcW w:w="2914" w:type="dxa"/>
          </w:tcPr>
          <w:p w14:paraId="685B5AB0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Therapy-specific pre-treatment noninvasive modeling to differential map endoscopic remission outcomes across parallel Anti-TNF-</w:t>
            </w:r>
            <w:r>
              <w:rPr>
                <w:rFonts w:hint="eastAsia"/>
                <w:vertAlign w:val="baseline"/>
                <w:lang w:val="en-US" w:eastAsia="zh-CN"/>
              </w:rPr>
              <w:t>α,</w:t>
            </w:r>
            <w:r>
              <w:rPr>
                <w:rFonts w:hint="eastAsia"/>
                <w:vertAlign w:val="baseline"/>
              </w:rPr>
              <w:t>Vedolizumab, and Ustekinumab lines</w:t>
            </w:r>
          </w:p>
        </w:tc>
      </w:tr>
      <w:tr w14:paraId="01A65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</w:tcPr>
          <w:p w14:paraId="6F1FACC4">
            <w:pPr>
              <w:rPr>
                <w:rFonts w:hint="eastAsia"/>
                <w:vertAlign w:val="baseline"/>
              </w:rPr>
            </w:pPr>
          </w:p>
        </w:tc>
        <w:tc>
          <w:tcPr>
            <w:tcW w:w="1500" w:type="dxa"/>
          </w:tcPr>
          <w:p w14:paraId="4D98FCBB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Zhang CB et al. (2021)</w:t>
            </w:r>
          </w:p>
        </w:tc>
        <w:tc>
          <w:tcPr>
            <w:tcW w:w="1782" w:type="dxa"/>
          </w:tcPr>
          <w:p w14:paraId="1AE48C8D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Retrospective Case-Control Study (Sun Yat-sen University Referral Network); Adult (n=197)</w:t>
            </w:r>
          </w:p>
        </w:tc>
        <w:tc>
          <w:tcPr>
            <w:tcW w:w="2452" w:type="dxa"/>
          </w:tcPr>
          <w:p w14:paraId="02AA28BD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Host genomic polymorphism vectors; prioritized to 3 core susceptibility single-nucleotide polymorphisms (SNPs): C1orf106 (rs339805), IL1RN (rs4251961), and IL10 (rs1800896) coupled with clinical baseline metrics</w:t>
            </w:r>
          </w:p>
        </w:tc>
        <w:tc>
          <w:tcPr>
            <w:tcW w:w="1997" w:type="dxa"/>
          </w:tcPr>
          <w:p w14:paraId="07FC61F2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Allelic Frequency Weighting combined with Mathematical Stepwise Multivariate Logistic Regression</w:t>
            </w:r>
          </w:p>
        </w:tc>
        <w:tc>
          <w:tcPr>
            <w:tcW w:w="2914" w:type="dxa"/>
          </w:tcPr>
          <w:p w14:paraId="216AE601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Pre-treatment pharmacogenomic prediction of primary non-response (PNR) risk to Infliximab (IFX) induction therapy to eliminate wasteful anti-TNF-</w:t>
            </w:r>
            <w:r>
              <w:rPr>
                <w:rFonts w:hint="eastAsia"/>
                <w:vertAlign w:val="baseline"/>
                <w:lang w:val="en-US" w:eastAsia="zh-CN"/>
              </w:rPr>
              <w:t>α</w:t>
            </w:r>
            <w:r>
              <w:rPr>
                <w:rFonts w:hint="eastAsia"/>
                <w:vertAlign w:val="baseline"/>
              </w:rPr>
              <w:t xml:space="preserve"> therapeutic trials</w:t>
            </w:r>
          </w:p>
        </w:tc>
      </w:tr>
    </w:tbl>
    <w:p w14:paraId="4594BB0A"/>
    <w:tbl>
      <w:tblPr>
        <w:tblStyle w:val="3"/>
        <w:tblW w:w="11794" w:type="dxa"/>
        <w:tblInd w:w="-1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1500"/>
        <w:gridCol w:w="1782"/>
        <w:gridCol w:w="2452"/>
        <w:gridCol w:w="1997"/>
        <w:gridCol w:w="2914"/>
      </w:tblGrid>
      <w:tr w14:paraId="44B53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</w:tcPr>
          <w:p w14:paraId="46298924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Section</w:t>
            </w:r>
          </w:p>
        </w:tc>
        <w:tc>
          <w:tcPr>
            <w:tcW w:w="1500" w:type="dxa"/>
          </w:tcPr>
          <w:p w14:paraId="22DCF0EF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Study &amp; Year</w:t>
            </w:r>
          </w:p>
        </w:tc>
        <w:tc>
          <w:tcPr>
            <w:tcW w:w="1782" w:type="dxa"/>
          </w:tcPr>
          <w:p w14:paraId="56BF1802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Sample Size (n)</w:t>
            </w:r>
          </w:p>
        </w:tc>
        <w:tc>
          <w:tcPr>
            <w:tcW w:w="2452" w:type="dxa"/>
          </w:tcPr>
          <w:p w14:paraId="4A185F18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Data Modality / Key Predictors</w:t>
            </w:r>
          </w:p>
        </w:tc>
        <w:tc>
          <w:tcPr>
            <w:tcW w:w="1997" w:type="dxa"/>
          </w:tcPr>
          <w:p w14:paraId="7F4E5435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Algorithm / Model</w:t>
            </w:r>
          </w:p>
        </w:tc>
        <w:tc>
          <w:tcPr>
            <w:tcW w:w="2914" w:type="dxa"/>
          </w:tcPr>
          <w:p w14:paraId="53E6A501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Clinical Endpoint &amp; Target</w:t>
            </w:r>
          </w:p>
        </w:tc>
      </w:tr>
      <w:tr w14:paraId="143D3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</w:tcPr>
          <w:p w14:paraId="41848950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Prognosis &amp; Complication Prediction</w:t>
            </w:r>
          </w:p>
        </w:tc>
        <w:tc>
          <w:tcPr>
            <w:tcW w:w="1500" w:type="dxa"/>
          </w:tcPr>
          <w:p w14:paraId="1CECE163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Pang W et al. (2023)</w:t>
            </w:r>
          </w:p>
        </w:tc>
        <w:tc>
          <w:tcPr>
            <w:tcW w:w="1782" w:type="dxa"/>
          </w:tcPr>
          <w:p w14:paraId="43D74790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Retrospective Cohort Study (Tianjin Union Medical Center Registry); Adult (n=292)</w:t>
            </w:r>
          </w:p>
        </w:tc>
        <w:tc>
          <w:tcPr>
            <w:tcW w:w="2452" w:type="dxa"/>
          </w:tcPr>
          <w:p w14:paraId="54C51C2D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Heterogeneous multi-source baseline blood profiles gathered at hospital discharge; key derived driving predictors include serum albumin (Alb), platelet count (PLT), fibrinogen (FIB), and immunoglobulin G (IgG) levels</w:t>
            </w:r>
          </w:p>
        </w:tc>
        <w:tc>
          <w:tcPr>
            <w:tcW w:w="1997" w:type="dxa"/>
          </w:tcPr>
          <w:p w14:paraId="4E0685CE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Parallel algorithm cross-benchmarking; comparing Logistic Regression, Decision Tree (DT), and Multi-layer Perceptron Neural Network (MLP-NN) frameworks against an optimized Random Forest (RF) classifier integrated with graphical nomogram plotting</w:t>
            </w:r>
          </w:p>
        </w:tc>
        <w:tc>
          <w:tcPr>
            <w:tcW w:w="2914" w:type="dxa"/>
          </w:tcPr>
          <w:p w14:paraId="2C47EDE5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Multi-classifier evaluation and non-invasive pre-discharge mathematical forecasting of long-term clinical relapse risk in patients with ulcerative colitis (UC)</w:t>
            </w:r>
          </w:p>
        </w:tc>
      </w:tr>
      <w:tr w14:paraId="0C9C6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</w:tcPr>
          <w:p w14:paraId="11CD039B">
            <w:pPr>
              <w:rPr>
                <w:rFonts w:hint="eastAsia"/>
                <w:vertAlign w:val="baseline"/>
              </w:rPr>
            </w:pPr>
          </w:p>
        </w:tc>
        <w:tc>
          <w:tcPr>
            <w:tcW w:w="1500" w:type="dxa"/>
          </w:tcPr>
          <w:p w14:paraId="257A90D7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Zhou G et al. (2022)</w:t>
            </w:r>
          </w:p>
        </w:tc>
        <w:tc>
          <w:tcPr>
            <w:tcW w:w="1782" w:type="dxa"/>
          </w:tcPr>
          <w:p w14:paraId="10C18E84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</w:t>
            </w:r>
            <w:r>
              <w:rPr>
                <w:rFonts w:hint="eastAsia"/>
                <w:vertAlign w:val="baseline"/>
              </w:rPr>
              <w:t>etrospective Cohort Study (First Affiliated Hospital, Sun Yat-sen University); Adult (n=219)</w:t>
            </w:r>
          </w:p>
        </w:tc>
        <w:tc>
          <w:tcPr>
            <w:tcW w:w="2452" w:type="dxa"/>
          </w:tcPr>
          <w:p w14:paraId="60B1AF6B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Multimodal non-invasive blood and serum biochemical biomarker arrays; 30 baseline candidate parameters minimized to a 3-feature optimized driving panel comprising C-reactive protein (CRP), platelet count (PLT), and serum total protein (TP)</w:t>
            </w:r>
          </w:p>
        </w:tc>
        <w:tc>
          <w:tcPr>
            <w:tcW w:w="1997" w:type="dxa"/>
          </w:tcPr>
          <w:p w14:paraId="19710683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Univariate predictive distribution feature screening + Multivariate Binary Logistic Regression modeling </w:t>
            </w:r>
          </w:p>
        </w:tc>
        <w:tc>
          <w:tcPr>
            <w:tcW w:w="2914" w:type="dxa"/>
          </w:tcPr>
          <w:p w14:paraId="333D5A14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Non-invasive mathematical tracking of early post-operative endoscopic recurrence risk </w:t>
            </w:r>
          </w:p>
        </w:tc>
      </w:tr>
      <w:tr w14:paraId="55B0C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</w:tcPr>
          <w:p w14:paraId="68CBFA80">
            <w:pPr>
              <w:rPr>
                <w:rFonts w:hint="eastAsia"/>
                <w:vertAlign w:val="baseline"/>
              </w:rPr>
            </w:pPr>
          </w:p>
        </w:tc>
        <w:tc>
          <w:tcPr>
            <w:tcW w:w="1500" w:type="dxa"/>
          </w:tcPr>
          <w:p w14:paraId="2A8DA7FD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Chen R et al. (2023)</w:t>
            </w:r>
          </w:p>
        </w:tc>
        <w:tc>
          <w:tcPr>
            <w:tcW w:w="1782" w:type="dxa"/>
          </w:tcPr>
          <w:p w14:paraId="4ACFFFA6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Post-hoc Analysis of a Multicenter Randomized Controlled Phase 3 Trial (UNIFI Trial Cohort); Adult (n=637)</w:t>
            </w:r>
          </w:p>
        </w:tc>
        <w:tc>
          <w:tcPr>
            <w:tcW w:w="2452" w:type="dxa"/>
          </w:tcPr>
          <w:p w14:paraId="62F13903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Dynamic longitudinal fecal and serological biomarker trajectories; combining serial fecal lactoferrin (FL), fecal calprotectin (FC), and serum C-reactive protein (CRP) matrices captured at weeks 0, 2, 4, and 8</w:t>
            </w:r>
          </w:p>
        </w:tc>
        <w:tc>
          <w:tcPr>
            <w:tcW w:w="1997" w:type="dxa"/>
          </w:tcPr>
          <w:p w14:paraId="1B0AE81A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Latent Class Growth Mixed Modeling (LCGMM) with polynomial optimization + Multivariate Logistic Regression</w:t>
            </w:r>
          </w:p>
        </w:tc>
        <w:tc>
          <w:tcPr>
            <w:tcW w:w="2914" w:type="dxa"/>
          </w:tcPr>
          <w:p w14:paraId="7FD089ED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Pre-maintenance non-invasive mathematical projection of long-term 1-year endoscopic remission (EMS = 0), clinical remission, and deep histological tissue resolution</w:t>
            </w:r>
          </w:p>
        </w:tc>
      </w:tr>
      <w:tr w14:paraId="1D076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</w:tcPr>
          <w:p w14:paraId="3E783F83">
            <w:pPr>
              <w:rPr>
                <w:rFonts w:hint="eastAsia"/>
                <w:vertAlign w:val="baseline"/>
              </w:rPr>
            </w:pPr>
          </w:p>
        </w:tc>
        <w:tc>
          <w:tcPr>
            <w:tcW w:w="1500" w:type="dxa"/>
          </w:tcPr>
          <w:p w14:paraId="58C202E0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Li XH et al. (2023)</w:t>
            </w:r>
          </w:p>
        </w:tc>
        <w:tc>
          <w:tcPr>
            <w:tcW w:w="1782" w:type="dxa"/>
          </w:tcPr>
          <w:p w14:paraId="170EDABB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Retrospective Multicenter Consortium Validation (Three Referral Centers); Adult (n=256)</w:t>
            </w:r>
          </w:p>
        </w:tc>
        <w:tc>
          <w:tcPr>
            <w:tcW w:w="2452" w:type="dxa"/>
          </w:tcPr>
          <w:p w14:paraId="4C6CE6F7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Volumetric radiomic descriptors derived from plain Computed Tomography (CT) examinations; 1,130 adipose features minimized to a 36-feature signature encompassing whole abdominal Visceral Adipose Tissue (VAT) geometry</w:t>
            </w:r>
          </w:p>
        </w:tc>
        <w:tc>
          <w:tcPr>
            <w:tcW w:w="1997" w:type="dxa"/>
          </w:tcPr>
          <w:p w14:paraId="1C7F2253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Intraclass Correlation Coefficients (ICC 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 xml:space="preserve">0.8) feature pruning + LASSO coefficient screening coupled with a grid-searched Support Vector Machine (SVM) classifier </w:t>
            </w:r>
          </w:p>
        </w:tc>
        <w:tc>
          <w:tcPr>
            <w:tcW w:w="2914" w:type="dxa"/>
          </w:tcPr>
          <w:p w14:paraId="4883EBAD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Long-term pre-treatment forecasting of disease progression-free survival (intercepting strictures, penetrating fistula/abscess, or hard Crohn's disease-related surgery history)</w:t>
            </w:r>
          </w:p>
        </w:tc>
      </w:tr>
      <w:tr w14:paraId="0629A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</w:tcPr>
          <w:p w14:paraId="7EF1A2CE">
            <w:pPr>
              <w:rPr>
                <w:rFonts w:hint="eastAsia"/>
                <w:vertAlign w:val="baseline"/>
              </w:rPr>
            </w:pPr>
          </w:p>
        </w:tc>
        <w:tc>
          <w:tcPr>
            <w:tcW w:w="1500" w:type="dxa"/>
          </w:tcPr>
          <w:p w14:paraId="7191668F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Inoue A et al. (2022)</w:t>
            </w:r>
          </w:p>
        </w:tc>
        <w:tc>
          <w:tcPr>
            <w:tcW w:w="1782" w:type="dxa"/>
          </w:tcPr>
          <w:p w14:paraId="7B78D125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Retrospective Multicenter Collaborative Study (Mayo Clinic &amp; Cleveland Clinic Network); Adult (n=177)</w:t>
            </w:r>
          </w:p>
        </w:tc>
        <w:tc>
          <w:tcPr>
            <w:tcW w:w="2452" w:type="dxa"/>
          </w:tcPr>
          <w:p w14:paraId="3BBC7B07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Cross-sectional cross-modality radiographic parameters derived via Computed Tomography Enterography (CTE) or Magnetic Resonance Enterography (MRE); key derived algorithmic drivers include maximum wall thickness, stricture length, and proximal bowel dilation (PBD) diameter</w:t>
            </w:r>
          </w:p>
        </w:tc>
        <w:tc>
          <w:tcPr>
            <w:tcW w:w="1997" w:type="dxa"/>
          </w:tcPr>
          <w:p w14:paraId="4C48EE2F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LASSO penalization selection + Mathematical Multivariate Logistic Regression classifiers paired with continuous Kaplan-Meier longitudinal survival risk-stratification</w:t>
            </w:r>
          </w:p>
        </w:tc>
        <w:tc>
          <w:tcPr>
            <w:tcW w:w="2914" w:type="dxa"/>
          </w:tcPr>
          <w:p w14:paraId="51C993C4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Non-invasive pre-treatment evaluation of 1-year macro-level bowel surgery failure rates and risk scoring specific to symptomatic small bowel Crohn's disease strictures</w:t>
            </w:r>
          </w:p>
        </w:tc>
      </w:tr>
      <w:tr w14:paraId="4BB62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</w:tcPr>
          <w:p w14:paraId="5CF25088">
            <w:pPr>
              <w:rPr>
                <w:rFonts w:hint="eastAsia"/>
                <w:vertAlign w:val="baseline"/>
              </w:rPr>
            </w:pPr>
          </w:p>
        </w:tc>
        <w:tc>
          <w:tcPr>
            <w:tcW w:w="1500" w:type="dxa"/>
          </w:tcPr>
          <w:p w14:paraId="26C572A4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Chen KA et al. (2024)</w:t>
            </w:r>
          </w:p>
        </w:tc>
        <w:tc>
          <w:tcPr>
            <w:tcW w:w="1782" w:type="dxa"/>
          </w:tcPr>
          <w:p w14:paraId="37CB7909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Retrospective Longitudinal Cohort Study (UNC Multicenter Biobank); Pediatric &amp; Adolescent (n=101)</w:t>
            </w:r>
          </w:p>
        </w:tc>
        <w:tc>
          <w:tcPr>
            <w:tcW w:w="2452" w:type="dxa"/>
          </w:tcPr>
          <w:p w14:paraId="4264EF18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High-throughput mucosal transcriptomic profiling derived from formalin-fixed paraffin-embedded (FFPE) biopsies; capturing whole-genome RNA sequencing (RNA-seq) matrices customized to specific colonic and ileal gene expression signature clusters</w:t>
            </w:r>
          </w:p>
        </w:tc>
        <w:tc>
          <w:tcPr>
            <w:tcW w:w="1997" w:type="dxa"/>
          </w:tcPr>
          <w:p w14:paraId="70B856E7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Parallel testing across Support Vector Machine (SVM), Random Forest (RF), and eXtreme Gradient Boosting (XGBoost) machine learning architectures under Grid-searched Cross-validation</w:t>
            </w:r>
          </w:p>
        </w:tc>
        <w:tc>
          <w:tcPr>
            <w:tcW w:w="2914" w:type="dxa"/>
          </w:tcPr>
          <w:p w14:paraId="5B2E3B59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Long-term longitudinal risk projection of developing severe disabling clinical phenotypes (stratifying structural bowel strictures, penetrating fistulas, or future bowel-directed resection surgery)</w:t>
            </w:r>
          </w:p>
        </w:tc>
      </w:tr>
    </w:tbl>
    <w:p w14:paraId="62591EB3"/>
    <w:tbl>
      <w:tblPr>
        <w:tblStyle w:val="3"/>
        <w:tblW w:w="11794" w:type="dxa"/>
        <w:tblInd w:w="-1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1500"/>
        <w:gridCol w:w="1782"/>
        <w:gridCol w:w="2452"/>
        <w:gridCol w:w="1997"/>
        <w:gridCol w:w="2914"/>
      </w:tblGrid>
      <w:tr w14:paraId="24116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</w:tcPr>
          <w:p w14:paraId="141D0F59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Section</w:t>
            </w:r>
          </w:p>
        </w:tc>
        <w:tc>
          <w:tcPr>
            <w:tcW w:w="1500" w:type="dxa"/>
          </w:tcPr>
          <w:p w14:paraId="674EBAA4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Study &amp; Year</w:t>
            </w:r>
          </w:p>
        </w:tc>
        <w:tc>
          <w:tcPr>
            <w:tcW w:w="1782" w:type="dxa"/>
          </w:tcPr>
          <w:p w14:paraId="2CACDB0B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Sample Size (n)</w:t>
            </w:r>
          </w:p>
        </w:tc>
        <w:tc>
          <w:tcPr>
            <w:tcW w:w="2452" w:type="dxa"/>
          </w:tcPr>
          <w:p w14:paraId="42201978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Data Modality / Key Predictors</w:t>
            </w:r>
          </w:p>
        </w:tc>
        <w:tc>
          <w:tcPr>
            <w:tcW w:w="1997" w:type="dxa"/>
          </w:tcPr>
          <w:p w14:paraId="4CE7F8BF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Algorithm / Model</w:t>
            </w:r>
          </w:p>
        </w:tc>
        <w:tc>
          <w:tcPr>
            <w:tcW w:w="2914" w:type="dxa"/>
          </w:tcPr>
          <w:p w14:paraId="445BF19C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Clinical Endpoint &amp; Target</w:t>
            </w:r>
          </w:p>
        </w:tc>
      </w:tr>
      <w:tr w14:paraId="435F1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2" w:hRule="atLeast"/>
        </w:trPr>
        <w:tc>
          <w:tcPr>
            <w:tcW w:w="1149" w:type="dxa"/>
          </w:tcPr>
          <w:p w14:paraId="580A339B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Other Predictive Models</w:t>
            </w:r>
          </w:p>
        </w:tc>
        <w:tc>
          <w:tcPr>
            <w:tcW w:w="1500" w:type="dxa"/>
          </w:tcPr>
          <w:p w14:paraId="17C835E5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Zhang J et al. (2024)</w:t>
            </w:r>
          </w:p>
        </w:tc>
        <w:tc>
          <w:tcPr>
            <w:tcW w:w="1782" w:type="dxa"/>
          </w:tcPr>
          <w:p w14:paraId="3027FD23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Prospective Cross-sectional Multicenter Study (CMA IBD Psychology Club Network); Adult (n=1,424)</w:t>
            </w:r>
          </w:p>
        </w:tc>
        <w:tc>
          <w:tcPr>
            <w:tcW w:w="2452" w:type="dxa"/>
          </w:tcPr>
          <w:p w14:paraId="7F63856B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Multimodal psychoneuroimmunology matrices; combining socio-demographics, clinical phenotypes (CD vs. UC), and standardized neuro-psychiatric metrics spanning PHQ-9 (depression) and GAD-7 (anxiety) frameworks</w:t>
            </w:r>
          </w:p>
        </w:tc>
        <w:tc>
          <w:tcPr>
            <w:tcW w:w="1997" w:type="dxa"/>
          </w:tcPr>
          <w:p w14:paraId="2E9C595C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Univariate distribution stratification + Backward Stepwise Multivariate Linear Regression algorithms </w:t>
            </w:r>
          </w:p>
        </w:tc>
        <w:tc>
          <w:tcPr>
            <w:tcW w:w="2914" w:type="dxa"/>
          </w:tcPr>
          <w:p w14:paraId="2C4542E8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Quantitative mathematical projection of health-related quality of life deterioration (failing IBDQ thresholds) driven by comorbid sub-clinical psychiatric burdens</w:t>
            </w:r>
          </w:p>
        </w:tc>
      </w:tr>
    </w:tbl>
    <w:p w14:paraId="182DBD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647F37"/>
    <w:rsid w:val="00F04498"/>
    <w:rsid w:val="08C109E5"/>
    <w:rsid w:val="22260BC4"/>
    <w:rsid w:val="38E2555F"/>
    <w:rsid w:val="39777F17"/>
    <w:rsid w:val="4DFC67D6"/>
    <w:rsid w:val="65647F37"/>
    <w:rsid w:val="6C69533C"/>
    <w:rsid w:val="6F4C2327"/>
    <w:rsid w:val="7747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2176</Words>
  <Characters>15838</Characters>
  <Lines>0</Lines>
  <Paragraphs>0</Paragraphs>
  <TotalTime>22</TotalTime>
  <ScaleCrop>false</ScaleCrop>
  <LinksUpToDate>false</LinksUpToDate>
  <CharactersWithSpaces>17857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2026-06-08T11:42:00Z</dcterms:created>
  <dc:creator>陈薛心怡</dc:creator>
  <cp:lastModifiedBy>陈薛心怡</cp:lastModifiedBy>
  <dcterms:modified xsi:type="dcterms:W3CDTF">2026-07-20T15:29:20Z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38EB7935776642BEA653065F746E1911_13</vt:lpwstr>
  </property>
  <property fmtid="{D5CDD505-2E9C-101B-9397-08002B2CF9AE}" pid="4" name="KSOTemplateDocerSaveRecord">
    <vt:lpwstr>eyJoZGlkIjoiMGVjZTQzM2E0ZGJjZTM2NmUwYjBiY2U1OWI5ODc4NGEiLCJ1c2VySWQiOiI2NjE4NDI3NjMifQ==</vt:lpwstr>
  </property>
</Properties>
</file>