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5EBEC" w14:textId="5749DD68" w:rsidR="00AB2A06" w:rsidRPr="00E54095" w:rsidRDefault="00AB2A06" w:rsidP="00E54095">
      <w:pPr>
        <w:spacing w:after="0" w:line="480" w:lineRule="auto"/>
        <w:jc w:val="both"/>
        <w:rPr>
          <w:b/>
          <w:bCs/>
        </w:rPr>
      </w:pPr>
      <w:r w:rsidRPr="00E54095">
        <w:rPr>
          <w:b/>
          <w:bCs/>
        </w:rPr>
        <w:t>Calibration</w:t>
      </w:r>
      <w:r w:rsidR="00E54095" w:rsidRPr="00E54095">
        <w:rPr>
          <w:b/>
          <w:bCs/>
        </w:rPr>
        <w:t xml:space="preserve"> analysis</w:t>
      </w:r>
    </w:p>
    <w:p w14:paraId="04ACAD10" w14:textId="6961A8DA" w:rsidR="00AB2A06" w:rsidRDefault="00AB2A06" w:rsidP="00E54095">
      <w:pPr>
        <w:spacing w:after="0" w:line="480" w:lineRule="auto"/>
        <w:jc w:val="both"/>
      </w:pPr>
      <w:r>
        <w:t>Calibration refers to the agreement between the probabilities predicted by a model and the empirically observed outcome rates. In this study, calibration was used to evaluate how closely the model-predicted probability of completing Pelvic Floor Muscle Training (PFMT) aligned with the actual proportion of patients who completed PFMT. For example, in a patient group where the model predicts an approximate 70% probability of completing PFMT, a well-calibrated model is expected to show an actual completion rate of roughly 70%. Therefore, calibration complements discrimination metrics such as the ROC-AUC; it demonstrates not only whether the model can successfully distinguish between patients who complete PFMT and those who do not, but also how reliable its generated probability estimates are.</w:t>
      </w:r>
    </w:p>
    <w:p w14:paraId="6906C200" w14:textId="3F84C0A3" w:rsidR="00AB2A06" w:rsidRDefault="00AB2A06" w:rsidP="00E54095">
      <w:pPr>
        <w:spacing w:after="0" w:line="480" w:lineRule="auto"/>
        <w:jc w:val="both"/>
      </w:pPr>
      <w:r>
        <w:t xml:space="preserve">In this study, calibration analysis was performed on the independent test set using the predicted probabilities of PFMT completion. Calibration curves were generated by grouping patients into five probability bins based on their predicted PFMT completion </w:t>
      </w:r>
      <w:r w:rsidR="00E54095">
        <w:t>probabilities and</w:t>
      </w:r>
      <w:r>
        <w:t xml:space="preserve"> comparing the mean predicted probability with the observed PFMT completion rate within each bin. Given that the independent test set comprised 75 patients, five probability bins were used to mitigate instability arising from small subgroup sizes. The ideal calibration line represents a perfect concordance between predicted and observed probabilities. In addition to visual assessment, the Brier score and expected calibration error (ECE) were calculated to quantitatively evaluate the accuracy of the probability estimates. Due to the limited sample size of the test set, the calibration findings were interpreted descriptively.</w:t>
      </w:r>
    </w:p>
    <w:p w14:paraId="09FAA0BF" w14:textId="1B6E19B7" w:rsidR="00AB2A06" w:rsidRDefault="00AB2A06" w:rsidP="00E54095">
      <w:pPr>
        <w:spacing w:after="0" w:line="480" w:lineRule="auto"/>
        <w:jc w:val="both"/>
      </w:pPr>
      <w:r>
        <w:t xml:space="preserve">The calibration analysis was conducted to assess the extent to which the models' predicted probabilities of PFMT completion agreed with the actual PFMT completion rates observed in the test set. In this analysis, patients were stratified into five probability bins based on the model-predicted PFMT completion probabilities, and the mean predicted probability was compared against the observed PFMT completion rate in each bin. Because the independent </w:t>
      </w:r>
      <w:r>
        <w:lastRenderedPageBreak/>
        <w:t>test set consisted of 75 patients, calibration curves were interpreted descriptively, and a limited number of probability bins were used to reduce instability caused by small subgroups.</w:t>
      </w:r>
    </w:p>
    <w:p w14:paraId="6EF5661F" w14:textId="77777777" w:rsidR="00AB2A06" w:rsidRPr="00E54095" w:rsidRDefault="00AB2A06" w:rsidP="00E54095">
      <w:pPr>
        <w:spacing w:after="0" w:line="480" w:lineRule="auto"/>
        <w:jc w:val="both"/>
        <w:rPr>
          <w:b/>
          <w:bCs/>
        </w:rPr>
      </w:pPr>
      <w:r w:rsidRPr="00E54095">
        <w:rPr>
          <w:b/>
          <w:bCs/>
        </w:rPr>
        <w:t>Calibration Evaluation for the Proposed Deep Learning Model</w:t>
      </w:r>
    </w:p>
    <w:p w14:paraId="737993FA" w14:textId="69DD49B6" w:rsidR="00AB2A06" w:rsidRDefault="00AB2A06" w:rsidP="00E54095">
      <w:pPr>
        <w:spacing w:after="0" w:line="480" w:lineRule="auto"/>
        <w:jc w:val="both"/>
      </w:pPr>
      <w:r>
        <w:t>In the comparative calibration evaluation, the proposed deep learning model demonstrated the best calibration performance, achieving the lowest Brier score (0.132) and the lowest expected calibration error (ECE=0.096). This finding indicates that the deep learning model exhibits a more balanced performance compared to other machine learning models, not only in discriminating between patients who complete PFMT and those who do not, but also in reliably estimating the probability of PFMT completion.</w:t>
      </w:r>
    </w:p>
    <w:p w14:paraId="0366B7B2" w14:textId="2071FD85" w:rsidR="00D023F6" w:rsidRDefault="00AB2A06" w:rsidP="00E54095">
      <w:pPr>
        <w:spacing w:after="0" w:line="480" w:lineRule="auto"/>
        <w:jc w:val="both"/>
      </w:pPr>
      <w:r>
        <w:t xml:space="preserve">Inspection of the calibration curve for the deep learning model revealed that the model generated predictions consistent with observed outcomes, particularly in the large subgroup of patients assigned a low probability of PFMT completion. This suggests that the model can clinically and meaningfully identify patients with a low likelihood of completing PFMT. Conversely, the model slightly overestimated the probability of PFMT completion in the high predicted probability range. The small number of patients in the higher probability intervals may cause the observed PFMT completion rates in these ranges to be heavily influenced by a few individual outcomes. Therefore, deviations in these regions should not be interpreted as a definitive lack of model </w:t>
      </w:r>
      <w:r w:rsidR="00E54095">
        <w:t>calibration but</w:t>
      </w:r>
      <w:r>
        <w:t xml:space="preserve"> rather considered in light of the limited sample size of the test set. Overall, the calibration analysis supports the conclusion that the deep learning model's probability estimates are acceptably reliable in the test set.</w:t>
      </w:r>
    </w:p>
    <w:p w14:paraId="34B282B5" w14:textId="77777777" w:rsidR="00E54095" w:rsidRDefault="00E54095" w:rsidP="00E54095">
      <w:pPr>
        <w:spacing w:after="0" w:line="480" w:lineRule="auto"/>
        <w:jc w:val="both"/>
      </w:pPr>
    </w:p>
    <w:p w14:paraId="10901695" w14:textId="77777777" w:rsidR="00E54095" w:rsidRDefault="00E54095" w:rsidP="00E54095">
      <w:pPr>
        <w:spacing w:after="0" w:line="480" w:lineRule="auto"/>
        <w:jc w:val="both"/>
      </w:pPr>
    </w:p>
    <w:p w14:paraId="76BC8C2A" w14:textId="77777777" w:rsidR="00E54095" w:rsidRDefault="00E54095" w:rsidP="00E54095">
      <w:pPr>
        <w:spacing w:after="0" w:line="480" w:lineRule="auto"/>
        <w:jc w:val="both"/>
      </w:pPr>
    </w:p>
    <w:p w14:paraId="2FCB40FE" w14:textId="77777777" w:rsidR="00E54095" w:rsidRDefault="00E54095" w:rsidP="00E54095">
      <w:pPr>
        <w:spacing w:after="0" w:line="480" w:lineRule="auto"/>
        <w:jc w:val="both"/>
      </w:pPr>
    </w:p>
    <w:p w14:paraId="58B5095A" w14:textId="3A5A285D" w:rsidR="00AB2A06" w:rsidRPr="00E54095" w:rsidRDefault="00AB2A06" w:rsidP="00E54095">
      <w:pPr>
        <w:spacing w:after="0" w:line="480" w:lineRule="auto"/>
        <w:jc w:val="both"/>
        <w:rPr>
          <w:b/>
          <w:bCs/>
        </w:rPr>
      </w:pPr>
      <w:r w:rsidRPr="00E54095">
        <w:rPr>
          <w:b/>
          <w:bCs/>
        </w:rPr>
        <w:lastRenderedPageBreak/>
        <w:t>Figure S1. Calibration performance and predicted probability distribution of the deep neural network model in the independent test set</w:t>
      </w:r>
    </w:p>
    <w:p w14:paraId="5AA29D38" w14:textId="26064328" w:rsidR="00AB2A06" w:rsidRDefault="00AB2A06" w:rsidP="00E54095">
      <w:pPr>
        <w:spacing w:after="0" w:line="480" w:lineRule="auto"/>
        <w:jc w:val="both"/>
      </w:pPr>
      <w:r w:rsidRPr="00E84289">
        <w:rPr>
          <w:noProof/>
        </w:rPr>
        <w:drawing>
          <wp:inline distT="0" distB="0" distL="0" distR="0" wp14:anchorId="594B1CB6" wp14:editId="427FFBAF">
            <wp:extent cx="5760720" cy="2519680"/>
            <wp:effectExtent l="0" t="0" r="0" b="0"/>
            <wp:docPr id="43230581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305819" name=""/>
                    <pic:cNvPicPr/>
                  </pic:nvPicPr>
                  <pic:blipFill>
                    <a:blip r:embed="rId4"/>
                    <a:stretch>
                      <a:fillRect/>
                    </a:stretch>
                  </pic:blipFill>
                  <pic:spPr>
                    <a:xfrm>
                      <a:off x="0" y="0"/>
                      <a:ext cx="5760720" cy="2519680"/>
                    </a:xfrm>
                    <a:prstGeom prst="rect">
                      <a:avLst/>
                    </a:prstGeom>
                  </pic:spPr>
                </pic:pic>
              </a:graphicData>
            </a:graphic>
          </wp:inline>
        </w:drawing>
      </w:r>
    </w:p>
    <w:p w14:paraId="7C70A3CA" w14:textId="710F2E02" w:rsidR="00AB2A06" w:rsidRDefault="00AB2A06" w:rsidP="00E54095">
      <w:pPr>
        <w:spacing w:after="0" w:line="480" w:lineRule="auto"/>
        <w:jc w:val="both"/>
      </w:pPr>
      <w:r>
        <w:t>This figure illustrates the calibration performance and predicted probability distribution of the deep learning model on the independent test set. The left panel shows the calibration curve, while the right panel displays the distribution of the model's predicted probabilities for patients in the test set.</w:t>
      </w:r>
    </w:p>
    <w:p w14:paraId="5D28B789" w14:textId="1B3B0C2E" w:rsidR="00AB2A06" w:rsidRDefault="00AB2A06" w:rsidP="00E54095">
      <w:pPr>
        <w:spacing w:after="0" w:line="480" w:lineRule="auto"/>
        <w:jc w:val="both"/>
      </w:pPr>
      <w:r>
        <w:t>In the left panel, the gray dashed line represents ideal calibration. The close alignment of the blue curve with this line indicates that the model's predicted PFMT completion probabilities are concordant with the actual observed completion rates. The deep learning model achieved a Brier score of 0.132 and an ECE of 0.096, with these low values suggesting that the model is generally well-calibrated to an acceptable degree.</w:t>
      </w:r>
    </w:p>
    <w:p w14:paraId="7E15E2F9" w14:textId="77777777" w:rsidR="00AB2A06" w:rsidRDefault="00AB2A06" w:rsidP="00E54095">
      <w:pPr>
        <w:spacing w:after="0" w:line="480" w:lineRule="auto"/>
        <w:jc w:val="both"/>
      </w:pPr>
      <w:r>
        <w:t>The graph demonstrates that the model performs particularly well in the large group of patients assigned a low probability of PFMT completion. Specifically, the lowest probability interval comprises 48 patients, where the observed PFMT completion rate is approximately 0.10. Thus, in this broad patient subgroup predicted to have a low completion likelihood, the actual completion rate is similarly low, indicating that the model yields clinically meaningful and consistent predictions in the low-probability region.</w:t>
      </w:r>
    </w:p>
    <w:p w14:paraId="28B1735A" w14:textId="77777777" w:rsidR="00AB2A06" w:rsidRDefault="00AB2A06" w:rsidP="00E54095">
      <w:pPr>
        <w:spacing w:after="0" w:line="480" w:lineRule="auto"/>
        <w:jc w:val="both"/>
      </w:pPr>
    </w:p>
    <w:p w14:paraId="1DE1EBC1" w14:textId="6F6A1792" w:rsidR="00AB2A06" w:rsidRDefault="00AB2A06" w:rsidP="00E54095">
      <w:pPr>
        <w:spacing w:after="0" w:line="480" w:lineRule="auto"/>
        <w:jc w:val="both"/>
      </w:pPr>
      <w:r>
        <w:lastRenderedPageBreak/>
        <w:t>Patient counts are lower in the intermediate probability intervals. For instance, only 5 patients reside in each of the approximate 0.30 and 0.50 predicted probability regions; therefore, fluctuations at these points should be interpreted with caution. Due to small subgroup sizes, the observed rates can be heavily influenced by the outcomes of just a few individuals.</w:t>
      </w:r>
    </w:p>
    <w:p w14:paraId="40E448AD" w14:textId="54172F81" w:rsidR="00AB2A06" w:rsidRDefault="00AB2A06" w:rsidP="00E54095">
      <w:pPr>
        <w:spacing w:after="0" w:line="480" w:lineRule="auto"/>
        <w:jc w:val="both"/>
      </w:pPr>
      <w:r>
        <w:t>In the high-probability region, the model exhibits a slight overoptimistic tendency. Within the approximate 0.75 predicted probability interval, there are only 3 patients, all of whom completed PFMT, resulting in an observed rate of 1.00. However, because this point relies on a very small sample size, its reliability is limited. In the highest probability interval containing 14 patients, the model's mean predicted PFMT completion probability is approximately 0.95, whereas the observed completion rate is about 0.79, suggesting a slight overestimation by the model in this group.</w:t>
      </w:r>
    </w:p>
    <w:p w14:paraId="3F727115" w14:textId="10C4F7FB" w:rsidR="00AB2A06" w:rsidRDefault="00AB2A06" w:rsidP="00E54095">
      <w:pPr>
        <w:spacing w:after="0" w:line="480" w:lineRule="auto"/>
        <w:jc w:val="both"/>
      </w:pPr>
      <w:r>
        <w:t>The histogram in the right panel demonstrates that the model assigns the vast majority of patients to the low PFMT completion probability group. Out of the 75 patients in the test set, 48 fall within the 0.00–0.20 predicted probability range, whereas 14 patients are in the 0.80–1.00 range. This distribution indicates that the model predominantly stratifies patients into low- and high-probability regions, with fewer patients located in the intermediate probability intervals.</w:t>
      </w:r>
    </w:p>
    <w:p w14:paraId="3F71A409" w14:textId="05AEC038" w:rsidR="00E54095" w:rsidRDefault="00E54095">
      <w:r>
        <w:br w:type="page"/>
      </w:r>
    </w:p>
    <w:p w14:paraId="1C10DABF" w14:textId="26D0CC0D" w:rsidR="00E54095" w:rsidRPr="00E54095" w:rsidRDefault="00E54095" w:rsidP="00E54095">
      <w:pPr>
        <w:spacing w:after="0" w:line="480" w:lineRule="auto"/>
        <w:jc w:val="both"/>
        <w:rPr>
          <w:b/>
          <w:bCs/>
        </w:rPr>
      </w:pPr>
      <w:r w:rsidRPr="00E54095">
        <w:rPr>
          <w:b/>
          <w:bCs/>
        </w:rPr>
        <w:lastRenderedPageBreak/>
        <w:t>Table S1: Detailed calibration analysis and patient stratification across predicted probability intervals</w:t>
      </w:r>
    </w:p>
    <w:tbl>
      <w:tblPr>
        <w:tblStyle w:val="TabloKlavuzu"/>
        <w:tblW w:w="0" w:type="auto"/>
        <w:tblLook w:val="04A0" w:firstRow="1" w:lastRow="0" w:firstColumn="1" w:lastColumn="0" w:noHBand="0" w:noVBand="1"/>
      </w:tblPr>
      <w:tblGrid>
        <w:gridCol w:w="4716"/>
        <w:gridCol w:w="4346"/>
      </w:tblGrid>
      <w:tr w:rsidR="00AB2A06" w:rsidRPr="00A16024" w14:paraId="60EFC304" w14:textId="77777777" w:rsidTr="00CA2522">
        <w:tc>
          <w:tcPr>
            <w:tcW w:w="4716" w:type="dxa"/>
          </w:tcPr>
          <w:p w14:paraId="7ED1BEB6" w14:textId="77777777" w:rsidR="00AB2A06" w:rsidRPr="00A16024" w:rsidRDefault="00AB2A06" w:rsidP="00E54095">
            <w:pPr>
              <w:spacing w:line="276" w:lineRule="auto"/>
              <w:jc w:val="both"/>
              <w:rPr>
                <w:sz w:val="20"/>
                <w:szCs w:val="20"/>
              </w:rPr>
            </w:pPr>
            <w:r w:rsidRPr="00A16024">
              <w:rPr>
                <w:noProof/>
                <w:sz w:val="20"/>
                <w:szCs w:val="20"/>
              </w:rPr>
              <w:drawing>
                <wp:inline distT="0" distB="0" distL="0" distR="0" wp14:anchorId="7F60FF74" wp14:editId="473505D0">
                  <wp:extent cx="2849880" cy="2519680"/>
                  <wp:effectExtent l="0" t="0" r="7620" b="0"/>
                  <wp:docPr id="208431806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305819" name=""/>
                          <pic:cNvPicPr/>
                        </pic:nvPicPr>
                        <pic:blipFill rotWithShape="1">
                          <a:blip r:embed="rId4"/>
                          <a:srcRect r="50529"/>
                          <a:stretch>
                            <a:fillRect/>
                          </a:stretch>
                        </pic:blipFill>
                        <pic:spPr bwMode="auto">
                          <a:xfrm>
                            <a:off x="0" y="0"/>
                            <a:ext cx="2849880" cy="2519680"/>
                          </a:xfrm>
                          <a:prstGeom prst="rect">
                            <a:avLst/>
                          </a:prstGeom>
                          <a:ln>
                            <a:noFill/>
                          </a:ln>
                          <a:extLst>
                            <a:ext uri="{53640926-AAD7-44D8-BBD7-CCE9431645EC}">
                              <a14:shadowObscured xmlns:a14="http://schemas.microsoft.com/office/drawing/2010/main"/>
                            </a:ext>
                          </a:extLst>
                        </pic:spPr>
                      </pic:pic>
                    </a:graphicData>
                  </a:graphic>
                </wp:inline>
              </w:drawing>
            </w:r>
          </w:p>
        </w:tc>
        <w:tc>
          <w:tcPr>
            <w:tcW w:w="4346" w:type="dxa"/>
          </w:tcPr>
          <w:p w14:paraId="68A6C84D" w14:textId="23891582" w:rsidR="00AB2A06" w:rsidRPr="004E429B" w:rsidRDefault="00AB2A06" w:rsidP="00E54095">
            <w:pPr>
              <w:spacing w:line="276" w:lineRule="auto"/>
              <w:jc w:val="both"/>
              <w:rPr>
                <w:sz w:val="20"/>
                <w:szCs w:val="20"/>
              </w:rPr>
            </w:pPr>
            <w:r w:rsidRPr="004E429B">
              <w:rPr>
                <w:sz w:val="20"/>
                <w:szCs w:val="20"/>
              </w:rPr>
              <w:t>The values 48, 5, 5, 3, and 14 in the graph represent the total number of patients within each probability bin, rather than the count of individuals who completed the training. Specifically, these correspond to the total number of patients assigned by the model to each predicted probability interval:</w:t>
            </w:r>
          </w:p>
          <w:p w14:paraId="1A0F514D" w14:textId="5D0AEFC5" w:rsidR="00AB2A06" w:rsidRPr="004E429B" w:rsidRDefault="00AB2A06" w:rsidP="00E54095">
            <w:pPr>
              <w:spacing w:line="276" w:lineRule="auto"/>
              <w:jc w:val="both"/>
              <w:rPr>
                <w:sz w:val="20"/>
                <w:szCs w:val="20"/>
              </w:rPr>
            </w:pPr>
            <w:r w:rsidRPr="004E429B">
              <w:rPr>
                <w:sz w:val="20"/>
                <w:szCs w:val="20"/>
              </w:rPr>
              <w:t>0.00–0.20 interval: 48 patients</w:t>
            </w:r>
          </w:p>
          <w:p w14:paraId="41AAF9FB" w14:textId="079D46B7" w:rsidR="00AB2A06" w:rsidRPr="004E429B" w:rsidRDefault="00AB2A06" w:rsidP="00E54095">
            <w:pPr>
              <w:spacing w:line="276" w:lineRule="auto"/>
              <w:jc w:val="both"/>
              <w:rPr>
                <w:sz w:val="20"/>
                <w:szCs w:val="20"/>
              </w:rPr>
            </w:pPr>
            <w:r w:rsidRPr="004E429B">
              <w:rPr>
                <w:sz w:val="20"/>
                <w:szCs w:val="20"/>
              </w:rPr>
              <w:t>0.20–0.40 interval: 5 patients</w:t>
            </w:r>
          </w:p>
          <w:p w14:paraId="0B056982" w14:textId="37AE8E68" w:rsidR="00AB2A06" w:rsidRPr="004E429B" w:rsidRDefault="00AB2A06" w:rsidP="00E54095">
            <w:pPr>
              <w:spacing w:line="276" w:lineRule="auto"/>
              <w:jc w:val="both"/>
              <w:rPr>
                <w:sz w:val="20"/>
                <w:szCs w:val="20"/>
              </w:rPr>
            </w:pPr>
            <w:r w:rsidRPr="004E429B">
              <w:rPr>
                <w:sz w:val="20"/>
                <w:szCs w:val="20"/>
              </w:rPr>
              <w:t>0.40–0.60 interval: 5 patients</w:t>
            </w:r>
          </w:p>
          <w:p w14:paraId="3BB597F0" w14:textId="3E9A00E6" w:rsidR="00AB2A06" w:rsidRPr="004E429B" w:rsidRDefault="00AB2A06" w:rsidP="00E54095">
            <w:pPr>
              <w:spacing w:line="276" w:lineRule="auto"/>
              <w:jc w:val="both"/>
              <w:rPr>
                <w:sz w:val="20"/>
                <w:szCs w:val="20"/>
              </w:rPr>
            </w:pPr>
            <w:r w:rsidRPr="004E429B">
              <w:rPr>
                <w:sz w:val="20"/>
                <w:szCs w:val="20"/>
              </w:rPr>
              <w:t>0.60–0.80 interval: 3 patients</w:t>
            </w:r>
          </w:p>
          <w:p w14:paraId="3EA1D185" w14:textId="35215E95" w:rsidR="00AB2A06" w:rsidRPr="00A16024" w:rsidRDefault="00AB2A06" w:rsidP="00E54095">
            <w:pPr>
              <w:spacing w:line="276" w:lineRule="auto"/>
              <w:jc w:val="both"/>
              <w:rPr>
                <w:sz w:val="20"/>
                <w:szCs w:val="20"/>
              </w:rPr>
            </w:pPr>
            <w:r w:rsidRPr="004E429B">
              <w:rPr>
                <w:sz w:val="20"/>
                <w:szCs w:val="20"/>
              </w:rPr>
              <w:t>0.80–1.00 interval: 14 patients</w:t>
            </w:r>
          </w:p>
        </w:tc>
      </w:tr>
      <w:tr w:rsidR="00AB2A06" w:rsidRPr="00A16024" w14:paraId="422DF1BC" w14:textId="77777777" w:rsidTr="00CA2522">
        <w:tc>
          <w:tcPr>
            <w:tcW w:w="4716" w:type="dxa"/>
          </w:tcPr>
          <w:p w14:paraId="69195947" w14:textId="77777777" w:rsidR="00AB2A06" w:rsidRPr="00A16024" w:rsidRDefault="00AB2A06" w:rsidP="00E54095">
            <w:pPr>
              <w:spacing w:line="276" w:lineRule="auto"/>
              <w:jc w:val="both"/>
              <w:rPr>
                <w:sz w:val="20"/>
                <w:szCs w:val="20"/>
              </w:rPr>
            </w:pPr>
            <w:r w:rsidRPr="00A16024">
              <w:rPr>
                <w:noProof/>
                <w:sz w:val="20"/>
                <w:szCs w:val="20"/>
              </w:rPr>
              <w:drawing>
                <wp:inline distT="0" distB="0" distL="0" distR="0" wp14:anchorId="582CC9F6" wp14:editId="494CD48F">
                  <wp:extent cx="2849880" cy="2519680"/>
                  <wp:effectExtent l="0" t="0" r="7620" b="0"/>
                  <wp:docPr id="30895069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305819" name=""/>
                          <pic:cNvPicPr/>
                        </pic:nvPicPr>
                        <pic:blipFill rotWithShape="1">
                          <a:blip r:embed="rId4"/>
                          <a:srcRect r="50529"/>
                          <a:stretch>
                            <a:fillRect/>
                          </a:stretch>
                        </pic:blipFill>
                        <pic:spPr bwMode="auto">
                          <a:xfrm>
                            <a:off x="0" y="0"/>
                            <a:ext cx="2849880" cy="2519680"/>
                          </a:xfrm>
                          <a:prstGeom prst="rect">
                            <a:avLst/>
                          </a:prstGeom>
                          <a:ln>
                            <a:noFill/>
                          </a:ln>
                          <a:extLst>
                            <a:ext uri="{53640926-AAD7-44D8-BBD7-CCE9431645EC}">
                              <a14:shadowObscured xmlns:a14="http://schemas.microsoft.com/office/drawing/2010/main"/>
                            </a:ext>
                          </a:extLst>
                        </pic:spPr>
                      </pic:pic>
                    </a:graphicData>
                  </a:graphic>
                </wp:inline>
              </w:drawing>
            </w:r>
          </w:p>
        </w:tc>
        <w:tc>
          <w:tcPr>
            <w:tcW w:w="4346" w:type="dxa"/>
          </w:tcPr>
          <w:p w14:paraId="319EF714" w14:textId="669CF9D1" w:rsidR="00AB2A06" w:rsidRPr="00AB2A06" w:rsidRDefault="00AB2A06" w:rsidP="00E54095">
            <w:pPr>
              <w:spacing w:line="276" w:lineRule="auto"/>
              <w:jc w:val="both"/>
              <w:rPr>
                <w:sz w:val="20"/>
                <w:szCs w:val="20"/>
              </w:rPr>
            </w:pPr>
            <w:r w:rsidRPr="00AB2A06">
              <w:rPr>
                <w:sz w:val="20"/>
                <w:szCs w:val="20"/>
              </w:rPr>
              <w:t>In the left graph, the observed PFMT completion rate for this group of 48 patients appears to be approximately 0.10. This indicates that:</w:t>
            </w:r>
          </w:p>
          <w:p w14:paraId="651CA283" w14:textId="26E2D1F2" w:rsidR="00AB2A06" w:rsidRPr="00AB2A06" w:rsidRDefault="00AB2A06" w:rsidP="00E54095">
            <w:pPr>
              <w:spacing w:line="276" w:lineRule="auto"/>
              <w:jc w:val="both"/>
              <w:rPr>
                <w:sz w:val="20"/>
                <w:szCs w:val="20"/>
              </w:rPr>
            </w:pPr>
            <w:r w:rsidRPr="00AB2A06">
              <w:rPr>
                <w:sz w:val="20"/>
                <w:szCs w:val="20"/>
              </w:rPr>
              <w:t>Approximately 10% of these 48 patients completed PFMT,</w:t>
            </w:r>
          </w:p>
          <w:p w14:paraId="3220B682" w14:textId="2F28BD04" w:rsidR="00AB2A06" w:rsidRPr="00AB2A06" w:rsidRDefault="00AB2A06" w:rsidP="00E54095">
            <w:pPr>
              <w:spacing w:line="276" w:lineRule="auto"/>
              <w:jc w:val="both"/>
              <w:rPr>
                <w:sz w:val="20"/>
                <w:szCs w:val="20"/>
              </w:rPr>
            </w:pPr>
            <w:r w:rsidRPr="00AB2A06">
              <w:rPr>
                <w:sz w:val="20"/>
                <w:szCs w:val="20"/>
              </w:rPr>
              <w:t>Approximately 90% of them did not complete PFMT.</w:t>
            </w:r>
          </w:p>
          <w:p w14:paraId="0AD5CEC1" w14:textId="48E8001E" w:rsidR="00AB2A06" w:rsidRPr="00AB2A06" w:rsidRDefault="00AB2A06" w:rsidP="00E54095">
            <w:pPr>
              <w:spacing w:line="276" w:lineRule="auto"/>
              <w:jc w:val="both"/>
              <w:rPr>
                <w:sz w:val="20"/>
                <w:szCs w:val="20"/>
              </w:rPr>
            </w:pPr>
            <w:r w:rsidRPr="00AB2A06">
              <w:rPr>
                <w:sz w:val="20"/>
                <w:szCs w:val="20"/>
              </w:rPr>
              <w:t>Expressed in approximate patient counts:</w:t>
            </w:r>
          </w:p>
          <w:p w14:paraId="32A0413D" w14:textId="07596B8C" w:rsidR="00AB2A06" w:rsidRPr="00AB2A06" w:rsidRDefault="00AB2A06" w:rsidP="00E54095">
            <w:pPr>
              <w:spacing w:line="276" w:lineRule="auto"/>
              <w:jc w:val="both"/>
              <w:rPr>
                <w:sz w:val="20"/>
                <w:szCs w:val="20"/>
              </w:rPr>
            </w:pPr>
            <w:r w:rsidRPr="00AB2A06">
              <w:rPr>
                <w:sz w:val="20"/>
                <w:szCs w:val="20"/>
              </w:rPr>
              <w:t>48×0.10≈5 patients completed PFMT,</w:t>
            </w:r>
          </w:p>
          <w:p w14:paraId="40F64A0E" w14:textId="0C7F9BE0" w:rsidR="00AB2A06" w:rsidRPr="00AB2A06" w:rsidRDefault="00AB2A06" w:rsidP="00E54095">
            <w:pPr>
              <w:spacing w:line="276" w:lineRule="auto"/>
              <w:jc w:val="both"/>
              <w:rPr>
                <w:sz w:val="20"/>
                <w:szCs w:val="20"/>
              </w:rPr>
            </w:pPr>
            <w:r w:rsidRPr="00AB2A06">
              <w:rPr>
                <w:sz w:val="20"/>
                <w:szCs w:val="20"/>
              </w:rPr>
              <w:t>43 patients did not complete PFMT.</w:t>
            </w:r>
          </w:p>
          <w:p w14:paraId="35A301B7" w14:textId="5C364A9A" w:rsidR="00AB2A06" w:rsidRPr="00AB2A06" w:rsidRDefault="00AB2A06" w:rsidP="00E54095">
            <w:pPr>
              <w:spacing w:line="276" w:lineRule="auto"/>
              <w:jc w:val="both"/>
              <w:rPr>
                <w:sz w:val="20"/>
                <w:szCs w:val="20"/>
              </w:rPr>
            </w:pPr>
            <w:r w:rsidRPr="00AB2A06">
              <w:rPr>
                <w:sz w:val="20"/>
                <w:szCs w:val="20"/>
              </w:rPr>
              <w:t>Thus, the 48 patients in the graph represent the group for which the model predicted a "low probability of completing PFMT," and the vast majority of this group indeed did not complete PFMT.</w:t>
            </w:r>
          </w:p>
          <w:p w14:paraId="3C93A50B" w14:textId="4985A39E" w:rsidR="00AB2A06" w:rsidRPr="00A16024" w:rsidRDefault="00AB2A06" w:rsidP="00E54095">
            <w:pPr>
              <w:spacing w:line="276" w:lineRule="auto"/>
              <w:jc w:val="both"/>
              <w:rPr>
                <w:sz w:val="20"/>
                <w:szCs w:val="20"/>
              </w:rPr>
            </w:pPr>
            <w:r w:rsidRPr="00AB2A06">
              <w:rPr>
                <w:sz w:val="20"/>
                <w:szCs w:val="20"/>
              </w:rPr>
              <w:t>This demonstrates that the model performs predictions in the correct general direction within the low-probability subgroup</w:t>
            </w:r>
            <w:r w:rsidRPr="00A16024">
              <w:rPr>
                <w:sz w:val="20"/>
                <w:szCs w:val="20"/>
              </w:rPr>
              <w:t>.</w:t>
            </w:r>
          </w:p>
          <w:p w14:paraId="072F71D0" w14:textId="77777777" w:rsidR="00AB2A06" w:rsidRPr="00A16024" w:rsidRDefault="00AB2A06" w:rsidP="00E54095">
            <w:pPr>
              <w:spacing w:line="276" w:lineRule="auto"/>
              <w:jc w:val="both"/>
              <w:rPr>
                <w:sz w:val="20"/>
                <w:szCs w:val="20"/>
              </w:rPr>
            </w:pPr>
          </w:p>
        </w:tc>
      </w:tr>
      <w:tr w:rsidR="00AB2A06" w:rsidRPr="00A16024" w14:paraId="2EC7AAC2" w14:textId="77777777" w:rsidTr="00CA2522">
        <w:tc>
          <w:tcPr>
            <w:tcW w:w="4716" w:type="dxa"/>
          </w:tcPr>
          <w:p w14:paraId="779F8379" w14:textId="77777777" w:rsidR="00AB2A06" w:rsidRPr="00A16024" w:rsidRDefault="00AB2A06" w:rsidP="00E54095">
            <w:pPr>
              <w:spacing w:line="276" w:lineRule="auto"/>
              <w:jc w:val="both"/>
              <w:rPr>
                <w:sz w:val="20"/>
                <w:szCs w:val="20"/>
              </w:rPr>
            </w:pPr>
            <w:r w:rsidRPr="00A16024">
              <w:rPr>
                <w:noProof/>
                <w:sz w:val="20"/>
                <w:szCs w:val="20"/>
              </w:rPr>
              <w:lastRenderedPageBreak/>
              <w:drawing>
                <wp:inline distT="0" distB="0" distL="0" distR="0" wp14:anchorId="238344E6" wp14:editId="7DF6E1F3">
                  <wp:extent cx="2849880" cy="2519680"/>
                  <wp:effectExtent l="0" t="0" r="7620" b="0"/>
                  <wp:docPr id="213507600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305819" name=""/>
                          <pic:cNvPicPr/>
                        </pic:nvPicPr>
                        <pic:blipFill rotWithShape="1">
                          <a:blip r:embed="rId4"/>
                          <a:srcRect r="50529"/>
                          <a:stretch>
                            <a:fillRect/>
                          </a:stretch>
                        </pic:blipFill>
                        <pic:spPr bwMode="auto">
                          <a:xfrm>
                            <a:off x="0" y="0"/>
                            <a:ext cx="2849880" cy="2519680"/>
                          </a:xfrm>
                          <a:prstGeom prst="rect">
                            <a:avLst/>
                          </a:prstGeom>
                          <a:ln>
                            <a:noFill/>
                          </a:ln>
                          <a:extLst>
                            <a:ext uri="{53640926-AAD7-44D8-BBD7-CCE9431645EC}">
                              <a14:shadowObscured xmlns:a14="http://schemas.microsoft.com/office/drawing/2010/main"/>
                            </a:ext>
                          </a:extLst>
                        </pic:spPr>
                      </pic:pic>
                    </a:graphicData>
                  </a:graphic>
                </wp:inline>
              </w:drawing>
            </w:r>
          </w:p>
        </w:tc>
        <w:tc>
          <w:tcPr>
            <w:tcW w:w="4346" w:type="dxa"/>
          </w:tcPr>
          <w:p w14:paraId="3F20B3DA" w14:textId="4BBB57D4" w:rsidR="00AB2A06" w:rsidRPr="00AB2A06" w:rsidRDefault="00AB2A06" w:rsidP="00E54095">
            <w:pPr>
              <w:spacing w:line="276" w:lineRule="auto"/>
              <w:jc w:val="both"/>
              <w:rPr>
                <w:sz w:val="20"/>
                <w:szCs w:val="20"/>
              </w:rPr>
            </w:pPr>
            <w:r w:rsidRPr="00AB2A06">
              <w:rPr>
                <w:sz w:val="20"/>
                <w:szCs w:val="20"/>
              </w:rPr>
              <w:t>First 5 patients</w:t>
            </w:r>
            <w:r>
              <w:rPr>
                <w:sz w:val="20"/>
                <w:szCs w:val="20"/>
              </w:rPr>
              <w:t>:</w:t>
            </w:r>
          </w:p>
          <w:p w14:paraId="7FE3B306" w14:textId="29D8D2EF" w:rsidR="00AB2A06" w:rsidRPr="00AB2A06" w:rsidRDefault="00AB2A06" w:rsidP="00E54095">
            <w:pPr>
              <w:spacing w:line="276" w:lineRule="auto"/>
              <w:jc w:val="both"/>
              <w:rPr>
                <w:sz w:val="20"/>
                <w:szCs w:val="20"/>
              </w:rPr>
            </w:pPr>
            <w:r w:rsidRPr="00AB2A06">
              <w:rPr>
                <w:sz w:val="20"/>
                <w:szCs w:val="20"/>
              </w:rPr>
              <w:t>The model predicted a PFMT completion probability of approximately 0.30 for these 5 patients, while the observed PFMT completion rate in this group is approximately 0.20. That is:</w:t>
            </w:r>
          </w:p>
          <w:p w14:paraId="0E0A3F15" w14:textId="7E20DE42" w:rsidR="00AB2A06" w:rsidRPr="00AB2A06" w:rsidRDefault="00AB2A06" w:rsidP="00E54095">
            <w:pPr>
              <w:spacing w:line="276" w:lineRule="auto"/>
              <w:jc w:val="both"/>
              <w:rPr>
                <w:sz w:val="20"/>
                <w:szCs w:val="20"/>
              </w:rPr>
            </w:pPr>
            <w:r w:rsidRPr="00AB2A06">
              <w:rPr>
                <w:sz w:val="20"/>
                <w:szCs w:val="20"/>
              </w:rPr>
              <w:t>Approximately 1 of the 5 patients completed PFMT,</w:t>
            </w:r>
          </w:p>
          <w:p w14:paraId="5FBCDED1" w14:textId="4DFB7619" w:rsidR="00AB2A06" w:rsidRPr="00AB2A06" w:rsidRDefault="00AB2A06" w:rsidP="00E54095">
            <w:pPr>
              <w:spacing w:line="276" w:lineRule="auto"/>
              <w:jc w:val="both"/>
              <w:rPr>
                <w:sz w:val="20"/>
                <w:szCs w:val="20"/>
              </w:rPr>
            </w:pPr>
            <w:r w:rsidRPr="00AB2A06">
              <w:rPr>
                <w:sz w:val="20"/>
                <w:szCs w:val="20"/>
              </w:rPr>
              <w:t>4 did not complete it.</w:t>
            </w:r>
          </w:p>
          <w:p w14:paraId="63FAFCF8" w14:textId="6BBCED1C" w:rsidR="00AB2A06" w:rsidRPr="00A16024" w:rsidRDefault="00AB2A06" w:rsidP="00E54095">
            <w:pPr>
              <w:spacing w:line="276" w:lineRule="auto"/>
              <w:jc w:val="both"/>
              <w:rPr>
                <w:sz w:val="20"/>
                <w:szCs w:val="20"/>
              </w:rPr>
            </w:pPr>
            <w:r w:rsidRPr="00AB2A06">
              <w:rPr>
                <w:sz w:val="20"/>
                <w:szCs w:val="20"/>
              </w:rPr>
              <w:t>The model appears to have slightly overestimated the probability in this group, given that the mean predicted probability is around 0.30, whereas the actual completion rate is about 0.20</w:t>
            </w:r>
          </w:p>
        </w:tc>
      </w:tr>
      <w:tr w:rsidR="00AB2A06" w:rsidRPr="00A16024" w14:paraId="48012D3A" w14:textId="77777777" w:rsidTr="00CA2522">
        <w:tc>
          <w:tcPr>
            <w:tcW w:w="4716" w:type="dxa"/>
          </w:tcPr>
          <w:p w14:paraId="3CEEA733" w14:textId="77777777" w:rsidR="00AB2A06" w:rsidRPr="00A16024" w:rsidRDefault="00AB2A06" w:rsidP="00E54095">
            <w:pPr>
              <w:spacing w:line="276" w:lineRule="auto"/>
              <w:jc w:val="both"/>
              <w:rPr>
                <w:sz w:val="20"/>
                <w:szCs w:val="20"/>
              </w:rPr>
            </w:pPr>
            <w:r w:rsidRPr="00A16024">
              <w:rPr>
                <w:noProof/>
                <w:sz w:val="20"/>
                <w:szCs w:val="20"/>
              </w:rPr>
              <w:drawing>
                <wp:inline distT="0" distB="0" distL="0" distR="0" wp14:anchorId="0347228A" wp14:editId="5B04B3F7">
                  <wp:extent cx="2849880" cy="2519680"/>
                  <wp:effectExtent l="0" t="0" r="7620" b="0"/>
                  <wp:docPr id="111200275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305819" name=""/>
                          <pic:cNvPicPr/>
                        </pic:nvPicPr>
                        <pic:blipFill rotWithShape="1">
                          <a:blip r:embed="rId4"/>
                          <a:srcRect r="50529"/>
                          <a:stretch>
                            <a:fillRect/>
                          </a:stretch>
                        </pic:blipFill>
                        <pic:spPr bwMode="auto">
                          <a:xfrm>
                            <a:off x="0" y="0"/>
                            <a:ext cx="2849880" cy="2519680"/>
                          </a:xfrm>
                          <a:prstGeom prst="rect">
                            <a:avLst/>
                          </a:prstGeom>
                          <a:ln>
                            <a:noFill/>
                          </a:ln>
                          <a:extLst>
                            <a:ext uri="{53640926-AAD7-44D8-BBD7-CCE9431645EC}">
                              <a14:shadowObscured xmlns:a14="http://schemas.microsoft.com/office/drawing/2010/main"/>
                            </a:ext>
                          </a:extLst>
                        </pic:spPr>
                      </pic:pic>
                    </a:graphicData>
                  </a:graphic>
                </wp:inline>
              </w:drawing>
            </w:r>
          </w:p>
        </w:tc>
        <w:tc>
          <w:tcPr>
            <w:tcW w:w="4346" w:type="dxa"/>
          </w:tcPr>
          <w:p w14:paraId="3A8D3F30" w14:textId="5F0292A0" w:rsidR="00AB2A06" w:rsidRPr="00AB2A06" w:rsidRDefault="00AB2A06" w:rsidP="00E54095">
            <w:pPr>
              <w:spacing w:line="276" w:lineRule="auto"/>
              <w:jc w:val="both"/>
              <w:rPr>
                <w:sz w:val="20"/>
                <w:szCs w:val="20"/>
              </w:rPr>
            </w:pPr>
            <w:r w:rsidRPr="00AB2A06">
              <w:rPr>
                <w:sz w:val="20"/>
                <w:szCs w:val="20"/>
              </w:rPr>
              <w:t>Second 5 patients :</w:t>
            </w:r>
          </w:p>
          <w:p w14:paraId="2A9C204A" w14:textId="00BFFE7D" w:rsidR="00AB2A06" w:rsidRPr="00AB2A06" w:rsidRDefault="00AB2A06" w:rsidP="00E54095">
            <w:pPr>
              <w:spacing w:line="276" w:lineRule="auto"/>
              <w:jc w:val="both"/>
              <w:rPr>
                <w:sz w:val="20"/>
                <w:szCs w:val="20"/>
              </w:rPr>
            </w:pPr>
            <w:r w:rsidRPr="00AB2A06">
              <w:rPr>
                <w:sz w:val="20"/>
                <w:szCs w:val="20"/>
              </w:rPr>
              <w:t>The model predicted a PFMT completion probability of approximately 0.50 for these 5 patients, while the observed PFMT completion rate in this group is approximately 0.40. That is:</w:t>
            </w:r>
          </w:p>
          <w:p w14:paraId="1490EA58" w14:textId="6092A646" w:rsidR="00AB2A06" w:rsidRPr="00AB2A06" w:rsidRDefault="00AB2A06" w:rsidP="00E54095">
            <w:pPr>
              <w:spacing w:line="276" w:lineRule="auto"/>
              <w:jc w:val="both"/>
              <w:rPr>
                <w:sz w:val="20"/>
                <w:szCs w:val="20"/>
              </w:rPr>
            </w:pPr>
            <w:r w:rsidRPr="00AB2A06">
              <w:rPr>
                <w:sz w:val="20"/>
                <w:szCs w:val="20"/>
              </w:rPr>
              <w:t>Approximately 2 of the 5 patients completed PFMT,</w:t>
            </w:r>
          </w:p>
          <w:p w14:paraId="061F9CCD" w14:textId="7501B35A" w:rsidR="00AB2A06" w:rsidRPr="00AB2A06" w:rsidRDefault="00AB2A06" w:rsidP="00E54095">
            <w:pPr>
              <w:spacing w:line="276" w:lineRule="auto"/>
              <w:jc w:val="both"/>
              <w:rPr>
                <w:sz w:val="20"/>
                <w:szCs w:val="20"/>
              </w:rPr>
            </w:pPr>
            <w:r w:rsidRPr="00AB2A06">
              <w:rPr>
                <w:sz w:val="20"/>
                <w:szCs w:val="20"/>
              </w:rPr>
              <w:t>3 did not complete it.</w:t>
            </w:r>
          </w:p>
          <w:p w14:paraId="7C258F8E" w14:textId="42EE7B1E" w:rsidR="00AB2A06" w:rsidRPr="00171839" w:rsidRDefault="00AB2A06" w:rsidP="00E54095">
            <w:pPr>
              <w:spacing w:line="276" w:lineRule="auto"/>
              <w:jc w:val="both"/>
              <w:rPr>
                <w:sz w:val="20"/>
                <w:szCs w:val="20"/>
              </w:rPr>
            </w:pPr>
            <w:r w:rsidRPr="00AB2A06">
              <w:rPr>
                <w:sz w:val="20"/>
                <w:szCs w:val="20"/>
              </w:rPr>
              <w:t>Here as well, the model's prediction is quite close to the actual rate, though it appears slightly overestimated.</w:t>
            </w:r>
          </w:p>
        </w:tc>
      </w:tr>
      <w:tr w:rsidR="00AB2A06" w:rsidRPr="00A16024" w14:paraId="538721D0" w14:textId="77777777" w:rsidTr="00CA2522">
        <w:tc>
          <w:tcPr>
            <w:tcW w:w="4716" w:type="dxa"/>
          </w:tcPr>
          <w:p w14:paraId="7030E09C" w14:textId="77777777" w:rsidR="00AB2A06" w:rsidRPr="00A16024" w:rsidRDefault="00AB2A06" w:rsidP="00E54095">
            <w:pPr>
              <w:spacing w:line="276" w:lineRule="auto"/>
              <w:jc w:val="both"/>
              <w:rPr>
                <w:sz w:val="20"/>
                <w:szCs w:val="20"/>
              </w:rPr>
            </w:pPr>
            <w:r w:rsidRPr="00A16024">
              <w:rPr>
                <w:noProof/>
                <w:sz w:val="20"/>
                <w:szCs w:val="20"/>
              </w:rPr>
              <w:drawing>
                <wp:inline distT="0" distB="0" distL="0" distR="0" wp14:anchorId="5E78EE89" wp14:editId="6063EC83">
                  <wp:extent cx="2849880" cy="2519680"/>
                  <wp:effectExtent l="0" t="0" r="7620" b="0"/>
                  <wp:docPr id="159587477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305819" name=""/>
                          <pic:cNvPicPr/>
                        </pic:nvPicPr>
                        <pic:blipFill rotWithShape="1">
                          <a:blip r:embed="rId4"/>
                          <a:srcRect r="50529"/>
                          <a:stretch>
                            <a:fillRect/>
                          </a:stretch>
                        </pic:blipFill>
                        <pic:spPr bwMode="auto">
                          <a:xfrm>
                            <a:off x="0" y="0"/>
                            <a:ext cx="2849880" cy="2519680"/>
                          </a:xfrm>
                          <a:prstGeom prst="rect">
                            <a:avLst/>
                          </a:prstGeom>
                          <a:ln>
                            <a:noFill/>
                          </a:ln>
                          <a:extLst>
                            <a:ext uri="{53640926-AAD7-44D8-BBD7-CCE9431645EC}">
                              <a14:shadowObscured xmlns:a14="http://schemas.microsoft.com/office/drawing/2010/main"/>
                            </a:ext>
                          </a:extLst>
                        </pic:spPr>
                      </pic:pic>
                    </a:graphicData>
                  </a:graphic>
                </wp:inline>
              </w:drawing>
            </w:r>
          </w:p>
        </w:tc>
        <w:tc>
          <w:tcPr>
            <w:tcW w:w="4346" w:type="dxa"/>
          </w:tcPr>
          <w:p w14:paraId="11CCDAF3" w14:textId="42D6D3D8" w:rsidR="00AB2A06" w:rsidRPr="00AB2A06" w:rsidRDefault="00AB2A06" w:rsidP="00E54095">
            <w:pPr>
              <w:spacing w:line="276" w:lineRule="auto"/>
              <w:jc w:val="both"/>
              <w:rPr>
                <w:sz w:val="20"/>
                <w:szCs w:val="20"/>
              </w:rPr>
            </w:pPr>
            <w:r w:rsidRPr="00AB2A06">
              <w:rPr>
                <w:sz w:val="20"/>
                <w:szCs w:val="20"/>
              </w:rPr>
              <w:t>Group of 3 patients:</w:t>
            </w:r>
          </w:p>
          <w:p w14:paraId="230A116F" w14:textId="6657520C" w:rsidR="00AB2A06" w:rsidRPr="00AB2A06" w:rsidRDefault="00AB2A06" w:rsidP="00E54095">
            <w:pPr>
              <w:spacing w:line="276" w:lineRule="auto"/>
              <w:jc w:val="both"/>
              <w:rPr>
                <w:sz w:val="20"/>
                <w:szCs w:val="20"/>
              </w:rPr>
            </w:pPr>
            <w:r w:rsidRPr="00AB2A06">
              <w:rPr>
                <w:sz w:val="20"/>
                <w:szCs w:val="20"/>
              </w:rPr>
              <w:t>The model predicted a PFMT completion probability of approximately 0.75 for these 3 patients, whereas the observed PFMT completion rate in this group is 1.00. That is:</w:t>
            </w:r>
          </w:p>
          <w:p w14:paraId="72EDE139" w14:textId="51F6062A" w:rsidR="00AB2A06" w:rsidRPr="00AB2A06" w:rsidRDefault="00AB2A06" w:rsidP="00E54095">
            <w:pPr>
              <w:spacing w:line="276" w:lineRule="auto"/>
              <w:jc w:val="both"/>
              <w:rPr>
                <w:sz w:val="20"/>
                <w:szCs w:val="20"/>
              </w:rPr>
            </w:pPr>
            <w:r w:rsidRPr="00AB2A06">
              <w:rPr>
                <w:sz w:val="20"/>
                <w:szCs w:val="20"/>
              </w:rPr>
              <w:t>All 3 of the 3 patients completed PFMT.</w:t>
            </w:r>
          </w:p>
          <w:p w14:paraId="4861304F" w14:textId="2AE64750" w:rsidR="00AB2A06" w:rsidRPr="00171839" w:rsidRDefault="00AB2A06" w:rsidP="00E54095">
            <w:pPr>
              <w:spacing w:line="276" w:lineRule="auto"/>
              <w:jc w:val="both"/>
              <w:rPr>
                <w:sz w:val="20"/>
                <w:szCs w:val="20"/>
              </w:rPr>
            </w:pPr>
            <w:r w:rsidRPr="00AB2A06">
              <w:rPr>
                <w:sz w:val="20"/>
                <w:szCs w:val="20"/>
              </w:rPr>
              <w:t>At this point, the blue curve lies above the ideal line. This indicates that the model underestimated the probability of PFMT completion in this small group. However, because there are only 3 patients in this interval, this result is highly sensitive; a change in the outcome of even a single patient would significantly alter the observed rate.</w:t>
            </w:r>
          </w:p>
        </w:tc>
      </w:tr>
      <w:tr w:rsidR="00AB2A06" w:rsidRPr="00A16024" w14:paraId="07811DCD" w14:textId="77777777" w:rsidTr="00CA2522">
        <w:tc>
          <w:tcPr>
            <w:tcW w:w="4716" w:type="dxa"/>
          </w:tcPr>
          <w:p w14:paraId="0228FD9C" w14:textId="77777777" w:rsidR="00AB2A06" w:rsidRPr="00A16024" w:rsidRDefault="00AB2A06" w:rsidP="00E54095">
            <w:pPr>
              <w:spacing w:line="276" w:lineRule="auto"/>
              <w:jc w:val="both"/>
              <w:rPr>
                <w:sz w:val="20"/>
                <w:szCs w:val="20"/>
              </w:rPr>
            </w:pPr>
            <w:r w:rsidRPr="00A16024">
              <w:rPr>
                <w:noProof/>
                <w:sz w:val="20"/>
                <w:szCs w:val="20"/>
              </w:rPr>
              <w:lastRenderedPageBreak/>
              <w:drawing>
                <wp:inline distT="0" distB="0" distL="0" distR="0" wp14:anchorId="74754942" wp14:editId="528869DA">
                  <wp:extent cx="2849880" cy="2519680"/>
                  <wp:effectExtent l="0" t="0" r="7620" b="0"/>
                  <wp:docPr id="62451590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305819" name=""/>
                          <pic:cNvPicPr/>
                        </pic:nvPicPr>
                        <pic:blipFill rotWithShape="1">
                          <a:blip r:embed="rId4"/>
                          <a:srcRect r="50529"/>
                          <a:stretch>
                            <a:fillRect/>
                          </a:stretch>
                        </pic:blipFill>
                        <pic:spPr bwMode="auto">
                          <a:xfrm>
                            <a:off x="0" y="0"/>
                            <a:ext cx="2849880" cy="2519680"/>
                          </a:xfrm>
                          <a:prstGeom prst="rect">
                            <a:avLst/>
                          </a:prstGeom>
                          <a:ln>
                            <a:noFill/>
                          </a:ln>
                          <a:extLst>
                            <a:ext uri="{53640926-AAD7-44D8-BBD7-CCE9431645EC}">
                              <a14:shadowObscured xmlns:a14="http://schemas.microsoft.com/office/drawing/2010/main"/>
                            </a:ext>
                          </a:extLst>
                        </pic:spPr>
                      </pic:pic>
                    </a:graphicData>
                  </a:graphic>
                </wp:inline>
              </w:drawing>
            </w:r>
          </w:p>
        </w:tc>
        <w:tc>
          <w:tcPr>
            <w:tcW w:w="4346" w:type="dxa"/>
          </w:tcPr>
          <w:p w14:paraId="5017EE16" w14:textId="1567C6EB" w:rsidR="00E54095" w:rsidRPr="00E54095" w:rsidRDefault="00E54095" w:rsidP="00E54095">
            <w:pPr>
              <w:spacing w:line="276" w:lineRule="auto"/>
              <w:jc w:val="both"/>
              <w:rPr>
                <w:sz w:val="20"/>
                <w:szCs w:val="20"/>
              </w:rPr>
            </w:pPr>
            <w:r w:rsidRPr="00E54095">
              <w:rPr>
                <w:sz w:val="20"/>
                <w:szCs w:val="20"/>
              </w:rPr>
              <w:t>Group of 14 patients:</w:t>
            </w:r>
          </w:p>
          <w:p w14:paraId="75B4844A" w14:textId="374A24BE" w:rsidR="00E54095" w:rsidRPr="00E54095" w:rsidRDefault="00E54095" w:rsidP="00E54095">
            <w:pPr>
              <w:spacing w:line="276" w:lineRule="auto"/>
              <w:jc w:val="both"/>
              <w:rPr>
                <w:sz w:val="20"/>
                <w:szCs w:val="20"/>
              </w:rPr>
            </w:pPr>
            <w:r w:rsidRPr="00E54095">
              <w:rPr>
                <w:sz w:val="20"/>
                <w:szCs w:val="20"/>
              </w:rPr>
              <w:t>The number 14 in the graph represents the number of patients whose PFMT completion probability was predicted within the 0.80–1.00 range. In other words, the model stated that these 14 patients have a "high probability of completing PFMT."</w:t>
            </w:r>
          </w:p>
          <w:p w14:paraId="2FC97B01" w14:textId="32705256" w:rsidR="00E54095" w:rsidRPr="00E54095" w:rsidRDefault="00E54095" w:rsidP="00E54095">
            <w:pPr>
              <w:spacing w:line="276" w:lineRule="auto"/>
              <w:jc w:val="both"/>
              <w:rPr>
                <w:sz w:val="20"/>
                <w:szCs w:val="20"/>
              </w:rPr>
            </w:pPr>
            <w:r w:rsidRPr="00E54095">
              <w:rPr>
                <w:sz w:val="20"/>
                <w:szCs w:val="20"/>
              </w:rPr>
              <w:t>In the left graph, the observed PFMT completion rate for this group of 14 patients appears to be approximately 0.79. This indicates that:</w:t>
            </w:r>
          </w:p>
          <w:p w14:paraId="62D1BD79" w14:textId="1A136FC8" w:rsidR="00E54095" w:rsidRPr="00E54095" w:rsidRDefault="00E54095" w:rsidP="00E54095">
            <w:pPr>
              <w:spacing w:line="276" w:lineRule="auto"/>
              <w:jc w:val="both"/>
              <w:rPr>
                <w:sz w:val="20"/>
                <w:szCs w:val="20"/>
              </w:rPr>
            </w:pPr>
            <w:r w:rsidRPr="00E54095">
              <w:rPr>
                <w:sz w:val="20"/>
                <w:szCs w:val="20"/>
              </w:rPr>
              <w:t>Approximately 79% of these 14 patients actually completed PFMT,</w:t>
            </w:r>
          </w:p>
          <w:p w14:paraId="019A0FA3" w14:textId="3EF37991" w:rsidR="00E54095" w:rsidRPr="00E54095" w:rsidRDefault="00E54095" w:rsidP="00E54095">
            <w:pPr>
              <w:spacing w:line="276" w:lineRule="auto"/>
              <w:jc w:val="both"/>
              <w:rPr>
                <w:sz w:val="20"/>
                <w:szCs w:val="20"/>
              </w:rPr>
            </w:pPr>
            <w:r w:rsidRPr="00E54095">
              <w:rPr>
                <w:sz w:val="20"/>
                <w:szCs w:val="20"/>
              </w:rPr>
              <w:t>Approximately 21% did not complete it.</w:t>
            </w:r>
          </w:p>
          <w:p w14:paraId="2BB1905D" w14:textId="76B40A85" w:rsidR="00E54095" w:rsidRPr="00E54095" w:rsidRDefault="00E54095" w:rsidP="00E54095">
            <w:pPr>
              <w:spacing w:line="276" w:lineRule="auto"/>
              <w:jc w:val="both"/>
              <w:rPr>
                <w:sz w:val="20"/>
                <w:szCs w:val="20"/>
              </w:rPr>
            </w:pPr>
            <w:r w:rsidRPr="00E54095">
              <w:rPr>
                <w:sz w:val="20"/>
                <w:szCs w:val="20"/>
              </w:rPr>
              <w:t>Expressed in patient counts:</w:t>
            </w:r>
          </w:p>
          <w:p w14:paraId="3E8C091E" w14:textId="7404795D" w:rsidR="00E54095" w:rsidRPr="00E54095" w:rsidRDefault="00E54095" w:rsidP="00E54095">
            <w:pPr>
              <w:spacing w:line="276" w:lineRule="auto"/>
              <w:jc w:val="both"/>
              <w:rPr>
                <w:sz w:val="20"/>
                <w:szCs w:val="20"/>
              </w:rPr>
            </w:pPr>
            <w:r w:rsidRPr="00E54095">
              <w:rPr>
                <w:sz w:val="20"/>
                <w:szCs w:val="20"/>
              </w:rPr>
              <w:t>14×0.79≈11 patients completed PFMT,</w:t>
            </w:r>
          </w:p>
          <w:p w14:paraId="3AADBB5B" w14:textId="1D8B7609" w:rsidR="00E54095" w:rsidRPr="00E54095" w:rsidRDefault="00E54095" w:rsidP="00E54095">
            <w:pPr>
              <w:spacing w:line="276" w:lineRule="auto"/>
              <w:jc w:val="both"/>
              <w:rPr>
                <w:sz w:val="20"/>
                <w:szCs w:val="20"/>
              </w:rPr>
            </w:pPr>
            <w:r w:rsidRPr="00E54095">
              <w:rPr>
                <w:sz w:val="20"/>
                <w:szCs w:val="20"/>
              </w:rPr>
              <w:t>14−11=3 patients did not complete PFMT.</w:t>
            </w:r>
          </w:p>
          <w:p w14:paraId="073E9906" w14:textId="741A874E" w:rsidR="00AB2A06" w:rsidRPr="00A16024" w:rsidRDefault="00E54095" w:rsidP="00E54095">
            <w:pPr>
              <w:spacing w:line="276" w:lineRule="auto"/>
              <w:jc w:val="both"/>
              <w:rPr>
                <w:sz w:val="20"/>
                <w:szCs w:val="20"/>
              </w:rPr>
            </w:pPr>
            <w:r w:rsidRPr="00E54095">
              <w:rPr>
                <w:sz w:val="20"/>
                <w:szCs w:val="20"/>
              </w:rPr>
              <w:t>Thus</w:t>
            </w:r>
            <w:r>
              <w:rPr>
                <w:sz w:val="20"/>
                <w:szCs w:val="20"/>
              </w:rPr>
              <w:t xml:space="preserve">, </w:t>
            </w:r>
            <w:r w:rsidRPr="00E54095">
              <w:rPr>
                <w:sz w:val="20"/>
                <w:szCs w:val="20"/>
              </w:rPr>
              <w:t>14 patients fall into the high completion probability group,</w:t>
            </w:r>
            <w:r>
              <w:rPr>
                <w:sz w:val="20"/>
                <w:szCs w:val="20"/>
              </w:rPr>
              <w:t xml:space="preserve"> </w:t>
            </w:r>
            <w:r w:rsidRPr="00E54095">
              <w:rPr>
                <w:sz w:val="20"/>
                <w:szCs w:val="20"/>
              </w:rPr>
              <w:t>approximately 11 of them actually completed the training,</w:t>
            </w:r>
            <w:r>
              <w:rPr>
                <w:sz w:val="20"/>
                <w:szCs w:val="20"/>
              </w:rPr>
              <w:t xml:space="preserve"> </w:t>
            </w:r>
            <w:r w:rsidRPr="00E54095">
              <w:rPr>
                <w:sz w:val="20"/>
                <w:szCs w:val="20"/>
              </w:rPr>
              <w:t>approximately 3 did not complete it.</w:t>
            </w:r>
          </w:p>
        </w:tc>
      </w:tr>
    </w:tbl>
    <w:p w14:paraId="5C9FF047" w14:textId="77777777" w:rsidR="00AB2A06" w:rsidRDefault="00AB2A06" w:rsidP="00E54095">
      <w:pPr>
        <w:spacing w:after="0" w:line="480" w:lineRule="auto"/>
        <w:jc w:val="both"/>
      </w:pPr>
    </w:p>
    <w:sectPr w:rsidR="00AB2A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A2"/>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CAA"/>
    <w:rsid w:val="00174C81"/>
    <w:rsid w:val="00207F31"/>
    <w:rsid w:val="002770A0"/>
    <w:rsid w:val="002F486A"/>
    <w:rsid w:val="003424B7"/>
    <w:rsid w:val="004037BB"/>
    <w:rsid w:val="004B5B5E"/>
    <w:rsid w:val="004E011B"/>
    <w:rsid w:val="006F5CD1"/>
    <w:rsid w:val="007C2959"/>
    <w:rsid w:val="00825A49"/>
    <w:rsid w:val="009B45B3"/>
    <w:rsid w:val="00A15CAA"/>
    <w:rsid w:val="00A809BD"/>
    <w:rsid w:val="00A96543"/>
    <w:rsid w:val="00AB2A06"/>
    <w:rsid w:val="00B071B4"/>
    <w:rsid w:val="00B5606A"/>
    <w:rsid w:val="00C96C02"/>
    <w:rsid w:val="00D023F6"/>
    <w:rsid w:val="00D472A0"/>
    <w:rsid w:val="00E04861"/>
    <w:rsid w:val="00E5409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EFB8C"/>
  <w15:chartTrackingRefBased/>
  <w15:docId w15:val="{16039104-0587-4F4E-A1D2-1E682EDE6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4B7"/>
    <w:rPr>
      <w:rFonts w:ascii="Times New Roman" w:hAnsi="Times New Roman"/>
      <w:kern w:val="0"/>
      <w:sz w:val="24"/>
      <w:lang w:val="en-US"/>
      <w14:ligatures w14:val="none"/>
    </w:rPr>
  </w:style>
  <w:style w:type="paragraph" w:styleId="Balk1">
    <w:name w:val="heading 1"/>
    <w:basedOn w:val="Normal"/>
    <w:next w:val="Normal"/>
    <w:link w:val="Balk1Char"/>
    <w:uiPriority w:val="9"/>
    <w:qFormat/>
    <w:rsid w:val="00A15C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A15C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15CA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15CA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alk5">
    <w:name w:val="heading 5"/>
    <w:basedOn w:val="Normal"/>
    <w:next w:val="Normal"/>
    <w:link w:val="Balk5Char"/>
    <w:uiPriority w:val="9"/>
    <w:semiHidden/>
    <w:unhideWhenUsed/>
    <w:qFormat/>
    <w:rsid w:val="00A15CAA"/>
    <w:pPr>
      <w:keepNext/>
      <w:keepLines/>
      <w:spacing w:before="80" w:after="40"/>
      <w:outlineLvl w:val="4"/>
    </w:pPr>
    <w:rPr>
      <w:rFonts w:asciiTheme="minorHAnsi" w:eastAsiaTheme="majorEastAsia" w:hAnsiTheme="minorHAnsi" w:cstheme="majorBidi"/>
      <w:color w:val="0F4761" w:themeColor="accent1" w:themeShade="BF"/>
    </w:rPr>
  </w:style>
  <w:style w:type="paragraph" w:styleId="Balk6">
    <w:name w:val="heading 6"/>
    <w:basedOn w:val="Normal"/>
    <w:next w:val="Normal"/>
    <w:link w:val="Balk6Char"/>
    <w:uiPriority w:val="9"/>
    <w:semiHidden/>
    <w:unhideWhenUsed/>
    <w:qFormat/>
    <w:rsid w:val="00A15CAA"/>
    <w:pPr>
      <w:keepNext/>
      <w:keepLines/>
      <w:spacing w:before="40" w:after="0"/>
      <w:outlineLvl w:val="5"/>
    </w:pPr>
    <w:rPr>
      <w:rFonts w:asciiTheme="minorHAnsi" w:eastAsiaTheme="majorEastAsia" w:hAnsiTheme="minorHAnsi" w:cstheme="majorBidi"/>
      <w:i/>
      <w:iCs/>
      <w:color w:val="595959" w:themeColor="text1" w:themeTint="A6"/>
    </w:rPr>
  </w:style>
  <w:style w:type="paragraph" w:styleId="Balk7">
    <w:name w:val="heading 7"/>
    <w:basedOn w:val="Normal"/>
    <w:next w:val="Normal"/>
    <w:link w:val="Balk7Char"/>
    <w:uiPriority w:val="9"/>
    <w:semiHidden/>
    <w:unhideWhenUsed/>
    <w:qFormat/>
    <w:rsid w:val="00A15CAA"/>
    <w:pPr>
      <w:keepNext/>
      <w:keepLines/>
      <w:spacing w:before="40" w:after="0"/>
      <w:outlineLvl w:val="6"/>
    </w:pPr>
    <w:rPr>
      <w:rFonts w:asciiTheme="minorHAnsi" w:eastAsiaTheme="majorEastAsia" w:hAnsiTheme="minorHAnsi" w:cstheme="majorBidi"/>
      <w:color w:val="595959" w:themeColor="text1" w:themeTint="A6"/>
    </w:rPr>
  </w:style>
  <w:style w:type="paragraph" w:styleId="Balk8">
    <w:name w:val="heading 8"/>
    <w:basedOn w:val="Normal"/>
    <w:next w:val="Normal"/>
    <w:link w:val="Balk8Char"/>
    <w:uiPriority w:val="9"/>
    <w:semiHidden/>
    <w:unhideWhenUsed/>
    <w:qFormat/>
    <w:rsid w:val="00A15CAA"/>
    <w:pPr>
      <w:keepNext/>
      <w:keepLines/>
      <w:spacing w:after="0"/>
      <w:outlineLvl w:val="7"/>
    </w:pPr>
    <w:rPr>
      <w:rFonts w:asciiTheme="minorHAnsi" w:eastAsiaTheme="majorEastAsia" w:hAnsiTheme="minorHAnsi" w:cstheme="majorBidi"/>
      <w:i/>
      <w:iCs/>
      <w:color w:val="272727" w:themeColor="text1" w:themeTint="D8"/>
    </w:rPr>
  </w:style>
  <w:style w:type="paragraph" w:styleId="Balk9">
    <w:name w:val="heading 9"/>
    <w:basedOn w:val="Normal"/>
    <w:next w:val="Normal"/>
    <w:link w:val="Balk9Char"/>
    <w:uiPriority w:val="9"/>
    <w:semiHidden/>
    <w:unhideWhenUsed/>
    <w:qFormat/>
    <w:rsid w:val="00A15CAA"/>
    <w:pPr>
      <w:keepNext/>
      <w:keepLines/>
      <w:spacing w:after="0"/>
      <w:outlineLvl w:val="8"/>
    </w:pPr>
    <w:rPr>
      <w:rFonts w:asciiTheme="minorHAnsi" w:eastAsiaTheme="majorEastAsia" w:hAnsiTheme="minorHAnsi"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INAV">
    <w:name w:val="SINAV"/>
    <w:basedOn w:val="Normal"/>
    <w:link w:val="SINAVChar"/>
    <w:qFormat/>
    <w:rsid w:val="00C96C02"/>
    <w:pPr>
      <w:spacing w:after="40"/>
      <w:jc w:val="both"/>
    </w:pPr>
    <w:rPr>
      <w:rFonts w:ascii="Arial Narrow" w:hAnsi="Arial Narrow"/>
      <w:sz w:val="17"/>
    </w:rPr>
  </w:style>
  <w:style w:type="character" w:customStyle="1" w:styleId="SINAVChar">
    <w:name w:val="SINAV Char"/>
    <w:basedOn w:val="VarsaylanParagrafYazTipi"/>
    <w:link w:val="SINAV"/>
    <w:rsid w:val="00C96C02"/>
    <w:rPr>
      <w:rFonts w:ascii="Arial Narrow" w:hAnsi="Arial Narrow"/>
      <w:kern w:val="0"/>
      <w:sz w:val="17"/>
      <w:lang w:val="en-US"/>
      <w14:ligatures w14:val="none"/>
    </w:rPr>
  </w:style>
  <w:style w:type="character" w:customStyle="1" w:styleId="Balk1Char">
    <w:name w:val="Başlık 1 Char"/>
    <w:basedOn w:val="VarsaylanParagrafYazTipi"/>
    <w:link w:val="Balk1"/>
    <w:uiPriority w:val="9"/>
    <w:rsid w:val="00A15CAA"/>
    <w:rPr>
      <w:rFonts w:asciiTheme="majorHAnsi" w:eastAsiaTheme="majorEastAsia" w:hAnsiTheme="majorHAnsi" w:cstheme="majorBidi"/>
      <w:color w:val="0F4761" w:themeColor="accent1" w:themeShade="BF"/>
      <w:kern w:val="0"/>
      <w:sz w:val="40"/>
      <w:szCs w:val="40"/>
      <w:lang w:val="en-US"/>
      <w14:ligatures w14:val="none"/>
    </w:rPr>
  </w:style>
  <w:style w:type="character" w:customStyle="1" w:styleId="Balk2Char">
    <w:name w:val="Başlık 2 Char"/>
    <w:basedOn w:val="VarsaylanParagrafYazTipi"/>
    <w:link w:val="Balk2"/>
    <w:uiPriority w:val="9"/>
    <w:semiHidden/>
    <w:rsid w:val="00A15CAA"/>
    <w:rPr>
      <w:rFonts w:asciiTheme="majorHAnsi" w:eastAsiaTheme="majorEastAsia" w:hAnsiTheme="majorHAnsi" w:cstheme="majorBidi"/>
      <w:color w:val="0F4761" w:themeColor="accent1" w:themeShade="BF"/>
      <w:kern w:val="0"/>
      <w:sz w:val="32"/>
      <w:szCs w:val="32"/>
      <w:lang w:val="en-US"/>
      <w14:ligatures w14:val="none"/>
    </w:rPr>
  </w:style>
  <w:style w:type="character" w:customStyle="1" w:styleId="Balk3Char">
    <w:name w:val="Başlık 3 Char"/>
    <w:basedOn w:val="VarsaylanParagrafYazTipi"/>
    <w:link w:val="Balk3"/>
    <w:uiPriority w:val="9"/>
    <w:semiHidden/>
    <w:rsid w:val="00A15CAA"/>
    <w:rPr>
      <w:rFonts w:eastAsiaTheme="majorEastAsia" w:cstheme="majorBidi"/>
      <w:color w:val="0F4761" w:themeColor="accent1" w:themeShade="BF"/>
      <w:kern w:val="0"/>
      <w:sz w:val="28"/>
      <w:szCs w:val="28"/>
      <w:lang w:val="en-US"/>
      <w14:ligatures w14:val="none"/>
    </w:rPr>
  </w:style>
  <w:style w:type="character" w:customStyle="1" w:styleId="Balk4Char">
    <w:name w:val="Başlık 4 Char"/>
    <w:basedOn w:val="VarsaylanParagrafYazTipi"/>
    <w:link w:val="Balk4"/>
    <w:uiPriority w:val="9"/>
    <w:semiHidden/>
    <w:rsid w:val="00A15CAA"/>
    <w:rPr>
      <w:rFonts w:eastAsiaTheme="majorEastAsia" w:cstheme="majorBidi"/>
      <w:i/>
      <w:iCs/>
      <w:color w:val="0F4761" w:themeColor="accent1" w:themeShade="BF"/>
      <w:kern w:val="0"/>
      <w:sz w:val="24"/>
      <w:lang w:val="en-US"/>
      <w14:ligatures w14:val="none"/>
    </w:rPr>
  </w:style>
  <w:style w:type="character" w:customStyle="1" w:styleId="Balk5Char">
    <w:name w:val="Başlık 5 Char"/>
    <w:basedOn w:val="VarsaylanParagrafYazTipi"/>
    <w:link w:val="Balk5"/>
    <w:uiPriority w:val="9"/>
    <w:semiHidden/>
    <w:rsid w:val="00A15CAA"/>
    <w:rPr>
      <w:rFonts w:eastAsiaTheme="majorEastAsia" w:cstheme="majorBidi"/>
      <w:color w:val="0F4761" w:themeColor="accent1" w:themeShade="BF"/>
      <w:kern w:val="0"/>
      <w:sz w:val="24"/>
      <w:lang w:val="en-US"/>
      <w14:ligatures w14:val="none"/>
    </w:rPr>
  </w:style>
  <w:style w:type="character" w:customStyle="1" w:styleId="Balk6Char">
    <w:name w:val="Başlık 6 Char"/>
    <w:basedOn w:val="VarsaylanParagrafYazTipi"/>
    <w:link w:val="Balk6"/>
    <w:uiPriority w:val="9"/>
    <w:semiHidden/>
    <w:rsid w:val="00A15CAA"/>
    <w:rPr>
      <w:rFonts w:eastAsiaTheme="majorEastAsia" w:cstheme="majorBidi"/>
      <w:i/>
      <w:iCs/>
      <w:color w:val="595959" w:themeColor="text1" w:themeTint="A6"/>
      <w:kern w:val="0"/>
      <w:sz w:val="24"/>
      <w:lang w:val="en-US"/>
      <w14:ligatures w14:val="none"/>
    </w:rPr>
  </w:style>
  <w:style w:type="character" w:customStyle="1" w:styleId="Balk7Char">
    <w:name w:val="Başlık 7 Char"/>
    <w:basedOn w:val="VarsaylanParagrafYazTipi"/>
    <w:link w:val="Balk7"/>
    <w:uiPriority w:val="9"/>
    <w:semiHidden/>
    <w:rsid w:val="00A15CAA"/>
    <w:rPr>
      <w:rFonts w:eastAsiaTheme="majorEastAsia" w:cstheme="majorBidi"/>
      <w:color w:val="595959" w:themeColor="text1" w:themeTint="A6"/>
      <w:kern w:val="0"/>
      <w:sz w:val="24"/>
      <w:lang w:val="en-US"/>
      <w14:ligatures w14:val="none"/>
    </w:rPr>
  </w:style>
  <w:style w:type="character" w:customStyle="1" w:styleId="Balk8Char">
    <w:name w:val="Başlık 8 Char"/>
    <w:basedOn w:val="VarsaylanParagrafYazTipi"/>
    <w:link w:val="Balk8"/>
    <w:uiPriority w:val="9"/>
    <w:semiHidden/>
    <w:rsid w:val="00A15CAA"/>
    <w:rPr>
      <w:rFonts w:eastAsiaTheme="majorEastAsia" w:cstheme="majorBidi"/>
      <w:i/>
      <w:iCs/>
      <w:color w:val="272727" w:themeColor="text1" w:themeTint="D8"/>
      <w:kern w:val="0"/>
      <w:sz w:val="24"/>
      <w:lang w:val="en-US"/>
      <w14:ligatures w14:val="none"/>
    </w:rPr>
  </w:style>
  <w:style w:type="character" w:customStyle="1" w:styleId="Balk9Char">
    <w:name w:val="Başlık 9 Char"/>
    <w:basedOn w:val="VarsaylanParagrafYazTipi"/>
    <w:link w:val="Balk9"/>
    <w:uiPriority w:val="9"/>
    <w:semiHidden/>
    <w:rsid w:val="00A15CAA"/>
    <w:rPr>
      <w:rFonts w:eastAsiaTheme="majorEastAsia" w:cstheme="majorBidi"/>
      <w:color w:val="272727" w:themeColor="text1" w:themeTint="D8"/>
      <w:kern w:val="0"/>
      <w:sz w:val="24"/>
      <w:lang w:val="en-US"/>
      <w14:ligatures w14:val="none"/>
    </w:rPr>
  </w:style>
  <w:style w:type="paragraph" w:styleId="KonuBal">
    <w:name w:val="Title"/>
    <w:basedOn w:val="Normal"/>
    <w:next w:val="Normal"/>
    <w:link w:val="KonuBalChar"/>
    <w:uiPriority w:val="10"/>
    <w:qFormat/>
    <w:rsid w:val="00A15C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15CAA"/>
    <w:rPr>
      <w:rFonts w:asciiTheme="majorHAnsi" w:eastAsiaTheme="majorEastAsia" w:hAnsiTheme="majorHAnsi" w:cstheme="majorBidi"/>
      <w:spacing w:val="-10"/>
      <w:kern w:val="28"/>
      <w:sz w:val="56"/>
      <w:szCs w:val="56"/>
      <w:lang w:val="en-US"/>
      <w14:ligatures w14:val="none"/>
    </w:rPr>
  </w:style>
  <w:style w:type="paragraph" w:styleId="Altyaz">
    <w:name w:val="Subtitle"/>
    <w:basedOn w:val="Normal"/>
    <w:next w:val="Normal"/>
    <w:link w:val="AltyazChar"/>
    <w:uiPriority w:val="11"/>
    <w:qFormat/>
    <w:rsid w:val="00A15CA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15CAA"/>
    <w:rPr>
      <w:rFonts w:eastAsiaTheme="majorEastAsia" w:cstheme="majorBidi"/>
      <w:color w:val="595959" w:themeColor="text1" w:themeTint="A6"/>
      <w:spacing w:val="15"/>
      <w:kern w:val="0"/>
      <w:sz w:val="28"/>
      <w:szCs w:val="28"/>
      <w:lang w:val="en-US"/>
      <w14:ligatures w14:val="none"/>
    </w:rPr>
  </w:style>
  <w:style w:type="paragraph" w:styleId="Alnt">
    <w:name w:val="Quote"/>
    <w:basedOn w:val="Normal"/>
    <w:next w:val="Normal"/>
    <w:link w:val="AlntChar"/>
    <w:uiPriority w:val="29"/>
    <w:qFormat/>
    <w:rsid w:val="00A15CA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15CAA"/>
    <w:rPr>
      <w:rFonts w:ascii="Times New Roman" w:hAnsi="Times New Roman"/>
      <w:i/>
      <w:iCs/>
      <w:color w:val="404040" w:themeColor="text1" w:themeTint="BF"/>
      <w:kern w:val="0"/>
      <w:sz w:val="24"/>
      <w:lang w:val="en-US"/>
      <w14:ligatures w14:val="none"/>
    </w:rPr>
  </w:style>
  <w:style w:type="paragraph" w:styleId="ListeParagraf">
    <w:name w:val="List Paragraph"/>
    <w:basedOn w:val="Normal"/>
    <w:uiPriority w:val="34"/>
    <w:qFormat/>
    <w:rsid w:val="00A15CAA"/>
    <w:pPr>
      <w:ind w:left="720"/>
      <w:contextualSpacing/>
    </w:pPr>
  </w:style>
  <w:style w:type="character" w:styleId="GlVurgulama">
    <w:name w:val="Intense Emphasis"/>
    <w:basedOn w:val="VarsaylanParagrafYazTipi"/>
    <w:uiPriority w:val="21"/>
    <w:qFormat/>
    <w:rsid w:val="00A15CAA"/>
    <w:rPr>
      <w:i/>
      <w:iCs/>
      <w:color w:val="0F4761" w:themeColor="accent1" w:themeShade="BF"/>
    </w:rPr>
  </w:style>
  <w:style w:type="paragraph" w:styleId="GlAlnt">
    <w:name w:val="Intense Quote"/>
    <w:basedOn w:val="Normal"/>
    <w:next w:val="Normal"/>
    <w:link w:val="GlAlntChar"/>
    <w:uiPriority w:val="30"/>
    <w:qFormat/>
    <w:rsid w:val="00A15C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15CAA"/>
    <w:rPr>
      <w:rFonts w:ascii="Times New Roman" w:hAnsi="Times New Roman"/>
      <w:i/>
      <w:iCs/>
      <w:color w:val="0F4761" w:themeColor="accent1" w:themeShade="BF"/>
      <w:kern w:val="0"/>
      <w:sz w:val="24"/>
      <w:lang w:val="en-US"/>
      <w14:ligatures w14:val="none"/>
    </w:rPr>
  </w:style>
  <w:style w:type="character" w:styleId="GlBavuru">
    <w:name w:val="Intense Reference"/>
    <w:basedOn w:val="VarsaylanParagrafYazTipi"/>
    <w:uiPriority w:val="32"/>
    <w:qFormat/>
    <w:rsid w:val="00A15CAA"/>
    <w:rPr>
      <w:b/>
      <w:bCs/>
      <w:smallCaps/>
      <w:color w:val="0F4761" w:themeColor="accent1" w:themeShade="BF"/>
      <w:spacing w:val="5"/>
    </w:rPr>
  </w:style>
  <w:style w:type="table" w:styleId="TabloKlavuzu">
    <w:name w:val="Table Grid"/>
    <w:basedOn w:val="NormalTablo"/>
    <w:uiPriority w:val="39"/>
    <w:rsid w:val="00AB2A0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1521</Words>
  <Characters>8673</Characters>
  <Application>Microsoft Office Word</Application>
  <DocSecurity>0</DocSecurity>
  <Lines>72</Lines>
  <Paragraphs>20</Paragraphs>
  <ScaleCrop>false</ScaleCrop>
  <Company/>
  <LinksUpToDate>false</LinksUpToDate>
  <CharactersWithSpaces>10174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Elif Duygu</dc:creator>
  <cp:keywords/>
  <dc:description/>
  <cp:lastModifiedBy>Elif Duygu</cp:lastModifiedBy>
  <cp:revision>4</cp:revision>
  <dcterms:created xsi:type="dcterms:W3CDTF">2026-07-25T18:35:00Z</dcterms:created>
  <dcterms:modified xsi:type="dcterms:W3CDTF">2026-07-26T11:32:00Z</dcterms:modified>
</cp:coreProperties>
</file>