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491D4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Supplementary Tables</w:t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2"/>
        <w:gridCol w:w="2203"/>
        <w:gridCol w:w="2672"/>
        <w:gridCol w:w="3928"/>
        <w:gridCol w:w="4175"/>
      </w:tblGrid>
      <w:tr w14:paraId="00A3A1DD">
        <w:trPr>
          <w:cantSplit/>
          <w:jc w:val="center"/>
        </w:trPr>
        <w:tc>
          <w:tcPr>
            <w:tcW w:w="15540" w:type="dxa"/>
            <w:gridSpan w:val="5"/>
            <w:tcBorders>
              <w:top w:val="nil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CB26FE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1. Missingness of Candidate Variables Before Imputation</w:t>
            </w:r>
          </w:p>
        </w:tc>
      </w:tr>
      <w:tr w14:paraId="73A7BC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85489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Variable</w:t>
            </w:r>
          </w:p>
        </w:tc>
        <w:tc>
          <w:tcPr>
            <w:tcW w:w="2203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3FAB1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Missing n</w:t>
            </w:r>
          </w:p>
        </w:tc>
        <w:tc>
          <w:tcPr>
            <w:tcW w:w="267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947B73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Missing %</w:t>
            </w:r>
          </w:p>
        </w:tc>
        <w:tc>
          <w:tcPr>
            <w:tcW w:w="3928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50A8EF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Role</w:t>
            </w:r>
          </w:p>
        </w:tc>
        <w:tc>
          <w:tcPr>
            <w:tcW w:w="417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6D92D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Imputation or handling</w:t>
            </w:r>
          </w:p>
        </w:tc>
      </w:tr>
      <w:tr w14:paraId="1560E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F0BF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pH</w:t>
            </w:r>
          </w:p>
        </w:tc>
        <w:tc>
          <w:tcPr>
            <w:tcW w:w="2203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F81AE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82</w:t>
            </w:r>
          </w:p>
        </w:tc>
        <w:tc>
          <w:tcPr>
            <w:tcW w:w="2672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2D3C6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14.99</w:t>
            </w:r>
          </w:p>
        </w:tc>
        <w:tc>
          <w:tcPr>
            <w:tcW w:w="3928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731A8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CC8D9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4EDC8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BFDF8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PaCO₂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EF83A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81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9990C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14.81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54F61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71C69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0449E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46DCB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PaO₂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8D5B6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F9387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14.63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72AB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2E2B9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55046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AC0A9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WBC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201A2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9914D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5.12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C0D2B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61B90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1BF4F9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99462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NE%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252A0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28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AED1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5.12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F595C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8066D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414FE8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1F145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F</w:t>
            </w:r>
            <w:r>
              <w:rPr>
                <w:rFonts w:cs="Times New Roman"/>
                <w:sz w:val="28"/>
                <w:szCs w:val="28"/>
              </w:rPr>
              <w:t>ever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5B5D2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10EF4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3.66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B7DE9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E32D5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0F01F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968A2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mMRC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3EE15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57CB6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2.19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221CF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BEB3B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798A0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AE383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A</w:t>
            </w:r>
            <w:r>
              <w:rPr>
                <w:rFonts w:cs="Times New Roman"/>
                <w:sz w:val="28"/>
                <w:szCs w:val="28"/>
              </w:rPr>
              <w:t>ge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AEF7F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6A6BE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0.55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B991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1736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754EB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7E881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S</w:t>
            </w:r>
            <w:r>
              <w:rPr>
                <w:rFonts w:cs="Times New Roman"/>
                <w:sz w:val="28"/>
                <w:szCs w:val="28"/>
              </w:rPr>
              <w:t>ex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389CC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E3226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0.55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ABDE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9305B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718FC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C25D5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HR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84AF4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43E4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9DCEB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10C62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3CD73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1D097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RR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00F4D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BCE6E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F39BE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B131F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74D86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B5BEB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SBP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62FF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F2821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766DB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5C453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664E2B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16F98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SpO</w:t>
            </w:r>
            <w:r>
              <w:rPr>
                <w:rFonts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70BC0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EAA45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AFC6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61999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61186A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F2E0D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Hypertension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A866A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76161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3B386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EF36D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457DE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B286F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Diabetes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F011F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EDE39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41A36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27589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229DA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17E4C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COPD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B09A0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12FD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8B5FB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E4B26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7CCB3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2DFA1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PAH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E0E10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24E59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88A00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6F318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4F22E6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30C67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GERD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39DB7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A4DB6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8154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94D10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102B65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01406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IPF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116F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FE2C9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01372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ADCA0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543E73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86F552"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CTD-ILD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0D8A36"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90DB65"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EDD9C1"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2C06C8">
            <w:pPr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en-US" w:bidi="ar-SA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5CF212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DBF13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S</w:t>
            </w:r>
            <w:r>
              <w:rPr>
                <w:rFonts w:cs="Times New Roman"/>
                <w:sz w:val="28"/>
                <w:szCs w:val="28"/>
              </w:rPr>
              <w:t>moke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C14AF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66590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720CE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66C07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589F16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C0B6C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C</w:t>
            </w:r>
            <w:r>
              <w:rPr>
                <w:rFonts w:cs="Times New Roman"/>
                <w:sz w:val="28"/>
                <w:szCs w:val="28"/>
              </w:rPr>
              <w:t>hronic</w:t>
            </w: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cough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319EE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AADCB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E3153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B13DD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2211A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22ED2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HGB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F1CAF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04239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D765F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6EF74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74752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6264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PLT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368B1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81E3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107E1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C11CA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17012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9E043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Na⁺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15B1D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544D7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2D79B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A3625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16D73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452B4C">
            <w:pPr>
              <w:jc w:val="center"/>
              <w:rPr>
                <w:rFonts w:eastAsia="宋体" w:cs="Times New Roman"/>
                <w:sz w:val="28"/>
                <w:szCs w:val="28"/>
                <w:lang w:eastAsia="zh-CN"/>
              </w:rPr>
            </w:pPr>
            <w:r>
              <w:rPr>
                <w:rFonts w:cs="Times New Roman"/>
                <w:sz w:val="28"/>
                <w:szCs w:val="28"/>
              </w:rPr>
              <w:t>K</w:t>
            </w:r>
            <w:r>
              <w:rPr>
                <w:rFonts w:hint="eastAsia" w:eastAsia="宋体" w:cs="Times New Roman"/>
                <w:sz w:val="28"/>
                <w:szCs w:val="28"/>
                <w:vertAlign w:val="superscript"/>
                <w:lang w:eastAsia="zh-CN"/>
              </w:rPr>
              <w:t>+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9AB95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C5460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1CC05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0C2AE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081EC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FFC5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ALT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4B555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14F81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7F5BC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EFF88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636CAB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0D5E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AST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EFD4A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BEF22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5D6F7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899D8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6BB96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065DB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Cr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46E5D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EC3C3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CE5B3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8E8CB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6C7BA9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DA9D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Times New Roman"/>
                <w:sz w:val="28"/>
                <w:szCs w:val="28"/>
              </w:rPr>
              <w:t>Invasive ventilation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C8218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BB83D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BDF81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E2950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09B73C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1F6E7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Non-invasive ventilation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DD170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C86A6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A7315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Candidate predictor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1B84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If missing, imputed within each training fold only</w:t>
            </w:r>
          </w:p>
        </w:tc>
      </w:tr>
      <w:tr w14:paraId="32A0E1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A3780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O</w:t>
            </w:r>
            <w:r>
              <w:rPr>
                <w:rFonts w:cs="Times New Roman"/>
                <w:sz w:val="28"/>
                <w:szCs w:val="28"/>
              </w:rPr>
              <w:t>utcome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41A22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F68FA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F2D41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Outcome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BE391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Outcome; patients with missing outcome were removed before analysis</w:t>
            </w:r>
          </w:p>
        </w:tc>
      </w:tr>
      <w:tr w14:paraId="014A1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FAA36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T</w:t>
            </w:r>
            <w:r>
              <w:rPr>
                <w:rFonts w:cs="Times New Roman"/>
                <w:sz w:val="28"/>
                <w:szCs w:val="28"/>
              </w:rPr>
              <w:t>ime</w:t>
            </w:r>
          </w:p>
        </w:tc>
        <w:tc>
          <w:tcPr>
            <w:tcW w:w="2203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5BD9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267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AB1C0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</w:t>
            </w:r>
          </w:p>
        </w:tc>
        <w:tc>
          <w:tcPr>
            <w:tcW w:w="392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5E60C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Excluded before modeling</w:t>
            </w:r>
          </w:p>
        </w:tc>
        <w:tc>
          <w:tcPr>
            <w:tcW w:w="4175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B47DC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Excluded before modeling</w:t>
            </w:r>
          </w:p>
        </w:tc>
      </w:tr>
      <w:tr w14:paraId="55A32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40" w:type="dxa"/>
            <w:gridSpan w:val="5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64732D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Missingness is summarized in the original sample before model preprocessing. All imputation steps for candidate predictors were conducted within each training fold to reduce information leakage.</w:t>
            </w:r>
          </w:p>
          <w:p w14:paraId="34E8E084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 xml:space="preserve">Abbreviations: ALT, alanine aminotransferase; AST, aspartate aminotransferase; COPD, chronic obstructive pulmonary disease; Cr, serum creatinine; 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CTD-ILD</w:t>
            </w:r>
            <w:r>
              <w:rPr>
                <w:rFonts w:cs="Times New Roman"/>
                <w:sz w:val="28"/>
                <w:szCs w:val="28"/>
              </w:rPr>
              <w:t>, connective tissue disease–associated interstitial lung disease; GERD, gastroesophageal reflux disease; HGB, hemoglobin; HR, heart rate; IPF, idiopathic pulmonary fibrosis; K+, serum potassium; mMRC, modified Medical Research Council dyspnea scale; Na+, serum sodium; NE%, neutrophil percentage; PaCO₂, partial pressure of arterial carbon dioxide; PaO₂, partial pressure of arterial oxygen; PAH, pulmonary arterial hypertension; pH, arterial pH; PLT, platelet count; RR, respiratory rate; SBP, systolic blood pressure; SpO₂, peripheral oxygen saturation; WBC, white blood cell count.</w:t>
            </w:r>
          </w:p>
        </w:tc>
      </w:tr>
    </w:tbl>
    <w:p w14:paraId="4EEF9886">
      <w:pPr>
        <w:spacing w:after="0"/>
        <w:jc w:val="center"/>
        <w:rPr>
          <w:rFonts w:cs="Times New Roman"/>
          <w:sz w:val="28"/>
          <w:szCs w:val="28"/>
        </w:rPr>
      </w:pPr>
    </w:p>
    <w:p w14:paraId="729ABB4F">
      <w:pPr>
        <w:spacing w:after="0"/>
        <w:jc w:val="center"/>
        <w:rPr>
          <w:rFonts w:cs="Times New Roman"/>
          <w:sz w:val="28"/>
          <w:szCs w:val="28"/>
        </w:rPr>
      </w:pPr>
    </w:p>
    <w:p w14:paraId="084A05E9">
      <w:pPr>
        <w:spacing w:after="0"/>
        <w:jc w:val="center"/>
        <w:rPr>
          <w:rFonts w:cs="Times New Roman"/>
          <w:sz w:val="28"/>
          <w:szCs w:val="28"/>
        </w:rPr>
      </w:pPr>
    </w:p>
    <w:p w14:paraId="3A0B38CC">
      <w:pPr>
        <w:spacing w:after="0"/>
        <w:jc w:val="center"/>
        <w:rPr>
          <w:rFonts w:cs="Times New Roman"/>
          <w:sz w:val="28"/>
          <w:szCs w:val="28"/>
        </w:rPr>
      </w:pPr>
    </w:p>
    <w:p w14:paraId="41B4796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tbl>
      <w:tblPr>
        <w:tblStyle w:val="2"/>
        <w:tblW w:w="0" w:type="auto"/>
        <w:jc w:val="center"/>
        <w:tblBorders>
          <w:top w:val="none" w:color="auto" w:sz="0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1714"/>
        <w:gridCol w:w="1436"/>
        <w:gridCol w:w="1693"/>
        <w:gridCol w:w="2528"/>
        <w:gridCol w:w="1865"/>
        <w:gridCol w:w="2464"/>
        <w:gridCol w:w="2188"/>
      </w:tblGrid>
      <w:tr w14:paraId="4DAA546F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tblHeader/>
          <w:jc w:val="center"/>
        </w:trPr>
        <w:tc>
          <w:tcPr>
            <w:tcW w:w="15447" w:type="dxa"/>
            <w:gridSpan w:val="8"/>
            <w:tcBorders>
              <w:bottom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8A7A4B">
            <w:pPr>
              <w:spacing w:after="0" w:line="240" w:lineRule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2. Pairwise comparisons of AUC between the final NN model and comparator models using a patient-level, outcome-stratified paired bootstrap procedure with Holm adjustment</w:t>
            </w:r>
          </w:p>
        </w:tc>
      </w:tr>
      <w:tr w14:paraId="1F4EC7EF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59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C52449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Reference model</w:t>
            </w:r>
          </w:p>
        </w:tc>
        <w:tc>
          <w:tcPr>
            <w:tcW w:w="1714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0DBB5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Comparator model</w:t>
            </w:r>
          </w:p>
        </w:tc>
        <w:tc>
          <w:tcPr>
            <w:tcW w:w="1436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D9DD7D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Reference AUC</w:t>
            </w:r>
          </w:p>
        </w:tc>
        <w:tc>
          <w:tcPr>
            <w:tcW w:w="1693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12E42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Comparator AUC</w:t>
            </w:r>
          </w:p>
        </w:tc>
        <w:tc>
          <w:tcPr>
            <w:tcW w:w="2528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C824B4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AUC difference (95% CI)</w:t>
            </w:r>
          </w:p>
        </w:tc>
        <w:tc>
          <w:tcPr>
            <w:tcW w:w="1865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34FA7D">
            <w:pPr>
              <w:spacing w:after="0"/>
              <w:jc w:val="center"/>
              <w:rPr>
                <w:rFonts w:hint="eastAsia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b/>
                <w:sz w:val="28"/>
                <w:szCs w:val="28"/>
                <w:lang w:val="en-US" w:eastAsia="zh-CN"/>
              </w:rPr>
              <w:t xml:space="preserve">Unadjusted </w:t>
            </w:r>
            <w:r>
              <w:rPr>
                <w:rFonts w:cs="Times New Roman"/>
                <w:b/>
                <w:sz w:val="28"/>
                <w:szCs w:val="28"/>
              </w:rPr>
              <w:t>P value</w:t>
            </w:r>
            <w:r>
              <w:rPr>
                <w:rFonts w:hint="eastAsia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2464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4F6F40">
            <w:pPr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Holm-adjusted P value</w:t>
            </w:r>
          </w:p>
        </w:tc>
        <w:tc>
          <w:tcPr>
            <w:tcW w:w="2188" w:type="dxa"/>
            <w:tcBorders>
              <w:top w:val="single" w:color="auto" w:sz="12" w:space="0"/>
              <w:bottom w:val="single" w:color="auto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297EE5">
            <w:pPr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hint="eastAsia" w:cs="Times New Roman"/>
                <w:b/>
                <w:sz w:val="28"/>
                <w:szCs w:val="28"/>
              </w:rPr>
              <w:t>Significant</w:t>
            </w:r>
            <w:r>
              <w:rPr>
                <w:rFonts w:hint="eastAsia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b/>
                <w:sz w:val="28"/>
                <w:szCs w:val="28"/>
              </w:rPr>
              <w:t>after</w:t>
            </w:r>
            <w:r>
              <w:rPr>
                <w:rFonts w:hint="eastAsia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b/>
                <w:sz w:val="28"/>
                <w:szCs w:val="28"/>
              </w:rPr>
              <w:t>Holm</w:t>
            </w:r>
            <w:r>
              <w:rPr>
                <w:rFonts w:hint="eastAsia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cs="Times New Roman"/>
                <w:b/>
                <w:sz w:val="28"/>
                <w:szCs w:val="28"/>
              </w:rPr>
              <w:t>adjustment</w:t>
            </w:r>
          </w:p>
        </w:tc>
      </w:tr>
      <w:tr w14:paraId="251ED1F9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C9F71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195BD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MLP</w:t>
            </w:r>
          </w:p>
        </w:tc>
        <w:tc>
          <w:tcPr>
            <w:tcW w:w="1436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E608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E8859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0.807</w:t>
            </w:r>
          </w:p>
        </w:tc>
        <w:tc>
          <w:tcPr>
            <w:tcW w:w="2528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5974B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0.013 (-0.009–0.037)</w:t>
            </w:r>
          </w:p>
        </w:tc>
        <w:tc>
          <w:tcPr>
            <w:tcW w:w="1865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DEF37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0.276</w:t>
            </w:r>
          </w:p>
        </w:tc>
        <w:tc>
          <w:tcPr>
            <w:tcW w:w="2464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ABCD25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0.552</w:t>
            </w:r>
          </w:p>
        </w:tc>
        <w:tc>
          <w:tcPr>
            <w:tcW w:w="2188" w:type="dxa"/>
            <w:tcBorders>
              <w:top w:val="single" w:color="auto" w:sz="12" w:space="0"/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416711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0FE54A2E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AF8AA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677D9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RF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4AD26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77194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0.807</w:t>
            </w:r>
          </w:p>
        </w:tc>
        <w:tc>
          <w:tcPr>
            <w:tcW w:w="252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12954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0.014 (-0.012–0.040)</w:t>
            </w:r>
          </w:p>
        </w:tc>
        <w:tc>
          <w:tcPr>
            <w:tcW w:w="1865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F5E42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0.309</w:t>
            </w:r>
          </w:p>
        </w:tc>
        <w:tc>
          <w:tcPr>
            <w:tcW w:w="246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657C14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0.552</w:t>
            </w:r>
          </w:p>
        </w:tc>
        <w:tc>
          <w:tcPr>
            <w:tcW w:w="218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51A23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5F5A50C5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E99C3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1BC97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SVM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0CDD6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97A0E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0.803</w:t>
            </w:r>
          </w:p>
        </w:tc>
        <w:tc>
          <w:tcPr>
            <w:tcW w:w="252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046C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0.017 (-0.007–0.041)</w:t>
            </w:r>
          </w:p>
        </w:tc>
        <w:tc>
          <w:tcPr>
            <w:tcW w:w="1865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C429E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0.164</w:t>
            </w:r>
          </w:p>
        </w:tc>
        <w:tc>
          <w:tcPr>
            <w:tcW w:w="246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B2CCBB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0.492</w:t>
            </w:r>
          </w:p>
        </w:tc>
        <w:tc>
          <w:tcPr>
            <w:tcW w:w="218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2754D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07FA3906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45D12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7676A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AdaBoost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B2AD3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AB50C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0.795</w:t>
            </w:r>
          </w:p>
        </w:tc>
        <w:tc>
          <w:tcPr>
            <w:tcW w:w="252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4699A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0.026 (0.002–0.049)</w:t>
            </w:r>
          </w:p>
        </w:tc>
        <w:tc>
          <w:tcPr>
            <w:tcW w:w="1865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81F18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0.033</w:t>
            </w:r>
          </w:p>
        </w:tc>
        <w:tc>
          <w:tcPr>
            <w:tcW w:w="246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DF48C1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0.165</w:t>
            </w:r>
          </w:p>
        </w:tc>
        <w:tc>
          <w:tcPr>
            <w:tcW w:w="218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BD003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1E60B558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751AB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8F6A8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GBM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F596E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ABE78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0.793</w:t>
            </w:r>
          </w:p>
        </w:tc>
        <w:tc>
          <w:tcPr>
            <w:tcW w:w="252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DEE3D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0.027 (0.002–0.053)</w:t>
            </w:r>
          </w:p>
        </w:tc>
        <w:tc>
          <w:tcPr>
            <w:tcW w:w="1865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D6895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0.033</w:t>
            </w:r>
          </w:p>
        </w:tc>
        <w:tc>
          <w:tcPr>
            <w:tcW w:w="246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7A8647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0.165</w:t>
            </w:r>
          </w:p>
        </w:tc>
        <w:tc>
          <w:tcPr>
            <w:tcW w:w="218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2A625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0A7021F3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82D3E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08349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NB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D5448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B24B6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0.791</w:t>
            </w:r>
          </w:p>
        </w:tc>
        <w:tc>
          <w:tcPr>
            <w:tcW w:w="252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0290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0.030 (0.006–0.055)</w:t>
            </w:r>
          </w:p>
        </w:tc>
        <w:tc>
          <w:tcPr>
            <w:tcW w:w="1865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6A497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0.005</w:t>
            </w:r>
          </w:p>
        </w:tc>
        <w:tc>
          <w:tcPr>
            <w:tcW w:w="246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911260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0.040</w:t>
            </w:r>
          </w:p>
        </w:tc>
        <w:tc>
          <w:tcPr>
            <w:tcW w:w="218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DF2061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Yes</w:t>
            </w:r>
          </w:p>
        </w:tc>
      </w:tr>
      <w:tr w14:paraId="2206E65B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FC162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EA21F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RFE_LR</w:t>
            </w:r>
          </w:p>
        </w:tc>
        <w:tc>
          <w:tcPr>
            <w:tcW w:w="1436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25039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07F7E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0.789</w:t>
            </w:r>
          </w:p>
        </w:tc>
        <w:tc>
          <w:tcPr>
            <w:tcW w:w="252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BDFB0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0.032 (0.005–0.059)</w:t>
            </w:r>
          </w:p>
        </w:tc>
        <w:tc>
          <w:tcPr>
            <w:tcW w:w="1865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536E5E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cs="Times New Roman"/>
                <w:sz w:val="28"/>
                <w:szCs w:val="28"/>
              </w:rPr>
              <w:t>0.0</w:t>
            </w: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2464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680D57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0.126</w:t>
            </w:r>
          </w:p>
        </w:tc>
        <w:tc>
          <w:tcPr>
            <w:tcW w:w="2188" w:type="dxa"/>
            <w:tcBorders>
              <w:tl2br w:val="nil"/>
              <w:tr2bl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C820A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6D512CC4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9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A8B2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NN</w:t>
            </w:r>
          </w:p>
        </w:tc>
        <w:tc>
          <w:tcPr>
            <w:tcW w:w="1714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D5E28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LR</w:t>
            </w:r>
          </w:p>
        </w:tc>
        <w:tc>
          <w:tcPr>
            <w:tcW w:w="1436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60F83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0.821</w:t>
            </w:r>
          </w:p>
        </w:tc>
        <w:tc>
          <w:tcPr>
            <w:tcW w:w="1693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1F2A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0.788</w:t>
            </w:r>
          </w:p>
        </w:tc>
        <w:tc>
          <w:tcPr>
            <w:tcW w:w="2528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A5A6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0.033 (0.007–0.060)</w:t>
            </w:r>
          </w:p>
        </w:tc>
        <w:tc>
          <w:tcPr>
            <w:tcW w:w="1865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F2925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0.014</w:t>
            </w:r>
          </w:p>
        </w:tc>
        <w:tc>
          <w:tcPr>
            <w:tcW w:w="2464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61439A">
            <w:pPr>
              <w:jc w:val="center"/>
              <w:rPr>
                <w:rFonts w:hint="default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0.098</w:t>
            </w:r>
          </w:p>
        </w:tc>
        <w:tc>
          <w:tcPr>
            <w:tcW w:w="2188" w:type="dxa"/>
            <w:tcBorders>
              <w:bottom w:val="single" w:color="000000" w:sz="12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9A48A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>No</w:t>
            </w:r>
          </w:p>
        </w:tc>
      </w:tr>
      <w:tr w14:paraId="0EC4D89D">
        <w:tblPrEx>
          <w:tblBorders>
            <w:top w:val="none" w:color="auto" w:sz="0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447" w:type="dxa"/>
            <w:gridSpan w:val="8"/>
            <w:tcBorders>
              <w:top w:val="single" w:color="000000" w:sz="12" w:space="0"/>
              <w:bottom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928305">
            <w:pPr>
              <w:spacing w:before="0" w:after="0" w:line="240" w:lineRule="auto"/>
              <w:rPr>
                <w:rFonts w:hint="eastAsia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cs="Times New Roman"/>
                <w:sz w:val="28"/>
                <w:szCs w:val="28"/>
              </w:rPr>
              <w:t>Note. AUC difference was calculated as the reference-model AUC minus the comparator-model AUC; therefore, a positive value indicates a higher AUC for the NN model. Two-sided P values were calculated using a patient-level, outcome-stratified paired bootstrap procedure with 2,000 resamples. Holm’s step-down procedure was applied across the eight NN-versus-comparator comparisons to control the family-wise error rate. Statistical significance was defined as a Holm-adjusted P value &lt;0.05. The reported 95% confidence intervals are nominal, unadjusted bootstrap confidence intervals.</w:t>
            </w: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Abbreviations: AdaBoost, adaptive boosting; AUC, area under the receiver operating characteristic curve; CI, confidence interval; GBM, gradient boosting machine; LR, logistic regression; MLP, multilayer perceptron; NB, naive Bayes; NN, neural network; RF, random forest; RFE_LR, recursive feature elimination-based logistic regression; SVM, support vector machine.</w:t>
            </w:r>
          </w:p>
        </w:tc>
      </w:tr>
    </w:tbl>
    <w:p w14:paraId="033BBDD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0"/>
        <w:gridCol w:w="1387"/>
        <w:gridCol w:w="882"/>
        <w:gridCol w:w="1132"/>
        <w:gridCol w:w="1108"/>
        <w:gridCol w:w="1144"/>
        <w:gridCol w:w="1633"/>
        <w:gridCol w:w="1480"/>
        <w:gridCol w:w="1110"/>
        <w:gridCol w:w="1295"/>
        <w:gridCol w:w="1295"/>
        <w:gridCol w:w="1295"/>
      </w:tblGrid>
      <w:tr w14:paraId="3C5CE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551" w:type="dxa"/>
            <w:gridSpan w:val="12"/>
            <w:tcBorders>
              <w:top w:val="nil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D8A5C9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3. Threshold-dependent Classification Performance of Final NN Model</w:t>
            </w:r>
          </w:p>
        </w:tc>
      </w:tr>
      <w:tr w14:paraId="6DCC5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79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6D6FA1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Operating point</w:t>
            </w:r>
          </w:p>
        </w:tc>
        <w:tc>
          <w:tcPr>
            <w:tcW w:w="1387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60477C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Threshold</w:t>
            </w:r>
          </w:p>
        </w:tc>
        <w:tc>
          <w:tcPr>
            <w:tcW w:w="88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A32B47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TP</w:t>
            </w:r>
          </w:p>
        </w:tc>
        <w:tc>
          <w:tcPr>
            <w:tcW w:w="113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C0045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FP</w:t>
            </w:r>
          </w:p>
        </w:tc>
        <w:tc>
          <w:tcPr>
            <w:tcW w:w="1108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73EE6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TN</w:t>
            </w:r>
          </w:p>
        </w:tc>
        <w:tc>
          <w:tcPr>
            <w:tcW w:w="1144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8E9D80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FN</w:t>
            </w:r>
          </w:p>
        </w:tc>
        <w:tc>
          <w:tcPr>
            <w:tcW w:w="1633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3CD911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Sensitivity</w:t>
            </w:r>
          </w:p>
        </w:tc>
        <w:tc>
          <w:tcPr>
            <w:tcW w:w="148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604966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Specificity</w:t>
            </w:r>
          </w:p>
        </w:tc>
        <w:tc>
          <w:tcPr>
            <w:tcW w:w="1110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ECC14C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PPV</w:t>
            </w:r>
          </w:p>
        </w:tc>
        <w:tc>
          <w:tcPr>
            <w:tcW w:w="129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C0422C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NPV</w:t>
            </w:r>
          </w:p>
        </w:tc>
        <w:tc>
          <w:tcPr>
            <w:tcW w:w="129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B7695A">
            <w:pPr>
              <w:spacing w:after="0"/>
              <w:jc w:val="center"/>
              <w:rPr>
                <w:rFonts w:eastAsia="宋体" w:cs="Times New Roman"/>
                <w:sz w:val="28"/>
                <w:szCs w:val="28"/>
                <w:lang w:eastAsia="zh-CN"/>
              </w:rPr>
            </w:pPr>
            <w:r>
              <w:rPr>
                <w:rFonts w:cs="Times New Roman"/>
                <w:b/>
                <w:sz w:val="28"/>
                <w:szCs w:val="28"/>
              </w:rPr>
              <w:t>F1</w:t>
            </w:r>
            <w:r>
              <w:rPr>
                <w:rFonts w:hint="eastAsia" w:eastAsia="宋体" w:cs="Times New Roman"/>
                <w:b/>
                <w:sz w:val="28"/>
                <w:szCs w:val="28"/>
                <w:lang w:eastAsia="zh-CN"/>
              </w:rPr>
              <w:t xml:space="preserve"> score</w:t>
            </w:r>
          </w:p>
        </w:tc>
        <w:tc>
          <w:tcPr>
            <w:tcW w:w="129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517398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Accuracy</w:t>
            </w:r>
          </w:p>
        </w:tc>
      </w:tr>
      <w:tr w14:paraId="11E13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11D80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F1-optimized threshold</w:t>
            </w:r>
          </w:p>
        </w:tc>
        <w:tc>
          <w:tcPr>
            <w:tcW w:w="1387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9977D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0.57</w:t>
            </w:r>
          </w:p>
        </w:tc>
        <w:tc>
          <w:tcPr>
            <w:tcW w:w="882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97FB4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65</w:t>
            </w:r>
          </w:p>
        </w:tc>
        <w:tc>
          <w:tcPr>
            <w:tcW w:w="1132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90A4C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45</w:t>
            </w:r>
          </w:p>
        </w:tc>
        <w:tc>
          <w:tcPr>
            <w:tcW w:w="1108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0EE83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394</w:t>
            </w:r>
          </w:p>
        </w:tc>
        <w:tc>
          <w:tcPr>
            <w:tcW w:w="1144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EEA7F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43</w:t>
            </w:r>
          </w:p>
        </w:tc>
        <w:tc>
          <w:tcPr>
            <w:tcW w:w="1633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ADCA5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0.602</w:t>
            </w:r>
          </w:p>
        </w:tc>
        <w:tc>
          <w:tcPr>
            <w:tcW w:w="1480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37C31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0.897</w:t>
            </w:r>
          </w:p>
        </w:tc>
        <w:tc>
          <w:tcPr>
            <w:tcW w:w="1110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4359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0.591</w:t>
            </w:r>
          </w:p>
        </w:tc>
        <w:tc>
          <w:tcPr>
            <w:tcW w:w="1295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BE83A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0.902</w:t>
            </w:r>
          </w:p>
        </w:tc>
        <w:tc>
          <w:tcPr>
            <w:tcW w:w="1295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CC860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0.596</w:t>
            </w:r>
          </w:p>
        </w:tc>
        <w:tc>
          <w:tcPr>
            <w:tcW w:w="1295" w:type="dxa"/>
            <w:tcBorders>
              <w:top w:val="single" w:color="auto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3E08B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0.839</w:t>
            </w:r>
          </w:p>
        </w:tc>
      </w:tr>
      <w:tr w14:paraId="3D2A3F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EE63A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Sensitivity ≥ 0.80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70B78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0.37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3EB8E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87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48222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5205E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285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B995C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21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B4073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0.806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851EC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0.649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FB47E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0.361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027A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0.931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19DE5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0.499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72B22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0.680</w:t>
            </w:r>
          </w:p>
        </w:tc>
      </w:tr>
      <w:tr w14:paraId="6B5450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D841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Sensitivity ≥ 0.85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55E44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0.33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235F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94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190D5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2198A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254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E8F9A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BF73F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0.870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D05F7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0.579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EBFDF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0.337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7A2E5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0.948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4FA78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0.486</w:t>
            </w: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D9BDD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0.636</w:t>
            </w:r>
          </w:p>
        </w:tc>
      </w:tr>
      <w:tr w14:paraId="0F9462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94800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Sensitivity ≥ 0.90</w:t>
            </w:r>
          </w:p>
        </w:tc>
        <w:tc>
          <w:tcPr>
            <w:tcW w:w="1387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0050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0.29</w:t>
            </w:r>
          </w:p>
        </w:tc>
        <w:tc>
          <w:tcPr>
            <w:tcW w:w="88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1D350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98</w:t>
            </w:r>
          </w:p>
        </w:tc>
        <w:tc>
          <w:tcPr>
            <w:tcW w:w="113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8881B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235</w:t>
            </w:r>
          </w:p>
        </w:tc>
        <w:tc>
          <w:tcPr>
            <w:tcW w:w="110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E6504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204</w:t>
            </w:r>
          </w:p>
        </w:tc>
        <w:tc>
          <w:tcPr>
            <w:tcW w:w="114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A3AAF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E2650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0.907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4B7AD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0.465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B553B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0.294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596EB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0.953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FA520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0.444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28C82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0.552</w:t>
            </w:r>
          </w:p>
        </w:tc>
      </w:tr>
      <w:tr w14:paraId="0CC159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1" w:type="dxa"/>
            <w:gridSpan w:val="12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8288A7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The main threshold was selected by the maximum F1 criterion. Alternative thresholds were chosen as the highest-specificity operating points satisfying prespecified sensitivity targets.</w:t>
            </w:r>
          </w:p>
          <w:p w14:paraId="2F81D74A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F1, harmonic mean of precision and recall; FN, false negatives; FP, false positives; NN, neural network; NPV, negative predictive value; PPV, positive predictive value; TN, true negatives; TP, true positives.</w:t>
            </w:r>
          </w:p>
        </w:tc>
      </w:tr>
    </w:tbl>
    <w:p w14:paraId="7085982F">
      <w:pPr>
        <w:spacing w:after="0"/>
        <w:jc w:val="both"/>
        <w:rPr>
          <w:rFonts w:cs="Times New Roman"/>
          <w:sz w:val="28"/>
          <w:szCs w:val="28"/>
        </w:rPr>
      </w:pPr>
    </w:p>
    <w:p w14:paraId="502C48AC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8"/>
        <w:gridCol w:w="3108"/>
        <w:gridCol w:w="3108"/>
        <w:gridCol w:w="3108"/>
        <w:gridCol w:w="3108"/>
      </w:tblGrid>
      <w:tr w14:paraId="0F0A7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540" w:type="dxa"/>
            <w:gridSpan w:val="5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ECC33A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4. Calibration of Final NN Model Based on Repeated Cross-validated Predictions</w:t>
            </w:r>
          </w:p>
        </w:tc>
      </w:tr>
      <w:tr w14:paraId="42CAB4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10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DBFC7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Calibration group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71AF6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640A5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Deaths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EE9848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Mean predicted risk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54DDB8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Observed mortality</w:t>
            </w:r>
          </w:p>
        </w:tc>
      </w:tr>
      <w:tr w14:paraId="18FEC3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08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750E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BCF43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110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F2DC7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FFC6C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0.152</w:t>
            </w:r>
          </w:p>
        </w:tc>
        <w:tc>
          <w:tcPr>
            <w:tcW w:w="3108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7A619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0.045</w:t>
            </w:r>
          </w:p>
        </w:tc>
      </w:tr>
      <w:tr w14:paraId="298FB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A8C4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87CA0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110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5E52B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986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0.251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169CF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0.045</w:t>
            </w:r>
          </w:p>
        </w:tc>
      </w:tr>
      <w:tr w14:paraId="03D96D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FCDCA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A9B8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109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0F4BD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DC6A7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0.340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ED33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0.156</w:t>
            </w:r>
          </w:p>
        </w:tc>
      </w:tr>
      <w:tr w14:paraId="4D6AC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44F05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C5E20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109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7C6D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827EC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0.465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457A1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0.156</w:t>
            </w:r>
          </w:p>
        </w:tc>
      </w:tr>
      <w:tr w14:paraId="3C423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0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58217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0907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109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62831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64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4B822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0.809</w:t>
            </w:r>
          </w:p>
        </w:tc>
        <w:tc>
          <w:tcPr>
            <w:tcW w:w="310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CD4E5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0.587</w:t>
            </w:r>
          </w:p>
        </w:tc>
      </w:tr>
      <w:tr w14:paraId="7C508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40" w:type="dxa"/>
            <w:gridSpan w:val="5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5404FF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Patients were divided into five groups by predicted risk. Additional calibration metrics: Brier score: 0.159; Calibration intercept: -1.375; Calibration slope: 0.944.</w:t>
            </w:r>
          </w:p>
          <w:p w14:paraId="5D70DB14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CV, cross-validation; N, number of patients; NN, neural network.</w:t>
            </w:r>
          </w:p>
        </w:tc>
      </w:tr>
    </w:tbl>
    <w:p w14:paraId="389806C0">
      <w:pPr>
        <w:jc w:val="both"/>
        <w:rPr>
          <w:rFonts w:cs="Times New Roman"/>
          <w:sz w:val="28"/>
          <w:szCs w:val="28"/>
        </w:rPr>
      </w:pPr>
    </w:p>
    <w:p w14:paraId="3B47CCB1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0"/>
        <w:gridCol w:w="2590"/>
        <w:gridCol w:w="2590"/>
        <w:gridCol w:w="2590"/>
        <w:gridCol w:w="2590"/>
        <w:gridCol w:w="2590"/>
      </w:tblGrid>
      <w:tr w14:paraId="0F597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540" w:type="dxa"/>
            <w:gridSpan w:val="6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846D14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5. Apparent In-sample Exploratory Recalibration Metrics of the Final NN Model</w:t>
            </w:r>
          </w:p>
        </w:tc>
      </w:tr>
      <w:tr w14:paraId="404FA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13751D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Method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80CF8C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Times New Roman"/>
                <w:b/>
                <w:sz w:val="28"/>
                <w:szCs w:val="28"/>
              </w:rPr>
              <w:t>Apparent</w:t>
            </w:r>
            <w:r>
              <w:rPr>
                <w:rFonts w:hint="eastAsia" w:eastAsia="宋体" w:cs="Times New Roman"/>
                <w:b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cs="Times New Roman"/>
                <w:b/>
                <w:sz w:val="28"/>
                <w:szCs w:val="28"/>
              </w:rPr>
              <w:t>Brier score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A70AFF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Calibration intercept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5DAA03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Calibration slope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4FF29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Intercept P value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1B0304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Slope P value</w:t>
            </w:r>
          </w:p>
        </w:tc>
      </w:tr>
      <w:tr w14:paraId="7258A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E309A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Original repeated</w:t>
            </w:r>
            <w:r>
              <w:rPr>
                <w:rFonts w:hint="eastAsia" w:eastAsia="宋体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CV predictions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F71F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0.159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7C2E9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-1.375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14734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0.944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985B5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F5EB8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</w:tr>
      <w:tr w14:paraId="2BE779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79FEF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Platt recalibration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3669E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0.113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896A2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BB477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1.000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B0A6FE">
            <w:pPr>
              <w:jc w:val="center"/>
              <w:rPr>
                <w:rFonts w:eastAsia="宋体" w:cs="Times New Roman"/>
                <w:sz w:val="28"/>
                <w:szCs w:val="28"/>
                <w:lang w:eastAsia="zh-CN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.000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0362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</w:tr>
      <w:tr w14:paraId="168AE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1D02A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I</w:t>
            </w:r>
            <w:r>
              <w:rPr>
                <w:rFonts w:cs="Times New Roman"/>
                <w:sz w:val="28"/>
                <w:szCs w:val="28"/>
              </w:rPr>
              <w:t>sotonic recalibration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FAB8D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0.107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91446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FAF86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1.000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18ED26">
            <w:pPr>
              <w:jc w:val="center"/>
              <w:rPr>
                <w:rFonts w:eastAsia="宋体" w:cs="Times New Roman"/>
                <w:sz w:val="28"/>
                <w:szCs w:val="28"/>
                <w:lang w:eastAsia="zh-CN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>.000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4EA13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</w:tr>
      <w:tr w14:paraId="2B9FF1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40" w:type="dxa"/>
            <w:gridSpan w:val="6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959C74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Platt scaling and isotonic regression were fitted and evaluated on the same patient-level aggregated cross-validation prediction set; external validation and recalibration remain necessary before clinical use.</w:t>
            </w:r>
          </w:p>
          <w:p w14:paraId="5F7E2C2A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CV, cross-validation; NN, neural network; P value, probability value.</w:t>
            </w:r>
          </w:p>
        </w:tc>
      </w:tr>
    </w:tbl>
    <w:p w14:paraId="3200696F">
      <w:pPr>
        <w:spacing w:after="0"/>
        <w:jc w:val="center"/>
        <w:rPr>
          <w:rFonts w:cs="Times New Roman"/>
          <w:sz w:val="28"/>
          <w:szCs w:val="28"/>
        </w:rPr>
      </w:pPr>
    </w:p>
    <w:p w14:paraId="54D9881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4"/>
        <w:gridCol w:w="3884"/>
        <w:gridCol w:w="3884"/>
        <w:gridCol w:w="3884"/>
      </w:tblGrid>
      <w:tr w14:paraId="62E18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36" w:type="dxa"/>
            <w:gridSpan w:val="4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45A541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6. Decision Curve Analysis Values of Final NN Model at Key Thresholds</w:t>
            </w:r>
          </w:p>
        </w:tc>
      </w:tr>
      <w:tr w14:paraId="0FC09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173D7F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Threshold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9EF35F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NN net benefit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EB733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Treat-all net benefit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B07D37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Treat-none net benefit</w:t>
            </w:r>
          </w:p>
        </w:tc>
      </w:tr>
      <w:tr w14:paraId="550C05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8FF69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0.05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F4F25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0.155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02305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0.155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05B56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0EF0AF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2ADA8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0F45B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0.108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F245F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0.108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71D47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3B8EE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8E512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CC690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0.064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E661A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0.056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3C0B6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7959A8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729DE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20596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13483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-0.003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C5765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422D9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B02E9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F7CD3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0.012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879A2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-0.070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31C3B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7C412D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BAC43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05856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DBDF6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-0.147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16D04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56A56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85FA0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0.35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D64E3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-0.004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8456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-0.235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FED10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2558B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23E6B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56DFA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-0.005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CE2BE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-0.338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7840B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1B1907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C3AC5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B833C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0.008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A7BB9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-0.459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D3E5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4FF2C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404C8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C3B6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0.011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39301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-0.605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F77FE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70869C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3DA48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DE4A3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D1815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-0.783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5B8EE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0F11B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3166A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0.60</w:t>
            </w:r>
          </w:p>
        </w:tc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3BF7C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-0.003</w:t>
            </w:r>
          </w:p>
        </w:tc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9E32F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-1.006</w:t>
            </w:r>
          </w:p>
        </w:tc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14F54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</w:tr>
      <w:tr w14:paraId="47847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36" w:type="dxa"/>
            <w:gridSpan w:val="4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ACF6CA">
            <w:pPr>
              <w:spacing w:before="0" w:after="0" w:line="240" w:lineRule="auto"/>
              <w:rPr>
                <w:rFonts w:eastAsia="宋体" w:cs="Times New Roman"/>
                <w:sz w:val="28"/>
                <w:szCs w:val="28"/>
                <w:lang w:eastAsia="zh-CN"/>
              </w:rPr>
            </w:pPr>
            <w:r>
              <w:rPr>
                <w:rFonts w:cs="Times New Roman"/>
                <w:sz w:val="28"/>
                <w:szCs w:val="28"/>
              </w:rPr>
              <w:t>Note. Values are shown at representative thresholds from 0.05 to 0.60, matching the clinical threshold range used for the main decision curve.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                                                                                                                           </w:t>
            </w:r>
          </w:p>
          <w:p w14:paraId="062985FF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DCA, decision curve analysis; NN, neural network.</w:t>
            </w:r>
          </w:p>
        </w:tc>
      </w:tr>
    </w:tbl>
    <w:p w14:paraId="2EF5D521">
      <w:r>
        <w:br w:type="page"/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4"/>
        <w:gridCol w:w="3884"/>
        <w:gridCol w:w="3884"/>
        <w:gridCol w:w="3884"/>
      </w:tblGrid>
      <w:tr w14:paraId="48215E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36" w:type="dxa"/>
            <w:gridSpan w:val="4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744900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Supplementary Table 7. Clinical Impact Curve Values of Final NN Model at Key Thresholds</w:t>
            </w:r>
          </w:p>
        </w:tc>
      </w:tr>
      <w:tr w14:paraId="223C20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3A7009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Threshold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E8EAE7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High-risk patients per 1,000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886D66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True deaths among high-risk per 1,000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D98E7D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Total deaths per 1,000</w:t>
            </w:r>
          </w:p>
        </w:tc>
      </w:tr>
      <w:tr w14:paraId="2E2767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AD7AE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0.05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51F43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998.2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12063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  <w:tc>
          <w:tcPr>
            <w:tcW w:w="388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84727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7A863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C58B3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0.10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79F3B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983.5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87018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195.6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5185C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0D014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9073D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0.15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B8D64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917.7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0012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192.0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C8A8D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4B691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2880F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0.20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E91C6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808.0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F3D25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188.3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D8560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49251C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2D31B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0.25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D977DF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702.0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D894E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184.6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D55B8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105BBF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BC13D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0.30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51CC5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585.0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19DA8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177.3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E18FF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02DC6A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D559B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0.35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DFA3B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471.7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985BF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162.7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0D5E0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37B66B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0133D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0.40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2EA75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378.4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D64BC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148.1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25303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60464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4E3F5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0.45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E1B95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307.1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90F1E3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142.6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9C67C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55721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21F242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0.50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578A9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252.3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6CC10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131.6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36629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05CEC0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7249DB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0.55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880E3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208.4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96C5B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120.7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2B3CF8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49AD7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CA0F7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0.60</w:t>
            </w:r>
          </w:p>
        </w:tc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C11E81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184.6</w:t>
            </w:r>
          </w:p>
        </w:tc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BC0A84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109.7</w:t>
            </w:r>
          </w:p>
        </w:tc>
        <w:tc>
          <w:tcPr>
            <w:tcW w:w="388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EC20A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197.4</w:t>
            </w:r>
          </w:p>
        </w:tc>
      </w:tr>
      <w:tr w14:paraId="75433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36" w:type="dxa"/>
            <w:gridSpan w:val="4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84DE56">
            <w:pPr>
              <w:spacing w:before="0" w:after="0" w:line="240" w:lineRule="auto"/>
              <w:rPr>
                <w:rFonts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cs="Times New Roman"/>
                <w:sz w:val="24"/>
                <w:szCs w:val="24"/>
              </w:rPr>
              <w:t>Note. Values are expressed per 1,000 patients and are shown at representative thresholds from 0.05 to 0.60.</w:t>
            </w:r>
          </w:p>
          <w:p w14:paraId="450CBD5C">
            <w:pPr>
              <w:spacing w:before="0" w:after="0" w:line="240" w:lineRule="auto"/>
            </w:pPr>
            <w:r>
              <w:rPr>
                <w:sz w:val="21"/>
              </w:rPr>
              <w:t>Abbreviations: CIC, clinical impact curve; NN, neural network.</w:t>
            </w:r>
          </w:p>
        </w:tc>
      </w:tr>
    </w:tbl>
    <w:p w14:paraId="6ACFE512">
      <w:r>
        <w:br w:type="page"/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1"/>
        <w:gridCol w:w="1552"/>
        <w:gridCol w:w="1544"/>
        <w:gridCol w:w="1548"/>
        <w:gridCol w:w="1707"/>
        <w:gridCol w:w="1552"/>
        <w:gridCol w:w="1552"/>
        <w:gridCol w:w="1552"/>
        <w:gridCol w:w="1546"/>
        <w:gridCol w:w="1554"/>
      </w:tblGrid>
      <w:tr w14:paraId="418138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658" w:type="dxa"/>
            <w:gridSpan w:val="10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B3C45F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8. NIV-related Sensitivity Analyses</w:t>
            </w:r>
          </w:p>
        </w:tc>
      </w:tr>
      <w:tr w14:paraId="60D1E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551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734E60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Analysis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9268E8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Subgroup</w:t>
            </w:r>
          </w:p>
        </w:tc>
        <w:tc>
          <w:tcPr>
            <w:tcW w:w="154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CF5051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1548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490A92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Events</w:t>
            </w:r>
          </w:p>
        </w:tc>
        <w:tc>
          <w:tcPr>
            <w:tcW w:w="1707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274008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AUC or AUC difference (95% CI)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D04733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Threshold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4856A1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Sensitivity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3035EE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Specificity</w:t>
            </w:r>
          </w:p>
        </w:tc>
        <w:tc>
          <w:tcPr>
            <w:tcW w:w="1546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91C453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F1</w:t>
            </w:r>
          </w:p>
        </w:tc>
        <w:tc>
          <w:tcPr>
            <w:tcW w:w="1554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258E53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Comment</w:t>
            </w:r>
          </w:p>
        </w:tc>
      </w:tr>
      <w:tr w14:paraId="51C77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1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C40B5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NIV alone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F3D7A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Overall</w:t>
            </w:r>
          </w:p>
        </w:tc>
        <w:tc>
          <w:tcPr>
            <w:tcW w:w="154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A513C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547</w:t>
            </w:r>
          </w:p>
        </w:tc>
        <w:tc>
          <w:tcPr>
            <w:tcW w:w="1548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F4D20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108</w:t>
            </w:r>
          </w:p>
        </w:tc>
        <w:tc>
          <w:tcPr>
            <w:tcW w:w="1707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2904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0.626 (0.584–0.669)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9F36D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0.50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07856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0.269</w:t>
            </w:r>
          </w:p>
        </w:tc>
        <w:tc>
          <w:tcPr>
            <w:tcW w:w="1552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94F20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0.984</w:t>
            </w:r>
          </w:p>
        </w:tc>
        <w:tc>
          <w:tcPr>
            <w:tcW w:w="1546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1669F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0.403</w:t>
            </w:r>
          </w:p>
        </w:tc>
        <w:tc>
          <w:tcPr>
            <w:tcW w:w="1554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ECC82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Univariable NIV predictor</w:t>
            </w:r>
          </w:p>
        </w:tc>
      </w:tr>
      <w:tr w14:paraId="4D8B3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471D4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Final NN vs NIV alone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3A5F0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Overall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5C07F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547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AACE7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108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BFCAE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0.194 (0.147–0.243)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D7DCAE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39D41A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8AE1EE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0A444D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EAF37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AUC difference; P&lt;0.001</w:t>
            </w:r>
          </w:p>
        </w:tc>
      </w:tr>
      <w:tr w14:paraId="3465E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C8323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Final NN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3B405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NIV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=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0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1F699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511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23DED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79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27BA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0.769 (0.709–0.830)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2C05F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0.57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EDB9A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0.456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F855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0.912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F79F7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0.471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ADD23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Subgroup performance</w:t>
            </w:r>
          </w:p>
        </w:tc>
      </w:tr>
      <w:tr w14:paraId="3AEE7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92D88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Final NN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8A2DC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NIV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=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0A16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36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FF17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29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382F5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0.591 (0.314–0.868)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7D7E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0.57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6B5A3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1.000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715FD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0.000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760C0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0.892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B925D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Subgroup performance</w:t>
            </w:r>
          </w:p>
        </w:tc>
      </w:tr>
      <w:tr w14:paraId="39567C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51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B0D1D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Excluding NIV workflow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703F1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Overall</w:t>
            </w:r>
          </w:p>
        </w:tc>
        <w:tc>
          <w:tcPr>
            <w:tcW w:w="154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3212F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547</w:t>
            </w:r>
          </w:p>
        </w:tc>
        <w:tc>
          <w:tcPr>
            <w:tcW w:w="1548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0ED9B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108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C1F8B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0.790 (0.737–0.842)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709FF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0.61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B6764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0.593</w:t>
            </w:r>
          </w:p>
        </w:tc>
        <w:tc>
          <w:tcPr>
            <w:tcW w:w="1552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E3E1E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0.902</w:t>
            </w:r>
          </w:p>
        </w:tc>
        <w:tc>
          <w:tcPr>
            <w:tcW w:w="1546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5D19A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0.595</w:t>
            </w:r>
          </w:p>
        </w:tc>
        <w:tc>
          <w:tcPr>
            <w:tcW w:w="1554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AEF0B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Final model without NIV: MLP</w:t>
            </w:r>
          </w:p>
        </w:tc>
      </w:tr>
      <w:tr w14:paraId="450D0F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658" w:type="dxa"/>
            <w:gridSpan w:val="10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EA3556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NIV refers to non-invasive ventilation use during the early post-admission window defined in the manuscript. This table summarizes NIV-only prediction, final-model performance by NIV subgroup, AUC comparison with NIV alone, and the repeated modeling workflow after excluding NIV.</w:t>
            </w:r>
          </w:p>
          <w:p w14:paraId="56353E0C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AUC, area under the receiver operating characteristic curve; CI, confidence interval; F1, harmonic mean of precision and recall; MLP, multilayer perceptron; N, number of patients; NIV, non-invasive ventilation; NN, neural network; P value, probability value.</w:t>
            </w:r>
          </w:p>
        </w:tc>
      </w:tr>
    </w:tbl>
    <w:p w14:paraId="2105E013">
      <w:pPr>
        <w:spacing w:after="0"/>
        <w:jc w:val="center"/>
        <w:rPr>
          <w:rFonts w:cs="Times New Roman"/>
          <w:sz w:val="28"/>
          <w:szCs w:val="28"/>
        </w:rPr>
      </w:pPr>
      <w:r>
        <w:br w:type="page"/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9"/>
        <w:gridCol w:w="7769"/>
      </w:tblGrid>
      <w:tr w14:paraId="594852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538" w:type="dxa"/>
            <w:gridSpan w:val="2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9C67D6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9. SHAP Feature Importance for Final NN Explanatory Model</w:t>
            </w:r>
          </w:p>
        </w:tc>
      </w:tr>
      <w:tr w14:paraId="3858C9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769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8D6B0B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Variable</w:t>
            </w:r>
          </w:p>
        </w:tc>
        <w:tc>
          <w:tcPr>
            <w:tcW w:w="7769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505EFC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Mean absolute SHAP value</w:t>
            </w:r>
          </w:p>
        </w:tc>
      </w:tr>
      <w:tr w14:paraId="751B8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69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29D4A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mMRC</w:t>
            </w:r>
          </w:p>
        </w:tc>
        <w:tc>
          <w:tcPr>
            <w:tcW w:w="7769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D0E62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0.123</w:t>
            </w:r>
          </w:p>
        </w:tc>
      </w:tr>
      <w:tr w14:paraId="2534A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A96F0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IPF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=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Yes</w:t>
            </w:r>
          </w:p>
        </w:tc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148B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0.119</w:t>
            </w:r>
          </w:p>
        </w:tc>
      </w:tr>
      <w:tr w14:paraId="781D1F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4D7E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PaO₂</w:t>
            </w:r>
          </w:p>
        </w:tc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0273B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0.079</w:t>
            </w:r>
          </w:p>
        </w:tc>
      </w:tr>
      <w:tr w14:paraId="03D30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3CEFB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NE%</w:t>
            </w:r>
          </w:p>
        </w:tc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C5301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0.068</w:t>
            </w:r>
          </w:p>
        </w:tc>
      </w:tr>
      <w:tr w14:paraId="3CADB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12B70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Hypertension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=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Yes</w:t>
            </w:r>
          </w:p>
        </w:tc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0407D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0.050</w:t>
            </w:r>
          </w:p>
        </w:tc>
      </w:tr>
      <w:tr w14:paraId="2688E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69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98117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NIV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=</w:t>
            </w:r>
            <w:r>
              <w:rPr>
                <w:rFonts w:hint="eastAsia" w:eastAsia="宋体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Yes</w:t>
            </w:r>
          </w:p>
        </w:tc>
        <w:tc>
          <w:tcPr>
            <w:tcW w:w="7769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E3503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0.032</w:t>
            </w:r>
          </w:p>
        </w:tc>
      </w:tr>
      <w:tr w14:paraId="4AB39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38" w:type="dxa"/>
            <w:gridSpan w:val="2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32A367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Mean absolute SHAP values summarize the average contribution magnitude of each feature to the final explanatory NN model output. SHAP values describe model behavior, not causal effects.</w:t>
            </w:r>
          </w:p>
          <w:p w14:paraId="71272D7B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IPF, idiopathic pulmonary fibrosis; mMRC, modified Medical Research Council dyspnea scale; NE%, neutrophil percentage; NIV, non-invasive ventilation; NN, neural network; PaO₂, partial pressure of arterial oxygen; SHAP, Shapley additive explanations.</w:t>
            </w:r>
          </w:p>
        </w:tc>
      </w:tr>
    </w:tbl>
    <w:p w14:paraId="6779859D">
      <w:pPr>
        <w:spacing w:after="0"/>
        <w:jc w:val="center"/>
        <w:rPr>
          <w:rFonts w:cs="Times New Roman"/>
          <w:sz w:val="28"/>
          <w:szCs w:val="28"/>
        </w:rPr>
      </w:pPr>
    </w:p>
    <w:p w14:paraId="3C07B9E4">
      <w:pPr>
        <w:jc w:val="center"/>
        <w:rPr>
          <w:rFonts w:cs="Times New Roman"/>
          <w:sz w:val="28"/>
          <w:szCs w:val="28"/>
        </w:rPr>
      </w:pPr>
    </w:p>
    <w:p w14:paraId="0F734236">
      <w:pPr>
        <w:jc w:val="center"/>
        <w:rPr>
          <w:rFonts w:cs="Times New Roman"/>
          <w:sz w:val="28"/>
          <w:szCs w:val="28"/>
        </w:rPr>
      </w:pPr>
    </w:p>
    <w:p w14:paraId="53BFD80D">
      <w:pPr>
        <w:jc w:val="center"/>
        <w:rPr>
          <w:rFonts w:cs="Times New Roman"/>
          <w:sz w:val="28"/>
          <w:szCs w:val="28"/>
        </w:rPr>
      </w:pPr>
    </w:p>
    <w:p w14:paraId="01D03AAD">
      <w:pPr>
        <w:jc w:val="center"/>
        <w:rPr>
          <w:rFonts w:cs="Times New Roman"/>
          <w:sz w:val="28"/>
          <w:szCs w:val="28"/>
        </w:rPr>
      </w:pPr>
    </w:p>
    <w:p w14:paraId="2C67AB0F">
      <w:pPr>
        <w:jc w:val="center"/>
        <w:rPr>
          <w:rFonts w:cs="Times New Roman"/>
          <w:sz w:val="28"/>
          <w:szCs w:val="28"/>
        </w:rPr>
      </w:pPr>
    </w:p>
    <w:p w14:paraId="201A1860">
      <w:pPr>
        <w:jc w:val="center"/>
        <w:rPr>
          <w:rFonts w:cs="Times New Roman"/>
          <w:sz w:val="28"/>
          <w:szCs w:val="28"/>
        </w:rPr>
      </w:pPr>
    </w:p>
    <w:p w14:paraId="2425CEA7">
      <w:pPr>
        <w:jc w:val="center"/>
        <w:rPr>
          <w:rFonts w:cs="Times New Roman"/>
          <w:sz w:val="28"/>
          <w:szCs w:val="28"/>
        </w:rPr>
      </w:pPr>
    </w:p>
    <w:p w14:paraId="5975A3D9">
      <w:pPr>
        <w:jc w:val="center"/>
        <w:rPr>
          <w:rFonts w:cs="Times New Roman"/>
          <w:sz w:val="28"/>
          <w:szCs w:val="28"/>
        </w:rPr>
      </w:pPr>
    </w:p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0"/>
        <w:gridCol w:w="2590"/>
        <w:gridCol w:w="2590"/>
        <w:gridCol w:w="2590"/>
        <w:gridCol w:w="2590"/>
        <w:gridCol w:w="2590"/>
      </w:tblGrid>
      <w:tr w14:paraId="6D7FD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5540" w:type="dxa"/>
            <w:gridSpan w:val="6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1BAB1B">
            <w:pPr>
              <w:spacing w:after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10. Coefficients and Odds Ratios of Final Full-data RFE_LR Model</w:t>
            </w:r>
          </w:p>
        </w:tc>
      </w:tr>
      <w:tr w14:paraId="53A802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FB59A6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Term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AB2206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β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452F86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SE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3CFE60">
            <w:pPr>
              <w:spacing w:after="0"/>
              <w:jc w:val="center"/>
              <w:rPr>
                <w:rFonts w:eastAsia="宋体" w:cs="Times New Roman"/>
                <w:sz w:val="28"/>
                <w:szCs w:val="28"/>
                <w:lang w:eastAsia="zh-CN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Wald </w:t>
            </w:r>
            <w:r>
              <w:rPr>
                <w:rFonts w:hint="eastAsia" w:eastAsia="宋体" w:cs="Times New Roman"/>
                <w:b/>
                <w:sz w:val="28"/>
                <w:szCs w:val="28"/>
                <w:lang w:eastAsia="zh-CN"/>
              </w:rPr>
              <w:t>z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F7626C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 value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878FE5">
            <w:pPr>
              <w:spacing w:after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OR (95% CI)</w:t>
            </w:r>
          </w:p>
        </w:tc>
      </w:tr>
      <w:tr w14:paraId="61F1D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7BB9C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(Intercept)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930F0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-1.867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B5B7B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0.154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56F99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-12.094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B31D6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7CE88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0.155 (0.114–0.209)</w:t>
            </w:r>
          </w:p>
        </w:tc>
      </w:tr>
      <w:tr w14:paraId="46113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147A7E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Hypertension=Yes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ABE1D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0.505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045D3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0.108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79960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4.679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7C313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7A476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1.658 (1.341–2.048)</w:t>
            </w:r>
          </w:p>
        </w:tc>
      </w:tr>
      <w:tr w14:paraId="0E5D34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ED723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NE%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44AD1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0.659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B0E27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0.148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EB941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4.442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9C1E8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4CE0E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1.933 (1.445–2.586)</w:t>
            </w:r>
          </w:p>
        </w:tc>
      </w:tr>
      <w:tr w14:paraId="51C85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C01E8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NIV=Yes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5FEA6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0.529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B01E3A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0.126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84628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4.198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C4852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34CDC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1.698 (1.326–2.174)</w:t>
            </w:r>
          </w:p>
        </w:tc>
      </w:tr>
      <w:tr w14:paraId="1E07B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E394F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mMRC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D5D4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0.576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48918C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0.156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047DA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3.696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5548A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D2335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1.779 (1.311–2.414)</w:t>
            </w:r>
          </w:p>
        </w:tc>
      </w:tr>
      <w:tr w14:paraId="4D58F0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23C8E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IPF=Yes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DF5EC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0.493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439A6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0.148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86945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3.332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F4C4C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&lt;0.001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2E394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1.636 (1.225–2.186)</w:t>
            </w:r>
          </w:p>
        </w:tc>
      </w:tr>
      <w:tr w14:paraId="32A79D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00DB7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Diabetes=Yes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EFFD8F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-0.373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DF199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0.157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E46F2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-2.375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88C36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0.018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BBE0B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0.688 (0.506–0.937)</w:t>
            </w:r>
          </w:p>
        </w:tc>
      </w:tr>
      <w:tr w14:paraId="67BBB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47730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HGB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143C1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-0.283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521DD0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0.132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4E9E23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-2.140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157C0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0.032</w:t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4323A7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0.753 (0.581–0.976)</w:t>
            </w:r>
          </w:p>
        </w:tc>
      </w:tr>
      <w:tr w14:paraId="7F2A47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5EFD7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PaO₂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2F281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-0.316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2183A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0.162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C43EDD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-1.952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AC69A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0.051</w:t>
            </w:r>
          </w:p>
        </w:tc>
        <w:tc>
          <w:tcPr>
            <w:tcW w:w="2590" w:type="dxa"/>
            <w:tcBorders>
              <w:top w:val="nil"/>
              <w:left w:val="nil"/>
              <w:bottom w:val="single" w:color="000000" w:sz="12" w:space="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5EA69B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0.729 (0.531–1.001)</w:t>
            </w:r>
          </w:p>
        </w:tc>
      </w:tr>
      <w:tr w14:paraId="3E607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40" w:type="dxa"/>
            <w:gridSpan w:val="6"/>
            <w:tcBorders>
              <w:top w:val="single" w:color="000000" w:sz="12" w:space="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132ADF">
            <w:pPr>
              <w:spacing w:before="0" w:after="0" w:line="24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Note. Coefficients are from the final full-data explanatory RFE_LR model using preprocessed/scaled and dummy-encoded predictors. ORs are provided for model interpretation and implementation reference, not as raw clinical-unit effect estimates.</w:t>
            </w:r>
          </w:p>
          <w:p w14:paraId="24011F98">
            <w:pPr>
              <w:spacing w:before="0" w:after="0" w:line="240" w:lineRule="auto"/>
            </w:pPr>
            <w:r>
              <w:rPr>
                <w:rFonts w:cs="Times New Roman"/>
                <w:sz w:val="28"/>
                <w:szCs w:val="28"/>
              </w:rPr>
              <w:t>Abbreviations: CI, confidence interval; HGB, hemoglobin; IPF, idiopathic pulmonary fibrosis; mMRC, modified Medical Research Council dyspnea scale; NE%, neutrophil percentage; NIV, non-invasive ventilation; OR, odds ratio; P value, probability value; PaO₂, partial pressure of arterial oxygen; RFE_LR, recursive feature elimination logistic regression; SE, standard error; β, regression coefficient.</w:t>
            </w:r>
          </w:p>
        </w:tc>
      </w:tr>
    </w:tbl>
    <w:p w14:paraId="1661BF0B">
      <w:pPr>
        <w:spacing w:after="0"/>
        <w:jc w:val="center"/>
        <w:rPr>
          <w:rFonts w:cs="Times New Roman"/>
          <w:sz w:val="28"/>
          <w:szCs w:val="28"/>
        </w:rPr>
      </w:pP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108" w:type="dxa"/>
          <w:right w:w="108" w:type="dxa"/>
        </w:tblCellMar>
      </w:tblPr>
      <w:tblGrid>
        <w:gridCol w:w="3137"/>
        <w:gridCol w:w="3696"/>
        <w:gridCol w:w="3183"/>
        <w:gridCol w:w="1896"/>
        <w:gridCol w:w="1821"/>
        <w:gridCol w:w="2021"/>
      </w:tblGrid>
      <w:tr w14:paraId="06AE5A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5754" w:type="dxa"/>
            <w:gridSpan w:val="6"/>
            <w:tcBorders>
              <w:bottom w:val="single" w:color="000000" w:themeColor="text1" w:sz="12" w:space="0"/>
              <w:tl2br w:val="nil"/>
              <w:tr2bl w:val="nil"/>
            </w:tcBorders>
            <w:vAlign w:val="bottom"/>
          </w:tcPr>
          <w:p w14:paraId="2F3DA9E4">
            <w:pPr>
              <w:spacing w:line="240" w:lineRule="auto"/>
              <w:jc w:val="both"/>
              <w:rPr>
                <w:rFonts w:cs="Times New Roman"/>
                <w:sz w:val="28"/>
                <w:szCs w:val="28"/>
                <w:vertAlign w:val="baseline"/>
              </w:rPr>
            </w:pPr>
            <w:r>
              <w:rPr>
                <w:rFonts w:cs="Times New Roman"/>
                <w:b/>
                <w:sz w:val="28"/>
                <w:szCs w:val="28"/>
              </w:rPr>
              <w:t>Supplementary Table 11. Sensitivity analysis using strict in-hospital mortality as the endpoint</w:t>
            </w:r>
          </w:p>
        </w:tc>
      </w:tr>
      <w:tr w14:paraId="4EED4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c>
          <w:tcPr>
            <w:tcW w:w="3137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1B1A3DFD">
            <w:pPr>
              <w:spacing w:line="240" w:lineRule="auto"/>
              <w:jc w:val="center"/>
              <w:rPr>
                <w:rFonts w:hint="eastAsia" w:eastAsia="宋体" w:cs="Times New Roman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z w:val="28"/>
                <w:szCs w:val="28"/>
                <w:vertAlign w:val="baseline"/>
              </w:rPr>
              <w:t>Endpoint</w:t>
            </w:r>
            <w:r>
              <w:rPr>
                <w:rFonts w:hint="eastAsia" w:eastAsia="宋体" w:cs="Times New Roman"/>
                <w:b/>
                <w:bCs/>
                <w:sz w:val="28"/>
                <w:szCs w:val="28"/>
                <w:vertAlign w:val="baseline"/>
                <w:lang w:val="en-US" w:eastAsia="zh-CN"/>
              </w:rPr>
              <w:t xml:space="preserve"> (events/total)</w:t>
            </w:r>
          </w:p>
        </w:tc>
        <w:tc>
          <w:tcPr>
            <w:tcW w:w="3696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/>
            <w:vAlign w:val="center"/>
          </w:tcPr>
          <w:p w14:paraId="21B1B241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cs="Times New Roman"/>
                <w:b/>
                <w:bCs/>
                <w:sz w:val="28"/>
                <w:szCs w:val="28"/>
                <w:vertAlign w:val="baseline"/>
              </w:rPr>
              <w:t>AUC (nominal 95% CI)</w:t>
            </w:r>
          </w:p>
        </w:tc>
        <w:tc>
          <w:tcPr>
            <w:tcW w:w="3183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/>
            <w:vAlign w:val="center"/>
          </w:tcPr>
          <w:p w14:paraId="30D418FA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vertAlign w:val="baseline"/>
                <w:lang w:val="en-US" w:eastAsia="en-US" w:bidi="ar-SA"/>
              </w:rPr>
              <w:t>Maximum-F1 threshold</w:t>
            </w:r>
          </w:p>
        </w:tc>
        <w:tc>
          <w:tcPr>
            <w:tcW w:w="1896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/>
            <w:vAlign w:val="center"/>
          </w:tcPr>
          <w:p w14:paraId="1240866E">
            <w:pPr>
              <w:spacing w:line="240" w:lineRule="auto"/>
              <w:jc w:val="center"/>
              <w:rPr>
                <w:rFonts w:hint="eastAsia" w:ascii="Times New Roman" w:hAnsi="Times New Roman" w:eastAsia="Times New Roman" w:cs="Times New Roman"/>
                <w:b/>
                <w:bCs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hint="eastAsia" w:cs="Times New Roman"/>
                <w:b/>
                <w:bCs/>
                <w:sz w:val="28"/>
                <w:szCs w:val="28"/>
                <w:vertAlign w:val="baseline"/>
              </w:rPr>
              <w:t>Sensitivity</w:t>
            </w:r>
          </w:p>
        </w:tc>
        <w:tc>
          <w:tcPr>
            <w:tcW w:w="1821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/>
            <w:vAlign w:val="center"/>
          </w:tcPr>
          <w:p w14:paraId="7E1DF748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cs="Times New Roman"/>
                <w:b/>
                <w:bCs/>
                <w:sz w:val="28"/>
                <w:szCs w:val="28"/>
                <w:vertAlign w:val="baseline"/>
              </w:rPr>
              <w:t>Specificity</w:t>
            </w:r>
          </w:p>
        </w:tc>
        <w:tc>
          <w:tcPr>
            <w:tcW w:w="2021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shd w:val="clear"/>
            <w:vAlign w:val="center"/>
          </w:tcPr>
          <w:p w14:paraId="4D65F7E2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vertAlign w:val="baseline"/>
                <w:lang w:val="en-US" w:eastAsia="en-US" w:bidi="ar-SA"/>
              </w:rPr>
            </w:pPr>
            <w:r>
              <w:rPr>
                <w:rFonts w:cs="Times New Roman"/>
                <w:b/>
                <w:bCs/>
                <w:sz w:val="28"/>
                <w:szCs w:val="28"/>
                <w:vertAlign w:val="baseline"/>
              </w:rPr>
              <w:t>Brier score</w:t>
            </w:r>
          </w:p>
        </w:tc>
      </w:tr>
      <w:tr w14:paraId="3137B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c>
          <w:tcPr>
            <w:tcW w:w="3137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484A6CA8">
            <w:pPr>
              <w:jc w:val="center"/>
              <w:rPr>
                <w:rFonts w:cs="Times New Roman"/>
                <w:sz w:val="28"/>
                <w:szCs w:val="28"/>
                <w:vertAlign w:val="baseline"/>
              </w:rPr>
            </w:pPr>
            <w:r>
              <w:rPr>
                <w:rFonts w:cs="Times New Roman"/>
                <w:sz w:val="28"/>
                <w:szCs w:val="28"/>
                <w:vertAlign w:val="baseline"/>
              </w:rPr>
              <w:t>Strict in-hospital mortality</w:t>
            </w:r>
            <w:r>
              <w:rPr>
                <w:rFonts w:hint="eastAsia" w:eastAsia="宋体" w:cs="Times New Roman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cs="Times New Roman"/>
                <w:sz w:val="28"/>
                <w:szCs w:val="28"/>
                <w:vertAlign w:val="baseline"/>
              </w:rPr>
              <w:t>(95/547)</w:t>
            </w:r>
          </w:p>
        </w:tc>
        <w:tc>
          <w:tcPr>
            <w:tcW w:w="3696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612DC40F">
            <w:pPr>
              <w:jc w:val="center"/>
              <w:rPr>
                <w:rFonts w:cs="Times New Roman"/>
                <w:sz w:val="28"/>
                <w:szCs w:val="28"/>
                <w:vertAlign w:val="baseline"/>
              </w:rPr>
            </w:pPr>
            <w:r>
              <w:rPr>
                <w:rFonts w:cs="Times New Roman"/>
                <w:sz w:val="28"/>
                <w:szCs w:val="28"/>
                <w:vertAlign w:val="baseline"/>
              </w:rPr>
              <w:t>0.797 (0.740–0.854)</w:t>
            </w:r>
          </w:p>
        </w:tc>
        <w:tc>
          <w:tcPr>
            <w:tcW w:w="3183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380EA9A4">
            <w:pPr>
              <w:jc w:val="center"/>
              <w:rPr>
                <w:rFonts w:cs="Times New Roman"/>
                <w:sz w:val="28"/>
                <w:szCs w:val="28"/>
                <w:vertAlign w:val="baseline"/>
              </w:rPr>
            </w:pPr>
            <w:r>
              <w:rPr>
                <w:rFonts w:hint="eastAsia" w:cs="Times New Roman"/>
                <w:sz w:val="28"/>
                <w:szCs w:val="28"/>
                <w:vertAlign w:val="baseline"/>
              </w:rPr>
              <w:t>0.676</w:t>
            </w:r>
          </w:p>
        </w:tc>
        <w:tc>
          <w:tcPr>
            <w:tcW w:w="1896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16BC40D0">
            <w:pPr>
              <w:jc w:val="center"/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vertAlign w:val="baseline"/>
                <w:lang w:val="en-US" w:eastAsia="zh-CN"/>
              </w:rPr>
              <w:t>0.484</w:t>
            </w:r>
          </w:p>
        </w:tc>
        <w:tc>
          <w:tcPr>
            <w:tcW w:w="1821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41AE501E">
            <w:pPr>
              <w:jc w:val="center"/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vertAlign w:val="baseline"/>
                <w:lang w:val="en-US" w:eastAsia="zh-CN"/>
              </w:rPr>
              <w:t>0.949</w:t>
            </w:r>
          </w:p>
        </w:tc>
        <w:tc>
          <w:tcPr>
            <w:tcW w:w="2021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 w14:paraId="08A6BF4A">
            <w:pPr>
              <w:jc w:val="center"/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8"/>
                <w:szCs w:val="28"/>
                <w:vertAlign w:val="baseline"/>
                <w:lang w:val="en-US" w:eastAsia="zh-CN"/>
              </w:rPr>
              <w:t>0.161</w:t>
            </w:r>
          </w:p>
        </w:tc>
      </w:tr>
      <w:tr w14:paraId="1691F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rPr>
          <w:trHeight w:val="2293" w:hRule="atLeast"/>
        </w:trPr>
        <w:tc>
          <w:tcPr>
            <w:tcW w:w="15754" w:type="dxa"/>
            <w:gridSpan w:val="6"/>
            <w:tcBorders>
              <w:top w:val="single" w:color="000000" w:themeColor="text1" w:sz="12" w:space="0"/>
              <w:tl2br w:val="nil"/>
              <w:tr2bl w:val="nil"/>
            </w:tcBorders>
            <w:vAlign w:val="top"/>
          </w:tcPr>
          <w:p w14:paraId="176C37EA">
            <w:pPr>
              <w:jc w:val="both"/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  <w:t>Note. The 13 patients who died within 1 week after discharge against medical advice were classified as not having experienced the strict in-hospital mortality endpoint in this sensitivity analysis; this does not imply survival at 7 days. Patient-level out-of-fold probabilities were averaged across 10 repeats of 10-fold cross-validation. The neural-network algorithm family was fixed from the primary analysis; preprocessing, LASSO feature selection, training-set down-sampling, and hyperparameter tuning were repeated within each outer training fold. The maximum-F1 threshold was derived from the averaged patient-level out-of-fold predictions.</w:t>
            </w:r>
            <w:r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  <w:br w:type="textWrapping"/>
            </w:r>
            <w:r>
              <w:rPr>
                <w:rFonts w:hint="default" w:eastAsia="宋体" w:cs="Times New Roman"/>
                <w:sz w:val="28"/>
                <w:szCs w:val="28"/>
                <w:vertAlign w:val="baseline"/>
                <w:lang w:val="en-US" w:eastAsia="zh-CN"/>
              </w:rPr>
              <w:t>Abbreviations: AUC, area under the receiver operating characteristic curve; LASSO, least absolute shrinkage and selection operator; NN, neural network.</w:t>
            </w:r>
            <w:bookmarkStart w:id="0" w:name="_GoBack"/>
            <w:bookmarkEnd w:id="0"/>
          </w:p>
        </w:tc>
      </w:tr>
    </w:tbl>
    <w:p w14:paraId="447D45B6">
      <w:pPr>
        <w:jc w:val="center"/>
        <w:rPr>
          <w:rFonts w:cs="Times New Roman"/>
          <w:sz w:val="28"/>
          <w:szCs w:val="28"/>
        </w:rPr>
      </w:pPr>
    </w:p>
    <w:sectPr>
      <w:pgSz w:w="16834" w:h="11909" w:orient="landscape"/>
      <w:pgMar w:top="648" w:right="648" w:bottom="648" w:left="648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AE8"/>
    <w:rsid w:val="002D220E"/>
    <w:rsid w:val="002E6C18"/>
    <w:rsid w:val="00465EF5"/>
    <w:rsid w:val="00516EB4"/>
    <w:rsid w:val="00620710"/>
    <w:rsid w:val="00895EB3"/>
    <w:rsid w:val="00995FE3"/>
    <w:rsid w:val="00A60AE8"/>
    <w:rsid w:val="00E46019"/>
    <w:rsid w:val="01E758DF"/>
    <w:rsid w:val="06732DD2"/>
    <w:rsid w:val="07F615C4"/>
    <w:rsid w:val="0D3D1A44"/>
    <w:rsid w:val="0F2E2C5F"/>
    <w:rsid w:val="10CF32FA"/>
    <w:rsid w:val="11494223"/>
    <w:rsid w:val="11A958FA"/>
    <w:rsid w:val="1393060F"/>
    <w:rsid w:val="15241408"/>
    <w:rsid w:val="16BD5773"/>
    <w:rsid w:val="1A84440C"/>
    <w:rsid w:val="1B387BCB"/>
    <w:rsid w:val="1E14234D"/>
    <w:rsid w:val="1ECB5101"/>
    <w:rsid w:val="1ED467C8"/>
    <w:rsid w:val="1EE61F3B"/>
    <w:rsid w:val="1F0628EE"/>
    <w:rsid w:val="207D242B"/>
    <w:rsid w:val="21811CE8"/>
    <w:rsid w:val="21862F15"/>
    <w:rsid w:val="218C669E"/>
    <w:rsid w:val="21B75D99"/>
    <w:rsid w:val="286F5B1F"/>
    <w:rsid w:val="290D4568"/>
    <w:rsid w:val="297C43A5"/>
    <w:rsid w:val="2AA82036"/>
    <w:rsid w:val="2AD96FF8"/>
    <w:rsid w:val="2BB4374E"/>
    <w:rsid w:val="2D31596A"/>
    <w:rsid w:val="2E896B47"/>
    <w:rsid w:val="31494C84"/>
    <w:rsid w:val="32A65305"/>
    <w:rsid w:val="32ED1692"/>
    <w:rsid w:val="33964CD7"/>
    <w:rsid w:val="36960BC9"/>
    <w:rsid w:val="3D14081E"/>
    <w:rsid w:val="3DE376CB"/>
    <w:rsid w:val="3FE61C22"/>
    <w:rsid w:val="3FEB2150"/>
    <w:rsid w:val="40FC5017"/>
    <w:rsid w:val="41D6312A"/>
    <w:rsid w:val="42C23005"/>
    <w:rsid w:val="48BB1B96"/>
    <w:rsid w:val="48C85BAF"/>
    <w:rsid w:val="4D7367E0"/>
    <w:rsid w:val="50936DA4"/>
    <w:rsid w:val="517E0830"/>
    <w:rsid w:val="53204534"/>
    <w:rsid w:val="54ED0C26"/>
    <w:rsid w:val="556A2277"/>
    <w:rsid w:val="56DC1EB2"/>
    <w:rsid w:val="574B4F70"/>
    <w:rsid w:val="59213047"/>
    <w:rsid w:val="5A6E45B7"/>
    <w:rsid w:val="5B2335F4"/>
    <w:rsid w:val="5C47587E"/>
    <w:rsid w:val="5CE32E9B"/>
    <w:rsid w:val="5EDE4642"/>
    <w:rsid w:val="5FA34BB3"/>
    <w:rsid w:val="64772BA6"/>
    <w:rsid w:val="659D6B30"/>
    <w:rsid w:val="66925209"/>
    <w:rsid w:val="6A35261C"/>
    <w:rsid w:val="6C4C48D3"/>
    <w:rsid w:val="6CE30E35"/>
    <w:rsid w:val="6D3B6019"/>
    <w:rsid w:val="6E6A3B06"/>
    <w:rsid w:val="6EC24B65"/>
    <w:rsid w:val="70561B3E"/>
    <w:rsid w:val="7099115C"/>
    <w:rsid w:val="725547BE"/>
    <w:rsid w:val="74F71E68"/>
    <w:rsid w:val="78B87737"/>
    <w:rsid w:val="798F18D1"/>
    <w:rsid w:val="79F06000"/>
    <w:rsid w:val="7A1E7790"/>
    <w:rsid w:val="7A266154"/>
    <w:rsid w:val="7FE7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18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1236</Words>
  <Characters>7296</Characters>
  <Lines>772</Lines>
  <Paragraphs>700</Paragraphs>
  <TotalTime>29</TotalTime>
  <ScaleCrop>false</ScaleCrop>
  <LinksUpToDate>false</LinksUpToDate>
  <CharactersWithSpaces>8226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2026-06-18T09:12:00Z</dcterms:created>
  <dc:creator>lenovo</dc:creator>
  <cp:lastModifiedBy>霧中夢</cp:lastModifiedBy>
  <dcterms:modified xsi:type="dcterms:W3CDTF">2026-07-23T07:46:08Z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eyJoZGlkIjoiYzY1Nzg1MDM0ZjdhOTQwMzE3MDY2YTZiOGRkYWVlZTQiLCJ1c2VySWQiOiI0MjIxNjkzMzgifQ==</vt:lpwstr>
  </property>
  <property fmtid="{D5CDD505-2E9C-101B-9397-08002B2CF9AE}" pid="4" name="ICV">
    <vt:lpwstr>B014B0A3BB714AC9B8E4A1077511B77E_12</vt:lpwstr>
  </property>
</Properties>
</file>