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BCA6D">
      <w:pPr>
        <w:pStyle w:val="2"/>
        <w:rPr>
          <w:rFonts w:ascii="Times New Roman" w:hAnsi="Times New Roman" w:eastAsia="宋体" w:cs="Times New Roman"/>
          <w:color w:val="000000" w:themeColor="text1"/>
          <w:sz w:val="36"/>
          <w:szCs w:val="32"/>
          <w:lang w:eastAsia="zh-CN"/>
          <w14:textFill>
            <w14:solidFill>
              <w14:schemeClr w14:val="tx1"/>
            </w14:solidFill>
          </w14:textFill>
        </w:rPr>
      </w:pPr>
      <w:r>
        <w:rPr>
          <w:rFonts w:ascii="Times New Roman" w:hAnsi="Times New Roman" w:cs="Times New Roman"/>
          <w:color w:val="000000" w:themeColor="text1"/>
          <w:sz w:val="36"/>
          <w:szCs w:val="32"/>
          <w14:textFill>
            <w14:solidFill>
              <w14:schemeClr w14:val="tx1"/>
            </w14:solidFill>
          </w14:textFill>
        </w:rPr>
        <w:t>Supplementary</w:t>
      </w:r>
      <w:r>
        <w:rPr>
          <w:rFonts w:ascii="Times New Roman" w:hAnsi="Times New Roman" w:eastAsia="宋体" w:cs="Times New Roman"/>
          <w:color w:val="000000" w:themeColor="text1"/>
          <w:sz w:val="36"/>
          <w:szCs w:val="32"/>
          <w:lang w:eastAsia="zh-CN"/>
          <w14:textFill>
            <w14:solidFill>
              <w14:schemeClr w14:val="tx1"/>
            </w14:solidFill>
          </w14:textFill>
        </w:rPr>
        <w:t xml:space="preserve"> Materials</w:t>
      </w:r>
    </w:p>
    <w:p w14:paraId="21918CF1">
      <w:pPr>
        <w:pStyle w:val="2"/>
        <w:spacing w:after="240"/>
        <w:rPr>
          <w:rFonts w:ascii="Times New Roman" w:hAnsi="Times New Roman" w:cs="Times New Roman"/>
          <w:color w:val="000000" w:themeColor="text1"/>
          <w:sz w:val="24"/>
          <w:szCs w:val="22"/>
          <w14:textFill>
            <w14:solidFill>
              <w14:schemeClr w14:val="tx1"/>
            </w14:solidFill>
          </w14:textFill>
        </w:rPr>
      </w:pPr>
      <w:r>
        <w:rPr>
          <w:rFonts w:ascii="Times New Roman" w:hAnsi="Times New Roman" w:cs="Times New Roman"/>
          <w:color w:val="000000" w:themeColor="text1"/>
          <w:sz w:val="24"/>
          <w:szCs w:val="22"/>
          <w14:textFill>
            <w14:solidFill>
              <w14:schemeClr w14:val="tx1"/>
            </w14:solidFill>
          </w14:textFill>
        </w:rPr>
        <w:t>Supplementary Table S1. Subject-level data partition and AKI events</w:t>
      </w:r>
    </w:p>
    <w:tbl>
      <w:tblPr>
        <w:tblStyle w:val="4"/>
        <w:tblW w:w="13968" w:type="dxa"/>
        <w:tblInd w:w="12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154"/>
        <w:gridCol w:w="2253"/>
        <w:gridCol w:w="2703"/>
        <w:gridCol w:w="2703"/>
        <w:gridCol w:w="3155"/>
      </w:tblGrid>
      <w:tr w14:paraId="2F8833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3154" w:type="dxa"/>
            <w:tcBorders>
              <w:top w:val="single" w:color="auto" w:sz="4" w:space="0"/>
              <w:bottom w:val="single" w:color="auto" w:sz="4" w:space="0"/>
            </w:tcBorders>
            <w:shd w:val="clear" w:color="auto" w:fill="auto"/>
            <w:tcMar>
              <w:top w:w="80" w:type="dxa"/>
              <w:left w:w="120" w:type="dxa"/>
              <w:bottom w:w="80" w:type="dxa"/>
              <w:right w:w="120" w:type="dxa"/>
            </w:tcMar>
            <w:vAlign w:val="center"/>
          </w:tcPr>
          <w:p w14:paraId="67D8CF1E">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18"/>
                <w14:textFill>
                  <w14:solidFill>
                    <w14:schemeClr w14:val="tx1"/>
                  </w14:solidFill>
                </w14:textFill>
              </w:rPr>
              <w:t>Dataset</w:t>
            </w:r>
          </w:p>
        </w:tc>
        <w:tc>
          <w:tcPr>
            <w:tcW w:w="2253" w:type="dxa"/>
            <w:tcBorders>
              <w:top w:val="single" w:color="auto" w:sz="4" w:space="0"/>
              <w:bottom w:val="single" w:color="auto" w:sz="4" w:space="0"/>
            </w:tcBorders>
            <w:shd w:val="clear" w:color="auto" w:fill="auto"/>
            <w:tcMar>
              <w:top w:w="80" w:type="dxa"/>
              <w:left w:w="120" w:type="dxa"/>
              <w:bottom w:w="80" w:type="dxa"/>
              <w:right w:w="120" w:type="dxa"/>
            </w:tcMar>
            <w:vAlign w:val="center"/>
          </w:tcPr>
          <w:p w14:paraId="038E9C60">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18"/>
                <w14:textFill>
                  <w14:solidFill>
                    <w14:schemeClr w14:val="tx1"/>
                  </w14:solidFill>
                </w14:textFill>
              </w:rPr>
              <w:t>N</w:t>
            </w:r>
          </w:p>
        </w:tc>
        <w:tc>
          <w:tcPr>
            <w:tcW w:w="2703" w:type="dxa"/>
            <w:tcBorders>
              <w:top w:val="single" w:color="auto" w:sz="4" w:space="0"/>
              <w:bottom w:val="single" w:color="auto" w:sz="4" w:space="0"/>
            </w:tcBorders>
            <w:shd w:val="clear" w:color="auto" w:fill="auto"/>
            <w:tcMar>
              <w:top w:w="80" w:type="dxa"/>
              <w:left w:w="120" w:type="dxa"/>
              <w:bottom w:w="80" w:type="dxa"/>
              <w:right w:w="120" w:type="dxa"/>
            </w:tcMar>
            <w:vAlign w:val="center"/>
          </w:tcPr>
          <w:p w14:paraId="1111C6A0">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18"/>
                <w14:textFill>
                  <w14:solidFill>
                    <w14:schemeClr w14:val="tx1"/>
                  </w14:solidFill>
                </w14:textFill>
              </w:rPr>
              <w:t>AKI events</w:t>
            </w:r>
          </w:p>
        </w:tc>
        <w:tc>
          <w:tcPr>
            <w:tcW w:w="2703" w:type="dxa"/>
            <w:tcBorders>
              <w:top w:val="single" w:color="auto" w:sz="4" w:space="0"/>
              <w:bottom w:val="single" w:color="auto" w:sz="4" w:space="0"/>
            </w:tcBorders>
            <w:shd w:val="clear" w:color="auto" w:fill="auto"/>
            <w:tcMar>
              <w:top w:w="80" w:type="dxa"/>
              <w:left w:w="120" w:type="dxa"/>
              <w:bottom w:w="80" w:type="dxa"/>
              <w:right w:w="120" w:type="dxa"/>
            </w:tcMar>
            <w:vAlign w:val="center"/>
          </w:tcPr>
          <w:p w14:paraId="71FDA0FE">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18"/>
                <w14:textFill>
                  <w14:solidFill>
                    <w14:schemeClr w14:val="tx1"/>
                  </w14:solidFill>
                </w14:textFill>
              </w:rPr>
              <w:t>AKI rate</w:t>
            </w:r>
          </w:p>
        </w:tc>
        <w:tc>
          <w:tcPr>
            <w:tcW w:w="3155" w:type="dxa"/>
            <w:tcBorders>
              <w:top w:val="single" w:color="auto" w:sz="4" w:space="0"/>
              <w:bottom w:val="single" w:color="auto" w:sz="4" w:space="0"/>
            </w:tcBorders>
            <w:shd w:val="clear" w:color="auto" w:fill="auto"/>
            <w:tcMar>
              <w:top w:w="80" w:type="dxa"/>
              <w:left w:w="120" w:type="dxa"/>
              <w:bottom w:w="80" w:type="dxa"/>
              <w:right w:w="120" w:type="dxa"/>
            </w:tcMar>
            <w:vAlign w:val="center"/>
          </w:tcPr>
          <w:p w14:paraId="2A162B4F">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b/>
                <w:color w:val="000000" w:themeColor="text1"/>
                <w:sz w:val="18"/>
                <w14:textFill>
                  <w14:solidFill>
                    <w14:schemeClr w14:val="tx1"/>
                  </w14:solidFill>
                </w14:textFill>
              </w:rPr>
              <w:t>Unique subjects</w:t>
            </w:r>
          </w:p>
        </w:tc>
      </w:tr>
      <w:tr w14:paraId="28A7B20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54" w:type="dxa"/>
            <w:tcBorders>
              <w:top w:val="single" w:color="auto" w:sz="4" w:space="0"/>
            </w:tcBorders>
            <w:shd w:val="clear" w:color="auto" w:fill="auto"/>
            <w:tcMar>
              <w:top w:w="80" w:type="dxa"/>
              <w:left w:w="120" w:type="dxa"/>
              <w:bottom w:w="80" w:type="dxa"/>
              <w:right w:w="120" w:type="dxa"/>
            </w:tcMar>
            <w:vAlign w:val="center"/>
          </w:tcPr>
          <w:p w14:paraId="171BE3F4">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Training</w:t>
            </w:r>
          </w:p>
        </w:tc>
        <w:tc>
          <w:tcPr>
            <w:tcW w:w="2253" w:type="dxa"/>
            <w:tcBorders>
              <w:top w:val="single" w:color="auto" w:sz="4" w:space="0"/>
            </w:tcBorders>
            <w:shd w:val="clear" w:color="auto" w:fill="auto"/>
            <w:tcMar>
              <w:top w:w="80" w:type="dxa"/>
              <w:left w:w="120" w:type="dxa"/>
              <w:bottom w:w="80" w:type="dxa"/>
              <w:right w:w="120" w:type="dxa"/>
            </w:tcMar>
            <w:vAlign w:val="center"/>
          </w:tcPr>
          <w:p w14:paraId="2404B3C7">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2,720</w:t>
            </w:r>
          </w:p>
        </w:tc>
        <w:tc>
          <w:tcPr>
            <w:tcW w:w="2703" w:type="dxa"/>
            <w:tcBorders>
              <w:top w:val="single" w:color="auto" w:sz="4" w:space="0"/>
            </w:tcBorders>
            <w:shd w:val="clear" w:color="auto" w:fill="auto"/>
            <w:tcMar>
              <w:top w:w="80" w:type="dxa"/>
              <w:left w:w="120" w:type="dxa"/>
              <w:bottom w:w="80" w:type="dxa"/>
              <w:right w:w="120" w:type="dxa"/>
            </w:tcMar>
            <w:vAlign w:val="center"/>
          </w:tcPr>
          <w:p w14:paraId="63718C3E">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1,291</w:t>
            </w:r>
          </w:p>
        </w:tc>
        <w:tc>
          <w:tcPr>
            <w:tcW w:w="2703" w:type="dxa"/>
            <w:tcBorders>
              <w:top w:val="single" w:color="auto" w:sz="4" w:space="0"/>
            </w:tcBorders>
            <w:shd w:val="clear" w:color="auto" w:fill="auto"/>
            <w:tcMar>
              <w:top w:w="80" w:type="dxa"/>
              <w:left w:w="120" w:type="dxa"/>
              <w:bottom w:w="80" w:type="dxa"/>
              <w:right w:w="120" w:type="dxa"/>
            </w:tcMar>
            <w:vAlign w:val="center"/>
          </w:tcPr>
          <w:p w14:paraId="161E1425">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47.46%</w:t>
            </w:r>
          </w:p>
        </w:tc>
        <w:tc>
          <w:tcPr>
            <w:tcW w:w="3155" w:type="dxa"/>
            <w:tcBorders>
              <w:top w:val="single" w:color="auto" w:sz="4" w:space="0"/>
            </w:tcBorders>
            <w:shd w:val="clear" w:color="auto" w:fill="auto"/>
            <w:tcMar>
              <w:top w:w="80" w:type="dxa"/>
              <w:left w:w="120" w:type="dxa"/>
              <w:bottom w:w="80" w:type="dxa"/>
              <w:right w:w="120" w:type="dxa"/>
            </w:tcMar>
            <w:vAlign w:val="center"/>
          </w:tcPr>
          <w:p w14:paraId="1AF79F51">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2,720</w:t>
            </w:r>
          </w:p>
        </w:tc>
      </w:tr>
      <w:tr w14:paraId="2A5971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54" w:type="dxa"/>
            <w:shd w:val="clear" w:color="auto" w:fill="auto"/>
            <w:tcMar>
              <w:top w:w="80" w:type="dxa"/>
              <w:left w:w="120" w:type="dxa"/>
              <w:bottom w:w="80" w:type="dxa"/>
              <w:right w:w="120" w:type="dxa"/>
            </w:tcMar>
            <w:vAlign w:val="center"/>
          </w:tcPr>
          <w:p w14:paraId="44659AF2">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Validation</w:t>
            </w:r>
          </w:p>
        </w:tc>
        <w:tc>
          <w:tcPr>
            <w:tcW w:w="2253" w:type="dxa"/>
            <w:shd w:val="clear" w:color="auto" w:fill="auto"/>
            <w:tcMar>
              <w:top w:w="80" w:type="dxa"/>
              <w:left w:w="120" w:type="dxa"/>
              <w:bottom w:w="80" w:type="dxa"/>
              <w:right w:w="120" w:type="dxa"/>
            </w:tcMar>
            <w:vAlign w:val="center"/>
          </w:tcPr>
          <w:p w14:paraId="08F61F0B">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778</w:t>
            </w:r>
          </w:p>
        </w:tc>
        <w:tc>
          <w:tcPr>
            <w:tcW w:w="2703" w:type="dxa"/>
            <w:shd w:val="clear" w:color="auto" w:fill="auto"/>
            <w:tcMar>
              <w:top w:w="80" w:type="dxa"/>
              <w:left w:w="120" w:type="dxa"/>
              <w:bottom w:w="80" w:type="dxa"/>
              <w:right w:w="120" w:type="dxa"/>
            </w:tcMar>
            <w:vAlign w:val="center"/>
          </w:tcPr>
          <w:p w14:paraId="65119667">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369</w:t>
            </w:r>
          </w:p>
        </w:tc>
        <w:tc>
          <w:tcPr>
            <w:tcW w:w="2703" w:type="dxa"/>
            <w:shd w:val="clear" w:color="auto" w:fill="auto"/>
            <w:tcMar>
              <w:top w:w="80" w:type="dxa"/>
              <w:left w:w="120" w:type="dxa"/>
              <w:bottom w:w="80" w:type="dxa"/>
              <w:right w:w="120" w:type="dxa"/>
            </w:tcMar>
            <w:vAlign w:val="center"/>
          </w:tcPr>
          <w:p w14:paraId="6EC3CA1A">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47.43%</w:t>
            </w:r>
          </w:p>
        </w:tc>
        <w:tc>
          <w:tcPr>
            <w:tcW w:w="3155" w:type="dxa"/>
            <w:shd w:val="clear" w:color="auto" w:fill="auto"/>
            <w:tcMar>
              <w:top w:w="80" w:type="dxa"/>
              <w:left w:w="120" w:type="dxa"/>
              <w:bottom w:w="80" w:type="dxa"/>
              <w:right w:w="120" w:type="dxa"/>
            </w:tcMar>
            <w:vAlign w:val="center"/>
          </w:tcPr>
          <w:p w14:paraId="682D3BBB">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778</w:t>
            </w:r>
          </w:p>
        </w:tc>
      </w:tr>
      <w:tr w14:paraId="2906E1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154" w:type="dxa"/>
            <w:shd w:val="clear" w:color="auto" w:fill="auto"/>
            <w:tcMar>
              <w:top w:w="80" w:type="dxa"/>
              <w:left w:w="120" w:type="dxa"/>
              <w:bottom w:w="80" w:type="dxa"/>
              <w:right w:w="120" w:type="dxa"/>
            </w:tcMar>
            <w:vAlign w:val="center"/>
          </w:tcPr>
          <w:p w14:paraId="44659798">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Independent test</w:t>
            </w:r>
          </w:p>
        </w:tc>
        <w:tc>
          <w:tcPr>
            <w:tcW w:w="2253" w:type="dxa"/>
            <w:shd w:val="clear" w:color="auto" w:fill="auto"/>
            <w:tcMar>
              <w:top w:w="80" w:type="dxa"/>
              <w:left w:w="120" w:type="dxa"/>
              <w:bottom w:w="80" w:type="dxa"/>
              <w:right w:w="120" w:type="dxa"/>
            </w:tcMar>
            <w:vAlign w:val="center"/>
          </w:tcPr>
          <w:p w14:paraId="0875819B">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389</w:t>
            </w:r>
          </w:p>
        </w:tc>
        <w:tc>
          <w:tcPr>
            <w:tcW w:w="2703" w:type="dxa"/>
            <w:shd w:val="clear" w:color="auto" w:fill="auto"/>
            <w:tcMar>
              <w:top w:w="80" w:type="dxa"/>
              <w:left w:w="120" w:type="dxa"/>
              <w:bottom w:w="80" w:type="dxa"/>
              <w:right w:w="120" w:type="dxa"/>
            </w:tcMar>
            <w:vAlign w:val="center"/>
          </w:tcPr>
          <w:p w14:paraId="1EF9D38E">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185</w:t>
            </w:r>
          </w:p>
        </w:tc>
        <w:tc>
          <w:tcPr>
            <w:tcW w:w="2703" w:type="dxa"/>
            <w:shd w:val="clear" w:color="auto" w:fill="auto"/>
            <w:tcMar>
              <w:top w:w="80" w:type="dxa"/>
              <w:left w:w="120" w:type="dxa"/>
              <w:bottom w:w="80" w:type="dxa"/>
              <w:right w:w="120" w:type="dxa"/>
            </w:tcMar>
            <w:vAlign w:val="center"/>
          </w:tcPr>
          <w:p w14:paraId="7135A38F">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47.56%</w:t>
            </w:r>
          </w:p>
        </w:tc>
        <w:tc>
          <w:tcPr>
            <w:tcW w:w="3155" w:type="dxa"/>
            <w:shd w:val="clear" w:color="auto" w:fill="auto"/>
            <w:tcMar>
              <w:top w:w="80" w:type="dxa"/>
              <w:left w:w="120" w:type="dxa"/>
              <w:bottom w:w="80" w:type="dxa"/>
              <w:right w:w="120" w:type="dxa"/>
            </w:tcMar>
            <w:vAlign w:val="center"/>
          </w:tcPr>
          <w:p w14:paraId="31D08EE6">
            <w:pPr>
              <w:spacing w:after="0" w:line="240" w:lineRule="auto"/>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18"/>
                <w14:textFill>
                  <w14:solidFill>
                    <w14:schemeClr w14:val="tx1"/>
                  </w14:solidFill>
                </w14:textFill>
              </w:rPr>
              <w:t>389</w:t>
            </w:r>
          </w:p>
        </w:tc>
      </w:tr>
    </w:tbl>
    <w:p w14:paraId="0801E9B7">
      <w:pPr>
        <w:spacing w:before="240"/>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No subject identifier overlapped across the training, validation, and independent test sets.</w:t>
      </w:r>
    </w:p>
    <w:p w14:paraId="4C6FB4EC">
      <w:pPr>
        <w:spacing w:after="0" w:line="24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p>
    <w:p w14:paraId="747C9859">
      <w:pPr>
        <w:pStyle w:val="2"/>
        <w:spacing w:after="240"/>
        <w:rPr>
          <w:rFonts w:ascii="Times New Roman" w:hAnsi="Times New Roman" w:cs="Times New Roman"/>
          <w:color w:val="000000" w:themeColor="text1"/>
          <w:sz w:val="24"/>
          <w:szCs w:val="22"/>
          <w14:textFill>
            <w14:solidFill>
              <w14:schemeClr w14:val="tx1"/>
            </w14:solidFill>
          </w14:textFill>
        </w:rPr>
      </w:pPr>
      <w:r>
        <w:rPr>
          <w:rFonts w:ascii="Times New Roman" w:hAnsi="Times New Roman" w:cs="Times New Roman"/>
          <w:color w:val="000000" w:themeColor="text1"/>
          <w:sz w:val="24"/>
          <w:szCs w:val="22"/>
          <w14:textFill>
            <w14:solidFill>
              <w14:schemeClr w14:val="tx1"/>
            </w14:solidFill>
          </w14:textFill>
        </w:rPr>
        <w:t>Supplementary Table S2. Predictor roles, temporal windows, and leakage safeguards</w:t>
      </w:r>
    </w:p>
    <w:tbl>
      <w:tblPr>
        <w:tblStyle w:val="4"/>
        <w:tblW w:w="13968" w:type="dxa"/>
        <w:tblInd w:w="12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27"/>
        <w:gridCol w:w="3372"/>
        <w:gridCol w:w="3372"/>
        <w:gridCol w:w="5297"/>
      </w:tblGrid>
      <w:tr w14:paraId="10476D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trPr>
        <w:tc>
          <w:tcPr>
            <w:tcW w:w="1927" w:type="dxa"/>
            <w:tcBorders>
              <w:top w:val="single" w:color="auto" w:sz="4" w:space="0"/>
              <w:bottom w:val="single" w:color="auto" w:sz="4" w:space="0"/>
            </w:tcBorders>
            <w:shd w:val="clear" w:color="auto" w:fill="auto"/>
            <w:tcMar>
              <w:top w:w="70" w:type="dxa"/>
              <w:left w:w="90" w:type="dxa"/>
              <w:bottom w:w="70" w:type="dxa"/>
              <w:right w:w="90" w:type="dxa"/>
            </w:tcMar>
            <w:vAlign w:val="center"/>
          </w:tcPr>
          <w:p w14:paraId="6AED8DA2">
            <w:pPr>
              <w:spacing w:after="0" w:line="240" w:lineRule="auto"/>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Variable group</w:t>
            </w:r>
          </w:p>
        </w:tc>
        <w:tc>
          <w:tcPr>
            <w:tcW w:w="3372" w:type="dxa"/>
            <w:tcBorders>
              <w:top w:val="single" w:color="auto" w:sz="4" w:space="0"/>
              <w:bottom w:val="single" w:color="auto" w:sz="4" w:space="0"/>
            </w:tcBorders>
            <w:shd w:val="clear" w:color="auto" w:fill="auto"/>
            <w:tcMar>
              <w:top w:w="70" w:type="dxa"/>
              <w:left w:w="90" w:type="dxa"/>
              <w:bottom w:w="70" w:type="dxa"/>
              <w:right w:w="90" w:type="dxa"/>
            </w:tcMar>
            <w:vAlign w:val="center"/>
          </w:tcPr>
          <w:p w14:paraId="365F7112">
            <w:pPr>
              <w:spacing w:after="0" w:line="240" w:lineRule="auto"/>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Representative variables</w:t>
            </w:r>
          </w:p>
        </w:tc>
        <w:tc>
          <w:tcPr>
            <w:tcW w:w="3372" w:type="dxa"/>
            <w:tcBorders>
              <w:top w:val="single" w:color="auto" w:sz="4" w:space="0"/>
              <w:bottom w:val="single" w:color="auto" w:sz="4" w:space="0"/>
            </w:tcBorders>
            <w:shd w:val="clear" w:color="auto" w:fill="auto"/>
            <w:tcMar>
              <w:top w:w="70" w:type="dxa"/>
              <w:left w:w="90" w:type="dxa"/>
              <w:bottom w:w="70" w:type="dxa"/>
              <w:right w:w="90" w:type="dxa"/>
            </w:tcMar>
            <w:vAlign w:val="center"/>
          </w:tcPr>
          <w:p w14:paraId="068184B4">
            <w:pPr>
              <w:spacing w:after="0" w:line="240" w:lineRule="auto"/>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Temporal definition</w:t>
            </w:r>
          </w:p>
        </w:tc>
        <w:tc>
          <w:tcPr>
            <w:tcW w:w="5297" w:type="dxa"/>
            <w:tcBorders>
              <w:top w:val="single" w:color="auto" w:sz="4" w:space="0"/>
              <w:bottom w:val="single" w:color="auto" w:sz="4" w:space="0"/>
            </w:tcBorders>
            <w:shd w:val="clear" w:color="auto" w:fill="auto"/>
            <w:tcMar>
              <w:top w:w="70" w:type="dxa"/>
              <w:left w:w="90" w:type="dxa"/>
              <w:bottom w:w="70" w:type="dxa"/>
              <w:right w:w="90" w:type="dxa"/>
            </w:tcMar>
            <w:vAlign w:val="center"/>
          </w:tcPr>
          <w:p w14:paraId="31CC939B">
            <w:pPr>
              <w:spacing w:after="0" w:line="240" w:lineRule="auto"/>
              <w:jc w:val="center"/>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Processing and leakage safeguard</w:t>
            </w:r>
          </w:p>
        </w:tc>
      </w:tr>
      <w:tr w14:paraId="2D8042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tcBorders>
              <w:top w:val="single" w:color="auto" w:sz="4" w:space="0"/>
            </w:tcBorders>
            <w:shd w:val="clear" w:color="auto" w:fill="auto"/>
            <w:tcMar>
              <w:top w:w="70" w:type="dxa"/>
              <w:left w:w="90" w:type="dxa"/>
              <w:bottom w:w="70" w:type="dxa"/>
              <w:right w:w="90" w:type="dxa"/>
            </w:tcMar>
            <w:vAlign w:val="center"/>
          </w:tcPr>
          <w:p w14:paraId="1F358A89">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Identifiers</w:t>
            </w:r>
          </w:p>
        </w:tc>
        <w:tc>
          <w:tcPr>
            <w:tcW w:w="3372" w:type="dxa"/>
            <w:tcBorders>
              <w:top w:val="single" w:color="auto" w:sz="4" w:space="0"/>
            </w:tcBorders>
            <w:shd w:val="clear" w:color="auto" w:fill="auto"/>
            <w:tcMar>
              <w:top w:w="70" w:type="dxa"/>
              <w:left w:w="90" w:type="dxa"/>
              <w:bottom w:w="70" w:type="dxa"/>
              <w:right w:w="90" w:type="dxa"/>
            </w:tcMar>
            <w:vAlign w:val="center"/>
          </w:tcPr>
          <w:p w14:paraId="64105C0B">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subject_id</w:t>
            </w:r>
          </w:p>
        </w:tc>
        <w:tc>
          <w:tcPr>
            <w:tcW w:w="3372" w:type="dxa"/>
            <w:tcBorders>
              <w:top w:val="single" w:color="auto" w:sz="4" w:space="0"/>
            </w:tcBorders>
            <w:shd w:val="clear" w:color="auto" w:fill="auto"/>
            <w:tcMar>
              <w:top w:w="70" w:type="dxa"/>
              <w:left w:w="90" w:type="dxa"/>
              <w:bottom w:w="70" w:type="dxa"/>
              <w:right w:w="90" w:type="dxa"/>
            </w:tcMar>
            <w:vAlign w:val="center"/>
          </w:tcPr>
          <w:p w14:paraId="62A80DA0">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Not a clinical time window</w:t>
            </w:r>
          </w:p>
        </w:tc>
        <w:tc>
          <w:tcPr>
            <w:tcW w:w="5297" w:type="dxa"/>
            <w:tcBorders>
              <w:top w:val="single" w:color="auto" w:sz="4" w:space="0"/>
            </w:tcBorders>
            <w:shd w:val="clear" w:color="auto" w:fill="auto"/>
            <w:tcMar>
              <w:top w:w="70" w:type="dxa"/>
              <w:left w:w="90" w:type="dxa"/>
              <w:bottom w:w="70" w:type="dxa"/>
              <w:right w:w="90" w:type="dxa"/>
            </w:tcMar>
            <w:vAlign w:val="center"/>
          </w:tcPr>
          <w:p w14:paraId="641FA816">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Used only for subject-level linkage and partitioning; excluded from all model predictors.</w:t>
            </w:r>
          </w:p>
        </w:tc>
      </w:tr>
      <w:tr w14:paraId="311B34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shd w:val="clear" w:color="auto" w:fill="auto"/>
            <w:tcMar>
              <w:top w:w="70" w:type="dxa"/>
              <w:left w:w="90" w:type="dxa"/>
              <w:bottom w:w="70" w:type="dxa"/>
              <w:right w:w="90" w:type="dxa"/>
            </w:tcMar>
            <w:vAlign w:val="center"/>
          </w:tcPr>
          <w:p w14:paraId="2C87523B">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Primary outcome and event time</w:t>
            </w:r>
          </w:p>
        </w:tc>
        <w:tc>
          <w:tcPr>
            <w:tcW w:w="3372" w:type="dxa"/>
            <w:shd w:val="clear" w:color="auto" w:fill="auto"/>
            <w:tcMar>
              <w:top w:w="70" w:type="dxa"/>
              <w:left w:w="90" w:type="dxa"/>
              <w:bottom w:w="70" w:type="dxa"/>
              <w:right w:w="90" w:type="dxa"/>
            </w:tcMar>
            <w:vAlign w:val="center"/>
          </w:tcPr>
          <w:p w14:paraId="5E6A5DD3">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AKI status, AKI stage, and first AKI onset time derived from serum creatinine and/or urine output</w:t>
            </w:r>
          </w:p>
        </w:tc>
        <w:tc>
          <w:tcPr>
            <w:tcW w:w="3372" w:type="dxa"/>
            <w:shd w:val="clear" w:color="auto" w:fill="auto"/>
            <w:tcMar>
              <w:top w:w="70" w:type="dxa"/>
              <w:left w:w="90" w:type="dxa"/>
              <w:bottom w:w="70" w:type="dxa"/>
              <w:right w:w="90" w:type="dxa"/>
            </w:tcMar>
            <w:vAlign w:val="center"/>
          </w:tcPr>
          <w:p w14:paraId="319E50EE">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AKI occurring from ICU admission to ICU discharge</w:t>
            </w:r>
          </w:p>
        </w:tc>
        <w:tc>
          <w:tcPr>
            <w:tcW w:w="5297" w:type="dxa"/>
            <w:shd w:val="clear" w:color="auto" w:fill="auto"/>
            <w:tcMar>
              <w:top w:w="70" w:type="dxa"/>
              <w:left w:w="90" w:type="dxa"/>
              <w:bottom w:w="70" w:type="dxa"/>
              <w:right w:w="90" w:type="dxa"/>
            </w:tcMar>
            <w:vAlign w:val="center"/>
          </w:tcPr>
          <w:p w14:paraId="219375CE">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Used only to define the primary outcome and event timing. AKI onset time was not used to define predictor eligibility or the predictor window; no outcome-derived variable was included as a predictor.</w:t>
            </w:r>
          </w:p>
        </w:tc>
      </w:tr>
      <w:tr w14:paraId="0404FE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shd w:val="clear" w:color="auto" w:fill="auto"/>
            <w:tcMar>
              <w:top w:w="70" w:type="dxa"/>
              <w:left w:w="90" w:type="dxa"/>
              <w:bottom w:w="70" w:type="dxa"/>
              <w:right w:w="90" w:type="dxa"/>
            </w:tcMar>
            <w:vAlign w:val="center"/>
          </w:tcPr>
          <w:p w14:paraId="7BB17CD4">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Dynamic lactate time series</w:t>
            </w:r>
          </w:p>
        </w:tc>
        <w:tc>
          <w:tcPr>
            <w:tcW w:w="3372" w:type="dxa"/>
            <w:shd w:val="clear" w:color="auto" w:fill="auto"/>
            <w:tcMar>
              <w:top w:w="70" w:type="dxa"/>
              <w:left w:w="90" w:type="dxa"/>
              <w:bottom w:w="70" w:type="dxa"/>
              <w:right w:w="90" w:type="dxa"/>
            </w:tcMar>
            <w:vAlign w:val="center"/>
          </w:tcPr>
          <w:p w14:paraId="630EC694">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lactate, lactate measurement time, relative time, first-order differences, slopes, peak value, trend direction, and lactate–time AUC</w:t>
            </w:r>
          </w:p>
        </w:tc>
        <w:tc>
          <w:tcPr>
            <w:tcW w:w="3372" w:type="dxa"/>
            <w:shd w:val="clear" w:color="auto" w:fill="auto"/>
            <w:tcMar>
              <w:top w:w="70" w:type="dxa"/>
              <w:left w:w="90" w:type="dxa"/>
              <w:bottom w:w="70" w:type="dxa"/>
              <w:right w:w="90" w:type="dxa"/>
            </w:tcMar>
            <w:vAlign w:val="center"/>
          </w:tcPr>
          <w:p w14:paraId="48E4F574">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Fixed pre-admission window from −168 to −1 h be</w:t>
            </w:r>
            <w:bookmarkStart w:id="0" w:name="_GoBack"/>
            <w:bookmarkEnd w:id="0"/>
            <w:r>
              <w:rPr>
                <w:rFonts w:ascii="Times New Roman" w:hAnsi="Times New Roman" w:cs="Times New Roman"/>
                <w:color w:val="000000" w:themeColor="text1"/>
                <w:sz w:val="18"/>
                <w:szCs w:val="18"/>
                <w14:textFill>
                  <w14:solidFill>
                    <w14:schemeClr w14:val="tx1"/>
                  </w14:solidFill>
                </w14:textFill>
              </w:rPr>
              <w:t>fore ICU admission (t = 0)</w:t>
            </w:r>
          </w:p>
        </w:tc>
        <w:tc>
          <w:tcPr>
            <w:tcW w:w="5297" w:type="dxa"/>
            <w:shd w:val="clear" w:color="auto" w:fill="auto"/>
            <w:tcMar>
              <w:top w:w="70" w:type="dxa"/>
              <w:left w:w="90" w:type="dxa"/>
              <w:bottom w:w="70" w:type="dxa"/>
              <w:right w:w="90" w:type="dxa"/>
            </w:tcMar>
            <w:vAlign w:val="center"/>
          </w:tcPr>
          <w:p w14:paraId="12A94D3E">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Times were anchored to ICU admission and mapped to an hourly grid. Linear interpolation was restricted to each patient’s observed lactate interval, with no extrapolation. The 30 hourly points closest to ICU admission were selected after regularization; shorter sequences were padded at the beginning. All lactate inputs preceded ICU admission and AKI outcome ascertainment.</w:t>
            </w:r>
          </w:p>
        </w:tc>
      </w:tr>
      <w:tr w14:paraId="06E3CE4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shd w:val="clear" w:color="auto" w:fill="auto"/>
            <w:tcMar>
              <w:top w:w="70" w:type="dxa"/>
              <w:left w:w="90" w:type="dxa"/>
              <w:bottom w:w="70" w:type="dxa"/>
              <w:right w:w="90" w:type="dxa"/>
            </w:tcMar>
            <w:vAlign w:val="center"/>
          </w:tcPr>
          <w:p w14:paraId="4EAF7F39">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Static baseline characteristics</w:t>
            </w:r>
          </w:p>
        </w:tc>
        <w:tc>
          <w:tcPr>
            <w:tcW w:w="3372" w:type="dxa"/>
            <w:shd w:val="clear" w:color="auto" w:fill="auto"/>
            <w:tcMar>
              <w:top w:w="70" w:type="dxa"/>
              <w:left w:w="90" w:type="dxa"/>
              <w:bottom w:w="70" w:type="dxa"/>
              <w:right w:w="90" w:type="dxa"/>
            </w:tcMar>
            <w:vAlign w:val="center"/>
          </w:tcPr>
          <w:p w14:paraId="3DB08081">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age, sex, ethnicity, height, weight, and chronic conditions</w:t>
            </w:r>
          </w:p>
        </w:tc>
        <w:tc>
          <w:tcPr>
            <w:tcW w:w="3372" w:type="dxa"/>
            <w:shd w:val="clear" w:color="auto" w:fill="auto"/>
            <w:tcMar>
              <w:top w:w="70" w:type="dxa"/>
              <w:left w:w="90" w:type="dxa"/>
              <w:bottom w:w="70" w:type="dxa"/>
              <w:right w:w="90" w:type="dxa"/>
            </w:tcMar>
            <w:vAlign w:val="center"/>
          </w:tcPr>
          <w:p w14:paraId="373EA3B0">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Baseline information available before ICU admission / first ICU admission</w:t>
            </w:r>
          </w:p>
        </w:tc>
        <w:tc>
          <w:tcPr>
            <w:tcW w:w="5297" w:type="dxa"/>
            <w:shd w:val="clear" w:color="auto" w:fill="auto"/>
            <w:tcMar>
              <w:top w:w="70" w:type="dxa"/>
              <w:left w:w="90" w:type="dxa"/>
              <w:bottom w:w="70" w:type="dxa"/>
              <w:right w:w="90" w:type="dxa"/>
            </w:tcMar>
            <w:vAlign w:val="center"/>
          </w:tcPr>
          <w:p w14:paraId="791A7412">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Treated as static covariates. Missing non-lactate covariates were handled using the stated MICE pipeline. Imputation rules, winsorization thresholds, and standardization parameters were determined using the training set only and applied unchanged to the validation and test sets.</w:t>
            </w:r>
          </w:p>
        </w:tc>
      </w:tr>
      <w:tr w14:paraId="37CC44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shd w:val="clear" w:color="auto" w:fill="auto"/>
            <w:tcMar>
              <w:top w:w="70" w:type="dxa"/>
              <w:left w:w="90" w:type="dxa"/>
              <w:bottom w:w="70" w:type="dxa"/>
              <w:right w:w="90" w:type="dxa"/>
            </w:tcMar>
            <w:vAlign w:val="center"/>
          </w:tcPr>
          <w:p w14:paraId="6C6D3775">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Pre-admission clinical measurements</w:t>
            </w:r>
          </w:p>
        </w:tc>
        <w:tc>
          <w:tcPr>
            <w:tcW w:w="3372" w:type="dxa"/>
            <w:shd w:val="clear" w:color="auto" w:fill="auto"/>
            <w:tcMar>
              <w:top w:w="70" w:type="dxa"/>
              <w:left w:w="90" w:type="dxa"/>
              <w:bottom w:w="70" w:type="dxa"/>
              <w:right w:w="90" w:type="dxa"/>
            </w:tcMar>
            <w:vAlign w:val="center"/>
          </w:tcPr>
          <w:p w14:paraId="34F57027">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SOFA, medication indicators, blood counts, electrolytes, vital signs, PEEP, glucose, albumin, and other clinical variables</w:t>
            </w:r>
          </w:p>
        </w:tc>
        <w:tc>
          <w:tcPr>
            <w:tcW w:w="3372" w:type="dxa"/>
            <w:shd w:val="clear" w:color="auto" w:fill="auto"/>
            <w:tcMar>
              <w:top w:w="70" w:type="dxa"/>
              <w:left w:w="90" w:type="dxa"/>
              <w:bottom w:w="70" w:type="dxa"/>
              <w:right w:w="90" w:type="dxa"/>
            </w:tcMar>
            <w:vAlign w:val="center"/>
          </w:tcPr>
          <w:p w14:paraId="46DC4A54">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Records available before ICU admission; SOFA was the most recent score within 24 h before ICU admission</w:t>
            </w:r>
          </w:p>
        </w:tc>
        <w:tc>
          <w:tcPr>
            <w:tcW w:w="5297" w:type="dxa"/>
            <w:shd w:val="clear" w:color="auto" w:fill="auto"/>
            <w:tcMar>
              <w:top w:w="70" w:type="dxa"/>
              <w:left w:w="90" w:type="dxa"/>
              <w:bottom w:w="70" w:type="dxa"/>
              <w:right w:w="90" w:type="dxa"/>
            </w:tcMar>
            <w:vAlign w:val="center"/>
          </w:tcPr>
          <w:p w14:paraId="0C1C6145">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Aligned by timestamp to the pre-admission eligibility window. No post-admission or post-AKI measurements were used. Continuous features were winsorized and standardized using parameters estimated from the training set only.</w:t>
            </w:r>
          </w:p>
        </w:tc>
      </w:tr>
      <w:tr w14:paraId="57E961D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shd w:val="clear" w:color="auto" w:fill="auto"/>
            <w:tcMar>
              <w:top w:w="70" w:type="dxa"/>
              <w:left w:w="90" w:type="dxa"/>
              <w:bottom w:w="70" w:type="dxa"/>
              <w:right w:w="90" w:type="dxa"/>
            </w:tcMar>
            <w:vAlign w:val="center"/>
          </w:tcPr>
          <w:p w14:paraId="327FB591">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Creatinine as predictor</w:t>
            </w:r>
          </w:p>
        </w:tc>
        <w:tc>
          <w:tcPr>
            <w:tcW w:w="3372" w:type="dxa"/>
            <w:shd w:val="clear" w:color="auto" w:fill="auto"/>
            <w:tcMar>
              <w:top w:w="70" w:type="dxa"/>
              <w:left w:w="90" w:type="dxa"/>
              <w:bottom w:w="70" w:type="dxa"/>
              <w:right w:w="90" w:type="dxa"/>
            </w:tcMar>
            <w:vAlign w:val="center"/>
          </w:tcPr>
          <w:p w14:paraId="686547BA">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serum creatinine</w:t>
            </w:r>
          </w:p>
        </w:tc>
        <w:tc>
          <w:tcPr>
            <w:tcW w:w="3372" w:type="dxa"/>
            <w:shd w:val="clear" w:color="auto" w:fill="auto"/>
            <w:tcMar>
              <w:top w:w="70" w:type="dxa"/>
              <w:left w:w="90" w:type="dxa"/>
              <w:bottom w:w="70" w:type="dxa"/>
              <w:right w:w="90" w:type="dxa"/>
            </w:tcMar>
            <w:vAlign w:val="center"/>
          </w:tcPr>
          <w:p w14:paraId="107D926D">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Most recent available measurement before ICU admission</w:t>
            </w:r>
          </w:p>
        </w:tc>
        <w:tc>
          <w:tcPr>
            <w:tcW w:w="5297" w:type="dxa"/>
            <w:shd w:val="clear" w:color="auto" w:fill="auto"/>
            <w:tcMar>
              <w:top w:w="70" w:type="dxa"/>
              <w:left w:w="90" w:type="dxa"/>
              <w:bottom w:w="70" w:type="dxa"/>
              <w:right w:w="90" w:type="dxa"/>
            </w:tcMar>
            <w:vAlign w:val="center"/>
          </w:tcPr>
          <w:p w14:paraId="3C6709A2">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Strictly predates the prediction time point. Kept distinct from post-admission creatinine and urine-output records used only to determine KDIGO AKI status, stage, and event time.</w:t>
            </w:r>
          </w:p>
        </w:tc>
      </w:tr>
      <w:tr w14:paraId="4A0BC1A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927" w:type="dxa"/>
            <w:shd w:val="clear" w:color="auto" w:fill="auto"/>
            <w:tcMar>
              <w:top w:w="70" w:type="dxa"/>
              <w:left w:w="90" w:type="dxa"/>
              <w:bottom w:w="70" w:type="dxa"/>
              <w:right w:w="90" w:type="dxa"/>
            </w:tcMar>
            <w:vAlign w:val="center"/>
          </w:tcPr>
          <w:p w14:paraId="2F5C6F92">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Secondary outcomes</w:t>
            </w:r>
          </w:p>
        </w:tc>
        <w:tc>
          <w:tcPr>
            <w:tcW w:w="3372" w:type="dxa"/>
            <w:shd w:val="clear" w:color="auto" w:fill="auto"/>
            <w:tcMar>
              <w:top w:w="70" w:type="dxa"/>
              <w:left w:w="90" w:type="dxa"/>
              <w:bottom w:w="70" w:type="dxa"/>
              <w:right w:w="90" w:type="dxa"/>
            </w:tcMar>
            <w:vAlign w:val="center"/>
          </w:tcPr>
          <w:p w14:paraId="0830F96D">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in-hospital mortality and 1-year mortality</w:t>
            </w:r>
          </w:p>
        </w:tc>
        <w:tc>
          <w:tcPr>
            <w:tcW w:w="3372" w:type="dxa"/>
            <w:shd w:val="clear" w:color="auto" w:fill="auto"/>
            <w:tcMar>
              <w:top w:w="70" w:type="dxa"/>
              <w:left w:w="90" w:type="dxa"/>
              <w:bottom w:w="70" w:type="dxa"/>
              <w:right w:w="90" w:type="dxa"/>
            </w:tcMar>
            <w:vAlign w:val="center"/>
          </w:tcPr>
          <w:p w14:paraId="59DD85B7">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Outcome-specific follow-up periods</w:t>
            </w:r>
          </w:p>
        </w:tc>
        <w:tc>
          <w:tcPr>
            <w:tcW w:w="5297" w:type="dxa"/>
            <w:shd w:val="clear" w:color="auto" w:fill="auto"/>
            <w:tcMar>
              <w:top w:w="70" w:type="dxa"/>
              <w:left w:w="90" w:type="dxa"/>
              <w:bottom w:w="70" w:type="dxa"/>
              <w:right w:w="90" w:type="dxa"/>
            </w:tcMar>
            <w:vAlign w:val="center"/>
          </w:tcPr>
          <w:p w14:paraId="225FA363">
            <w:pPr>
              <w:spacing w:after="0" w:line="240" w:lineRule="auto"/>
              <w:jc w:val="both"/>
              <w:rPr>
                <w:rFonts w:ascii="Times New Roman" w:hAnsi="Times New Roman" w:cs="Times New Roman"/>
                <w:color w:val="000000" w:themeColor="text1"/>
                <w:sz w:val="18"/>
                <w:szCs w:val="18"/>
                <w14:textFill>
                  <w14:solidFill>
                    <w14:schemeClr w14:val="tx1"/>
                  </w14:solidFill>
                </w14:textFill>
              </w:rPr>
            </w:pPr>
            <w:r>
              <w:rPr>
                <w:rFonts w:ascii="Times New Roman" w:hAnsi="Times New Roman" w:cs="Times New Roman"/>
                <w:color w:val="000000" w:themeColor="text1"/>
                <w:sz w:val="18"/>
                <w:szCs w:val="18"/>
                <w14:textFill>
                  <w14:solidFill>
                    <w14:schemeClr w14:val="tx1"/>
                  </w14:solidFill>
                </w14:textFill>
              </w:rPr>
              <w:t>Used only as labels in secondary analyses and excluded from the AKI predictor set.</w:t>
            </w:r>
          </w:p>
        </w:tc>
      </w:tr>
    </w:tbl>
    <w:p w14:paraId="107D4F81">
      <w:pPr>
        <w:rPr>
          <w:rFonts w:ascii="Times New Roman" w:hAnsi="Times New Roman" w:cs="Times New Roman"/>
          <w:color w:val="000000" w:themeColor="text1"/>
          <w14:textFill>
            <w14:solidFill>
              <w14:schemeClr w14:val="tx1"/>
            </w14:solidFill>
          </w14:textFill>
        </w:rPr>
      </w:pPr>
    </w:p>
    <w:p w14:paraId="53D7B0D9">
      <w:pPr>
        <w:spacing w:after="0" w:line="240" w:lineRule="auto"/>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p>
    <w:p w14:paraId="386C963F">
      <w:pPr>
        <w:pStyle w:val="2"/>
        <w:spacing w:after="240"/>
        <w:rPr>
          <w:rFonts w:ascii="Times New Roman" w:hAnsi="Times New Roman" w:cs="Times New Roman"/>
          <w:color w:val="000000" w:themeColor="text1"/>
          <w:sz w:val="24"/>
          <w:szCs w:val="22"/>
          <w14:textFill>
            <w14:solidFill>
              <w14:schemeClr w14:val="tx1"/>
            </w14:solidFill>
          </w14:textFill>
        </w:rPr>
      </w:pPr>
      <w:r>
        <w:rPr>
          <w:rFonts w:ascii="Times New Roman" w:hAnsi="Times New Roman" w:cs="Times New Roman"/>
          <w:color w:val="000000" w:themeColor="text1"/>
          <w:sz w:val="24"/>
          <w:szCs w:val="22"/>
          <w14:textFill>
            <w14:solidFill>
              <w14:schemeClr w14:val="tx1"/>
            </w14:solidFill>
          </w14:textFill>
        </w:rPr>
        <w:t>Supplementary Table S</w:t>
      </w:r>
      <w:r>
        <w:rPr>
          <w:rFonts w:hint="eastAsia" w:ascii="Times New Roman" w:hAnsi="Times New Roman" w:cs="Times New Roman"/>
          <w:color w:val="000000" w:themeColor="text1"/>
          <w:sz w:val="24"/>
          <w:szCs w:val="22"/>
          <w:lang w:eastAsia="zh-CN"/>
          <w14:textFill>
            <w14:solidFill>
              <w14:schemeClr w14:val="tx1"/>
            </w14:solidFill>
          </w14:textFill>
        </w:rPr>
        <w:t>3</w:t>
      </w:r>
      <w:r>
        <w:rPr>
          <w:rFonts w:ascii="Times New Roman" w:hAnsi="Times New Roman" w:cs="Times New Roman"/>
          <w:color w:val="000000" w:themeColor="text1"/>
          <w:sz w:val="24"/>
          <w:szCs w:val="22"/>
          <w14:textFill>
            <w14:solidFill>
              <w14:schemeClr w14:val="tx1"/>
            </w14:solidFill>
          </w14:textFill>
        </w:rPr>
        <w:t>. Sensitivity analyses excluding serum creatinine and/or SOFA score</w:t>
      </w:r>
    </w:p>
    <w:tbl>
      <w:tblPr>
        <w:tblStyle w:val="3"/>
        <w:tblW w:w="4999"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73"/>
        <w:gridCol w:w="4492"/>
        <w:gridCol w:w="2349"/>
        <w:gridCol w:w="2349"/>
        <w:gridCol w:w="2462"/>
      </w:tblGrid>
      <w:tr w14:paraId="78DA0B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33" w:type="pct"/>
            <w:tcBorders>
              <w:top w:val="single" w:color="auto" w:sz="4" w:space="0"/>
              <w:bottom w:val="single" w:color="auto" w:sz="4" w:space="0"/>
            </w:tcBorders>
            <w:shd w:val="clear" w:color="auto" w:fill="auto"/>
            <w:vAlign w:val="center"/>
          </w:tcPr>
          <w:p w14:paraId="2B55A5C1">
            <w:pPr>
              <w:spacing w:after="0" w:line="240" w:lineRule="auto"/>
              <w:jc w:val="center"/>
              <w:rPr>
                <w:rFonts w:ascii="Times New Roman" w:hAnsi="Times New Roman" w:cs="Times New Roman"/>
                <w:b/>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Analysis</w:t>
            </w:r>
          </w:p>
        </w:tc>
        <w:tc>
          <w:tcPr>
            <w:tcW w:w="1568" w:type="pct"/>
            <w:tcBorders>
              <w:top w:val="single" w:color="auto" w:sz="4" w:space="0"/>
              <w:bottom w:val="single" w:color="auto" w:sz="4" w:space="0"/>
            </w:tcBorders>
            <w:shd w:val="clear" w:color="auto" w:fill="auto"/>
            <w:vAlign w:val="center"/>
          </w:tcPr>
          <w:p w14:paraId="0FC4A473">
            <w:pPr>
              <w:spacing w:after="0" w:line="240" w:lineRule="auto"/>
              <w:jc w:val="center"/>
              <w:rPr>
                <w:rFonts w:ascii="Times New Roman" w:hAnsi="Times New Roman" w:cs="Times New Roman"/>
                <w:b/>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Variables excluded</w:t>
            </w:r>
          </w:p>
        </w:tc>
        <w:tc>
          <w:tcPr>
            <w:tcW w:w="820" w:type="pct"/>
            <w:tcBorders>
              <w:top w:val="single" w:color="auto" w:sz="4" w:space="0"/>
              <w:bottom w:val="single" w:color="auto" w:sz="4" w:space="0"/>
            </w:tcBorders>
            <w:shd w:val="clear" w:color="auto" w:fill="auto"/>
            <w:vAlign w:val="center"/>
          </w:tcPr>
          <w:p w14:paraId="05E58043">
            <w:pPr>
              <w:spacing w:after="0" w:line="240" w:lineRule="auto"/>
              <w:jc w:val="center"/>
              <w:rPr>
                <w:rFonts w:ascii="Times New Roman" w:hAnsi="Times New Roman" w:cs="Times New Roman"/>
                <w:b/>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ROC-AUC (95% CI)</w:t>
            </w:r>
          </w:p>
        </w:tc>
        <w:tc>
          <w:tcPr>
            <w:tcW w:w="820" w:type="pct"/>
            <w:tcBorders>
              <w:top w:val="single" w:color="auto" w:sz="4" w:space="0"/>
              <w:bottom w:val="single" w:color="auto" w:sz="4" w:space="0"/>
            </w:tcBorders>
            <w:shd w:val="clear" w:color="auto" w:fill="auto"/>
            <w:vAlign w:val="center"/>
          </w:tcPr>
          <w:p w14:paraId="50762B75">
            <w:pPr>
              <w:spacing w:after="0" w:line="240" w:lineRule="auto"/>
              <w:jc w:val="center"/>
              <w:rPr>
                <w:rFonts w:ascii="Times New Roman" w:hAnsi="Times New Roman" w:cs="Times New Roman"/>
                <w:b/>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PR-AUC (95% CI)</w:t>
            </w:r>
          </w:p>
        </w:tc>
        <w:tc>
          <w:tcPr>
            <w:tcW w:w="859" w:type="pct"/>
            <w:tcBorders>
              <w:top w:val="single" w:color="auto" w:sz="4" w:space="0"/>
              <w:bottom w:val="single" w:color="auto" w:sz="4" w:space="0"/>
            </w:tcBorders>
            <w:shd w:val="clear" w:color="auto" w:fill="auto"/>
            <w:vAlign w:val="center"/>
          </w:tcPr>
          <w:p w14:paraId="606E0C48">
            <w:pPr>
              <w:spacing w:after="0" w:line="240" w:lineRule="auto"/>
              <w:jc w:val="center"/>
              <w:rPr>
                <w:rFonts w:ascii="Times New Roman" w:hAnsi="Times New Roman" w:cs="Times New Roman"/>
                <w:b/>
                <w:color w:val="000000" w:themeColor="text1"/>
                <w:sz w:val="18"/>
                <w:szCs w:val="18"/>
                <w14:textFill>
                  <w14:solidFill>
                    <w14:schemeClr w14:val="tx1"/>
                  </w14:solidFill>
                </w14:textFill>
              </w:rPr>
            </w:pPr>
            <w:r>
              <w:rPr>
                <w:rFonts w:ascii="Times New Roman" w:hAnsi="Times New Roman" w:cs="Times New Roman"/>
                <w:b/>
                <w:color w:val="000000" w:themeColor="text1"/>
                <w:sz w:val="18"/>
                <w:szCs w:val="18"/>
                <w14:textFill>
                  <w14:solidFill>
                    <w14:schemeClr w14:val="tx1"/>
                  </w14:solidFill>
                </w14:textFill>
              </w:rPr>
              <w:t>Brier score (95% CI)</w:t>
            </w:r>
          </w:p>
        </w:tc>
      </w:tr>
      <w:tr w14:paraId="4EF4C7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33" w:type="pct"/>
            <w:tcBorders>
              <w:top w:val="single" w:color="auto" w:sz="4" w:space="0"/>
            </w:tcBorders>
            <w:shd w:val="clear" w:color="auto" w:fill="auto"/>
            <w:vAlign w:val="center"/>
          </w:tcPr>
          <w:p w14:paraId="6001F701">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Primary model</w:t>
            </w:r>
          </w:p>
        </w:tc>
        <w:tc>
          <w:tcPr>
            <w:tcW w:w="1568" w:type="pct"/>
            <w:tcBorders>
              <w:top w:val="single" w:color="auto" w:sz="4" w:space="0"/>
            </w:tcBorders>
            <w:shd w:val="clear" w:color="auto" w:fill="auto"/>
            <w:vAlign w:val="center"/>
          </w:tcPr>
          <w:p w14:paraId="466DBFFF">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None</w:t>
            </w:r>
          </w:p>
        </w:tc>
        <w:tc>
          <w:tcPr>
            <w:tcW w:w="820" w:type="pct"/>
            <w:tcBorders>
              <w:top w:val="single" w:color="auto" w:sz="4" w:space="0"/>
            </w:tcBorders>
            <w:shd w:val="clear" w:color="auto" w:fill="auto"/>
            <w:vAlign w:val="center"/>
          </w:tcPr>
          <w:p w14:paraId="7B6B8348">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0.808 (0.764–0.851)</w:t>
            </w:r>
          </w:p>
        </w:tc>
        <w:tc>
          <w:tcPr>
            <w:tcW w:w="820" w:type="pct"/>
            <w:tcBorders>
              <w:top w:val="single" w:color="auto" w:sz="4" w:space="0"/>
            </w:tcBorders>
            <w:shd w:val="clear" w:color="auto" w:fill="auto"/>
            <w:vAlign w:val="center"/>
          </w:tcPr>
          <w:p w14:paraId="669865B4">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0.802 (0.747–0.855)</w:t>
            </w:r>
          </w:p>
        </w:tc>
        <w:tc>
          <w:tcPr>
            <w:tcW w:w="859" w:type="pct"/>
            <w:tcBorders>
              <w:top w:val="single" w:color="auto" w:sz="4" w:space="0"/>
            </w:tcBorders>
            <w:shd w:val="clear" w:color="auto" w:fill="auto"/>
            <w:vAlign w:val="center"/>
          </w:tcPr>
          <w:p w14:paraId="7F8290AA">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0.187 (0.171–0.202)</w:t>
            </w:r>
          </w:p>
        </w:tc>
      </w:tr>
      <w:tr w14:paraId="531D5C7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33" w:type="pct"/>
            <w:shd w:val="clear" w:color="auto" w:fill="auto"/>
            <w:vAlign w:val="center"/>
          </w:tcPr>
          <w:p w14:paraId="1F9B980D">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Sensitivity analysis 1</w:t>
            </w:r>
          </w:p>
        </w:tc>
        <w:tc>
          <w:tcPr>
            <w:tcW w:w="1568" w:type="pct"/>
            <w:shd w:val="clear" w:color="auto" w:fill="auto"/>
            <w:vAlign w:val="center"/>
          </w:tcPr>
          <w:p w14:paraId="2F24EA6A">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Serum creatinine</w:t>
            </w:r>
          </w:p>
        </w:tc>
        <w:tc>
          <w:tcPr>
            <w:tcW w:w="820" w:type="pct"/>
            <w:shd w:val="clear" w:color="auto" w:fill="auto"/>
            <w:vAlign w:val="center"/>
          </w:tcPr>
          <w:p w14:paraId="3641A71F">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0.776 (0.728–0.821)</w:t>
            </w:r>
          </w:p>
        </w:tc>
        <w:tc>
          <w:tcPr>
            <w:tcW w:w="820" w:type="pct"/>
            <w:shd w:val="clear" w:color="auto" w:fill="auto"/>
            <w:vAlign w:val="center"/>
          </w:tcPr>
          <w:p w14:paraId="0FB51619">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0.754 (0.690–0.812)</w:t>
            </w:r>
          </w:p>
        </w:tc>
        <w:tc>
          <w:tcPr>
            <w:tcW w:w="859" w:type="pct"/>
            <w:shd w:val="clear" w:color="auto" w:fill="auto"/>
            <w:vAlign w:val="center"/>
          </w:tcPr>
          <w:p w14:paraId="311D7BA6">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0.207 (0.198–0.217)</w:t>
            </w:r>
          </w:p>
        </w:tc>
      </w:tr>
      <w:tr w14:paraId="0AA682C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33" w:type="pct"/>
            <w:shd w:val="clear" w:color="auto" w:fill="auto"/>
            <w:vAlign w:val="center"/>
          </w:tcPr>
          <w:p w14:paraId="2871B7F9">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Sensitivity analysis 2</w:t>
            </w:r>
          </w:p>
        </w:tc>
        <w:tc>
          <w:tcPr>
            <w:tcW w:w="1568" w:type="pct"/>
            <w:shd w:val="clear" w:color="auto" w:fill="auto"/>
            <w:vAlign w:val="center"/>
          </w:tcPr>
          <w:p w14:paraId="2DAB8467">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SOFA score*</w:t>
            </w:r>
          </w:p>
        </w:tc>
        <w:tc>
          <w:tcPr>
            <w:tcW w:w="820" w:type="pct"/>
            <w:shd w:val="clear" w:color="auto" w:fill="auto"/>
            <w:vAlign w:val="center"/>
          </w:tcPr>
          <w:p w14:paraId="28033F0F">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0.776 (0.725–0.818)</w:t>
            </w:r>
          </w:p>
        </w:tc>
        <w:tc>
          <w:tcPr>
            <w:tcW w:w="820" w:type="pct"/>
            <w:shd w:val="clear" w:color="auto" w:fill="auto"/>
            <w:vAlign w:val="center"/>
          </w:tcPr>
          <w:p w14:paraId="1F96DB8C">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0.756 (0.689–0.815)</w:t>
            </w:r>
          </w:p>
        </w:tc>
        <w:tc>
          <w:tcPr>
            <w:tcW w:w="859" w:type="pct"/>
            <w:shd w:val="clear" w:color="auto" w:fill="auto"/>
            <w:vAlign w:val="center"/>
          </w:tcPr>
          <w:p w14:paraId="79714D11">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0.205 (0.195–0.216)</w:t>
            </w:r>
          </w:p>
        </w:tc>
      </w:tr>
      <w:tr w14:paraId="344A03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33" w:type="pct"/>
            <w:shd w:val="clear" w:color="auto" w:fill="auto"/>
            <w:vAlign w:val="center"/>
          </w:tcPr>
          <w:p w14:paraId="30F31070">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Sensitivity analysis 3</w:t>
            </w:r>
          </w:p>
        </w:tc>
        <w:tc>
          <w:tcPr>
            <w:tcW w:w="1568" w:type="pct"/>
            <w:shd w:val="clear" w:color="auto" w:fill="auto"/>
            <w:vAlign w:val="center"/>
          </w:tcPr>
          <w:p w14:paraId="77CA68DC">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Serum creatinine and SOFA score*</w:t>
            </w:r>
          </w:p>
        </w:tc>
        <w:tc>
          <w:tcPr>
            <w:tcW w:w="820" w:type="pct"/>
            <w:shd w:val="clear" w:color="auto" w:fill="auto"/>
            <w:vAlign w:val="center"/>
          </w:tcPr>
          <w:p w14:paraId="2B25A766">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0.752 (0.705–0.799)</w:t>
            </w:r>
          </w:p>
        </w:tc>
        <w:tc>
          <w:tcPr>
            <w:tcW w:w="820" w:type="pct"/>
            <w:shd w:val="clear" w:color="auto" w:fill="auto"/>
            <w:vAlign w:val="center"/>
          </w:tcPr>
          <w:p w14:paraId="5E93C80C">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0.724 (0.658–0.789)</w:t>
            </w:r>
          </w:p>
        </w:tc>
        <w:tc>
          <w:tcPr>
            <w:tcW w:w="859" w:type="pct"/>
            <w:shd w:val="clear" w:color="auto" w:fill="auto"/>
            <w:vAlign w:val="center"/>
          </w:tcPr>
          <w:p w14:paraId="666E65F3">
            <w:pPr>
              <w:spacing w:after="0" w:line="240" w:lineRule="auto"/>
              <w:jc w:val="center"/>
              <w:rPr>
                <w:rFonts w:ascii="Times New Roman" w:hAnsi="Times New Roman" w:cs="Times New Roman"/>
                <w:bCs/>
                <w:color w:val="000000" w:themeColor="text1"/>
                <w:sz w:val="18"/>
                <w:szCs w:val="18"/>
                <w14:textFill>
                  <w14:solidFill>
                    <w14:schemeClr w14:val="tx1"/>
                  </w14:solidFill>
                </w14:textFill>
              </w:rPr>
            </w:pPr>
            <w:r>
              <w:rPr>
                <w:rFonts w:ascii="Times New Roman" w:hAnsi="Times New Roman" w:cs="Times New Roman"/>
                <w:bCs/>
                <w:color w:val="000000" w:themeColor="text1"/>
                <w:sz w:val="18"/>
                <w:szCs w:val="18"/>
                <w14:textFill>
                  <w14:solidFill>
                    <w14:schemeClr w14:val="tx1"/>
                  </w14:solidFill>
                </w14:textFill>
              </w:rPr>
              <w:t>0.212 (0.202–0.223)</w:t>
            </w:r>
          </w:p>
        </w:tc>
      </w:tr>
    </w:tbl>
    <w:p w14:paraId="1669B943">
      <w:pPr>
        <w:spacing w:before="240"/>
        <w:rPr>
          <w:rFonts w:ascii="Times New Roman" w:hAnsi="Times New Roman" w:cs="Times New Roman" w:eastAsiaTheme="minorEastAsia"/>
          <w:color w:val="000000" w:themeColor="text1"/>
          <w:lang w:eastAsia="zh-CN"/>
          <w14:textFill>
            <w14:solidFill>
              <w14:schemeClr w14:val="tx1"/>
            </w14:solidFill>
          </w14:textFill>
        </w:rPr>
      </w:pPr>
      <w:r>
        <w:rPr>
          <w:rFonts w:ascii="Times New Roman" w:hAnsi="Times New Roman" w:cs="Times New Roman"/>
          <w:color w:val="000000" w:themeColor="text1"/>
          <w14:textFill>
            <w14:solidFill>
              <w14:schemeClr w14:val="tx1"/>
            </w14:solidFill>
          </w14:textFill>
        </w:rPr>
        <w:t>Note: The primary-model results are taken from the original manuscript analysis.</w:t>
      </w:r>
    </w:p>
    <w:p w14:paraId="5B64BA77">
      <w:pPr>
        <w:rPr>
          <w:rFonts w:ascii="Times New Roman" w:hAnsi="Times New Roman" w:cs="Times New Roman" w:eastAsiaTheme="minorEastAsia"/>
          <w:color w:val="000000" w:themeColor="text1"/>
          <w:lang w:eastAsia="zh-CN"/>
          <w14:textFill>
            <w14:solidFill>
              <w14:schemeClr w14:val="tx1"/>
            </w14:solidFill>
          </w14:textFill>
        </w:rPr>
      </w:pPr>
      <w:r>
        <w:rPr>
          <w:rFonts w:ascii="Times New Roman" w:hAnsi="Times New Roman" w:cs="Times New Roman" w:eastAsiaTheme="minorEastAsia"/>
          <w:color w:val="000000" w:themeColor="text1"/>
          <w:lang w:eastAsia="zh-CN"/>
          <w14:textFill>
            <w14:solidFill>
              <w14:schemeClr w14:val="tx1"/>
            </w14:solidFill>
          </w14:textFill>
        </w:rPr>
        <w:t>All sensitivity analyses used the same study cohort and the same subject-level training, validation, and test sets as the primary analysis.</w:t>
      </w:r>
    </w:p>
    <w:p w14:paraId="380E697F">
      <w:pPr>
        <w:rPr>
          <w:rFonts w:ascii="Times New Roman" w:hAnsi="Times New Roman" w:cs="Times New Roman" w:eastAsiaTheme="minorEastAsia"/>
          <w:color w:val="000000" w:themeColor="text1"/>
          <w:lang w:eastAsia="zh-CN"/>
          <w14:textFill>
            <w14:solidFill>
              <w14:schemeClr w14:val="tx1"/>
            </w14:solidFill>
          </w14:textFill>
        </w:rPr>
      </w:pPr>
      <w:r>
        <w:rPr>
          <w:rFonts w:ascii="Times New Roman" w:hAnsi="Times New Roman" w:cs="Times New Roman" w:eastAsiaTheme="minorEastAsia"/>
          <w:color w:val="000000" w:themeColor="text1"/>
          <w:lang w:eastAsia="zh-CN"/>
          <w14:textFill>
            <w14:solidFill>
              <w14:schemeClr w14:val="tx1"/>
            </w14:solidFill>
          </w14:textFill>
        </w:rPr>
        <w:t>*When the SOFA score was excluded, the derived SOFA × mean lactate interaction term was also excluded.</w:t>
      </w:r>
    </w:p>
    <w:p w14:paraId="134DA107">
      <w:pPr>
        <w:rPr>
          <w:rFonts w:hint="eastAsia" w:ascii="Times New Roman" w:hAnsi="Times New Roman" w:cs="Times New Roman" w:eastAsiaTheme="minorEastAsia"/>
          <w:color w:val="000000" w:themeColor="text1"/>
          <w:lang w:eastAsia="zh-CN"/>
          <w14:textFill>
            <w14:solidFill>
              <w14:schemeClr w14:val="tx1"/>
            </w14:solidFill>
          </w14:textFill>
        </w:rPr>
      </w:pPr>
      <w:r>
        <w:rPr>
          <w:rFonts w:ascii="Times New Roman" w:hAnsi="Times New Roman" w:cs="Times New Roman" w:eastAsiaTheme="minorEastAsia"/>
          <w:color w:val="000000" w:themeColor="text1"/>
          <w:lang w:eastAsia="zh-CN"/>
          <w14:textFill>
            <w14:solidFill>
              <w14:schemeClr w14:val="tx1"/>
            </w14:solidFill>
          </w14:textFill>
        </w:rPr>
        <w:t>Abbreviations: ROC-AUC, area under the receiver operating characteristic curve; PR-AUC, area under the precision–recall curve; SOFA, Sequential Organ Failure Assessment.</w:t>
      </w:r>
    </w:p>
    <w:p w14:paraId="7EE35B4D">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6583680" cy="5538470"/>
            <wp:effectExtent l="0" t="0" r="762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583680" cy="5538651"/>
                    </a:xfrm>
                    <a:prstGeom prst="rect">
                      <a:avLst/>
                    </a:prstGeom>
                  </pic:spPr>
                </pic:pic>
              </a:graphicData>
            </a:graphic>
          </wp:inline>
        </w:drawing>
      </w:r>
    </w:p>
    <w:p w14:paraId="7332A78F">
      <w:pPr>
        <w:rPr>
          <w:rFonts w:ascii="Times New Roman" w:hAnsi="Times New Roman" w:eastAsia="宋体" w:cs="Times New Roman"/>
          <w:color w:val="000000" w:themeColor="text1"/>
          <w:sz w:val="24"/>
          <w:szCs w:val="24"/>
          <w:lang w:eastAsia="zh-CN"/>
          <w14:textFill>
            <w14:solidFill>
              <w14:schemeClr w14:val="tx1"/>
            </w14:solidFill>
          </w14:textFill>
        </w:rPr>
      </w:pPr>
      <w:r>
        <w:rPr>
          <w:rFonts w:ascii="Times New Roman" w:hAnsi="Times New Roman" w:cs="Times New Roman"/>
          <w:b/>
          <w:bCs/>
          <w:color w:val="000000" w:themeColor="text1"/>
          <w:sz w:val="24"/>
          <w:szCs w:val="24"/>
          <w14:textFill>
            <w14:solidFill>
              <w14:schemeClr w14:val="tx1"/>
            </w14:solidFill>
          </w14:textFill>
        </w:rPr>
        <w:t>Supplementary Figure S1. Calibration plots</w:t>
      </w:r>
      <w:r>
        <w:rPr>
          <w:rFonts w:hint="eastAsia" w:ascii="Times New Roman" w:hAnsi="Times New Roman" w:cs="Times New Roman" w:eastAsiaTheme="minorEastAsia"/>
          <w:b/>
          <w:bCs/>
          <w:color w:val="000000" w:themeColor="text1"/>
          <w:sz w:val="24"/>
          <w:szCs w:val="24"/>
          <w:lang w:eastAsia="zh-CN"/>
          <w14:textFill>
            <w14:solidFill>
              <w14:schemeClr w14:val="tx1"/>
            </w14:solidFill>
          </w14:textFill>
        </w:rPr>
        <w:t>.</w:t>
      </w:r>
      <w:r>
        <w:rPr>
          <w:rFonts w:hint="eastAsia" w:ascii="Times New Roman" w:hAnsi="Times New Roman" w:cs="Times New Roman" w:eastAsiaTheme="minorEastAsia"/>
          <w:color w:val="000000" w:themeColor="text1"/>
          <w:sz w:val="24"/>
          <w:szCs w:val="24"/>
          <w:lang w:eastAsia="zh-CN"/>
          <w14:textFill>
            <w14:solidFill>
              <w14:schemeClr w14:val="tx1"/>
            </w14:solidFill>
          </w14:textFill>
        </w:rPr>
        <w:t xml:space="preserve"> </w:t>
      </w:r>
      <w:r>
        <w:rPr>
          <w:rFonts w:ascii="Times New Roman" w:hAnsi="Times New Roman" w:cs="Times New Roman"/>
          <w:color w:val="000000" w:themeColor="text1"/>
          <w:sz w:val="24"/>
          <w:szCs w:val="24"/>
          <w14:textFill>
            <w14:solidFill>
              <w14:schemeClr w14:val="tx1"/>
            </w14:solidFill>
          </w14:textFill>
        </w:rPr>
        <w:t>Calibration plots for (A) LSTM, (B) LightGBM, (C) XGBoost, and (D) Random Forest on the independent test set. The diagonal dashed line indicates perfect calibration. Calibration intercepts and slopes are reported in Table 2</w:t>
      </w:r>
      <w:r>
        <w:rPr>
          <w:rFonts w:ascii="Times New Roman" w:hAnsi="Times New Roman" w:eastAsia="宋体" w:cs="Times New Roman"/>
          <w:color w:val="000000" w:themeColor="text1"/>
          <w:sz w:val="24"/>
          <w:szCs w:val="24"/>
          <w:lang w:eastAsia="zh-CN"/>
          <w14:textFill>
            <w14:solidFill>
              <w14:schemeClr w14:val="tx1"/>
            </w14:solidFill>
          </w14:textFill>
        </w:rPr>
        <w:t>.</w:t>
      </w:r>
    </w:p>
    <w:p w14:paraId="79530C43">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br w:type="page"/>
      </w:r>
    </w:p>
    <w:p w14:paraId="6171D23F">
      <w:pPr>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drawing>
          <wp:inline distT="0" distB="0" distL="114300" distR="114300">
            <wp:extent cx="8778240" cy="3430270"/>
            <wp:effectExtent l="0" t="0" r="381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7"/>
                    <a:stretch>
                      <a:fillRect/>
                    </a:stretch>
                  </pic:blipFill>
                  <pic:spPr>
                    <a:xfrm>
                      <a:off x="0" y="0"/>
                      <a:ext cx="8778240" cy="3430332"/>
                    </a:xfrm>
                    <a:prstGeom prst="rect">
                      <a:avLst/>
                    </a:prstGeom>
                  </pic:spPr>
                </pic:pic>
              </a:graphicData>
            </a:graphic>
          </wp:inline>
        </w:drawing>
      </w:r>
    </w:p>
    <w:p w14:paraId="669B983F">
      <w:pPr>
        <w:rPr>
          <w:rFonts w:ascii="Times New Roman" w:hAnsi="Times New Roman" w:cs="Times New Roman"/>
          <w:color w:val="000000" w:themeColor="text1"/>
          <w:sz w:val="24"/>
          <w:szCs w:val="28"/>
          <w14:textFill>
            <w14:solidFill>
              <w14:schemeClr w14:val="tx1"/>
            </w14:solidFill>
          </w14:textFill>
        </w:rPr>
      </w:pPr>
      <w:r>
        <w:rPr>
          <w:rFonts w:ascii="Times New Roman" w:hAnsi="Times New Roman" w:cs="Times New Roman"/>
          <w:b/>
          <w:bCs/>
          <w:color w:val="000000" w:themeColor="text1"/>
          <w:sz w:val="24"/>
          <w:szCs w:val="28"/>
          <w14:textFill>
            <w14:solidFill>
              <w14:schemeClr w14:val="tx1"/>
            </w14:solidFill>
          </w14:textFill>
        </w:rPr>
        <w:t>Supplementary Figure S2. Ablation analysis</w:t>
      </w:r>
      <w:r>
        <w:rPr>
          <w:rFonts w:hint="eastAsia" w:ascii="宋体" w:hAnsi="宋体" w:eastAsia="宋体" w:cs="宋体"/>
          <w:b/>
          <w:bCs/>
          <w:color w:val="000000" w:themeColor="text1"/>
          <w:sz w:val="24"/>
          <w:szCs w:val="28"/>
          <w:lang w:eastAsia="zh-CN"/>
          <w14:textFill>
            <w14:solidFill>
              <w14:schemeClr w14:val="tx1"/>
            </w14:solidFill>
          </w14:textFill>
        </w:rPr>
        <w:t>.</w:t>
      </w:r>
      <w:r>
        <w:rPr>
          <w:rFonts w:hint="eastAsia" w:ascii="宋体" w:hAnsi="宋体" w:eastAsia="宋体" w:cs="宋体"/>
          <w:color w:val="000000" w:themeColor="text1"/>
          <w:sz w:val="24"/>
          <w:szCs w:val="28"/>
          <w:lang w:eastAsia="zh-CN"/>
          <w14:textFill>
            <w14:solidFill>
              <w14:schemeClr w14:val="tx1"/>
            </w14:solidFill>
          </w14:textFill>
        </w:rPr>
        <w:t xml:space="preserve"> </w:t>
      </w:r>
      <w:r>
        <w:rPr>
          <w:rFonts w:ascii="Times New Roman" w:hAnsi="Times New Roman" w:cs="Times New Roman"/>
          <w:color w:val="000000" w:themeColor="text1"/>
          <w:sz w:val="24"/>
          <w:szCs w:val="28"/>
          <w14:textFill>
            <w14:solidFill>
              <w14:schemeClr w14:val="tx1"/>
            </w14:solidFill>
          </w14:textFill>
        </w:rPr>
        <w:t>Ablation analyses comparing a lactate mean feature with a lactate-temporal LSTM and comparing a lactate-only LSTM with the multimodal LSTM. These analyses are interpreted as model sensitivity analyses rather than causal or mechanistic attribution.</w:t>
      </w:r>
    </w:p>
    <w:p w14:paraId="7A2CA62A">
      <w:pPr>
        <w:pStyle w:val="2"/>
        <w:rPr>
          <w:rFonts w:ascii="Times New Roman" w:hAnsi="Times New Roman" w:cs="Times New Roman"/>
          <w:color w:val="000000" w:themeColor="text1"/>
          <w:sz w:val="24"/>
          <w:szCs w:val="22"/>
          <w14:textFill>
            <w14:solidFill>
              <w14:schemeClr w14:val="tx1"/>
            </w14:solidFill>
          </w14:textFill>
        </w:rPr>
      </w:pPr>
      <w:r>
        <w:rPr>
          <w:rFonts w:ascii="Times New Roman" w:hAnsi="Times New Roman" w:cs="Times New Roman"/>
          <w:color w:val="000000" w:themeColor="text1"/>
          <w:sz w:val="24"/>
          <w:szCs w:val="22"/>
          <w14:textFill>
            <w14:solidFill>
              <w14:schemeClr w14:val="tx1"/>
            </w14:solidFill>
          </w14:textFill>
        </w:rPr>
        <w:t>Supplementary Data S1</w:t>
      </w:r>
    </w:p>
    <w:p w14:paraId="1DEF8E13">
      <w:pP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Threshold-level decision-curve net-benefit values for LSTM, LightGBM, XGBoost, and Random Forest are provided as a separate spreadsheet.</w:t>
      </w:r>
    </w:p>
    <w:p w14:paraId="0A2A2946">
      <w:pPr>
        <w:rPr>
          <w:rFonts w:ascii="Times New Roman" w:hAnsi="Times New Roman" w:cs="Times New Roman"/>
        </w:rPr>
      </w:pPr>
    </w:p>
    <w:sectPr>
      <w:pgSz w:w="15840" w:h="12240" w:orient="landscape"/>
      <w:pgMar w:top="936" w:right="864" w:bottom="936" w:left="8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rial Unicode MS">
    <w:altName w:val="Arial"/>
    <w:panose1 w:val="020B0604020202020204"/>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DE558B"/>
    <w:rsid w:val="0007152A"/>
    <w:rsid w:val="003000AF"/>
    <w:rsid w:val="00661B65"/>
    <w:rsid w:val="00A30497"/>
    <w:rsid w:val="00BF74EB"/>
    <w:rsid w:val="1876152D"/>
    <w:rsid w:val="27E869A4"/>
    <w:rsid w:val="66DE6418"/>
    <w:rsid w:val="78DE5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64" w:lineRule="auto"/>
    </w:pPr>
    <w:rPr>
      <w:rFonts w:ascii="Arial" w:hAnsi="Arial" w:eastAsia="Arial Unicode MS" w:cs="Arial Unicode MS"/>
      <w:sz w:val="21"/>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74B5"/>
      <w:sz w:val="32"/>
      <w:szCs w:val="28"/>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521</Words>
  <Characters>3445</Characters>
  <Lines>28</Lines>
  <Paragraphs>7</Paragraphs>
  <TotalTime>0</TotalTime>
  <ScaleCrop>false</ScaleCrop>
  <LinksUpToDate>false</LinksUpToDate>
  <CharactersWithSpaces>3876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2026-08-03T07:45:00Z</dcterms:created>
  <dc:creator>StarSky</dc:creator>
  <cp:lastModifiedBy>StarSky</cp:lastModifiedBy>
  <dcterms:modified xsi:type="dcterms:W3CDTF">2026-08-24T05:50:29Z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8545EB99D8D541DDBD1435A2545C7F38_11</vt:lpwstr>
  </property>
  <property fmtid="{D5CDD505-2E9C-101B-9397-08002B2CF9AE}" pid="4" name="KSOTemplateDocerSaveRecord">
    <vt:lpwstr>eyJoZGlkIjoiOTNjYzQ2MTg2NDI1MWZmMWVlZTEwNzJmZDMzMmNiNTkiLCJ1c2VySWQiOiIyNTE4MTMzNzEifQ==</vt:lpwstr>
  </property>
</Properties>
</file>