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C84" w:rsidRDefault="008A3C84" w:rsidP="008A3C84">
      <w:pPr>
        <w:autoSpaceDE w:val="0"/>
        <w:autoSpaceDN w:val="0"/>
        <w:adjustRightInd w:val="0"/>
        <w:spacing w:after="0" w:line="240" w:lineRule="auto"/>
        <w:rPr>
          <w:rFonts w:asciiTheme="majorBidi" w:hAnsiTheme="majorBidi" w:cstheme="majorBidi"/>
          <w:b/>
          <w:bCs/>
          <w:color w:val="000000" w:themeColor="text1"/>
          <w:sz w:val="20"/>
          <w:szCs w:val="20"/>
          <w:lang w:bidi="fa-IR"/>
        </w:rPr>
      </w:pPr>
      <w:bookmarkStart w:id="0" w:name="_GoBack"/>
      <w:r>
        <w:rPr>
          <w:rFonts w:asciiTheme="majorBidi" w:hAnsiTheme="majorBidi" w:cstheme="majorBidi"/>
          <w:color w:val="000000" w:themeColor="text1"/>
          <w:sz w:val="20"/>
          <w:szCs w:val="20"/>
        </w:rPr>
        <w:t>Appendix</w:t>
      </w:r>
      <w:r>
        <w:rPr>
          <w:rFonts w:asciiTheme="majorBidi" w:hAnsiTheme="majorBidi" w:cstheme="majorBidi"/>
          <w:color w:val="000000" w:themeColor="text1"/>
          <w:sz w:val="20"/>
          <w:szCs w:val="20"/>
          <w:lang w:bidi="fa-IR"/>
        </w:rPr>
        <w:t xml:space="preserve"> </w:t>
      </w:r>
      <w:bookmarkEnd w:id="0"/>
      <w:r>
        <w:rPr>
          <w:rFonts w:asciiTheme="majorBidi" w:hAnsiTheme="majorBidi" w:cstheme="majorBidi"/>
          <w:color w:val="000000" w:themeColor="text1"/>
          <w:sz w:val="20"/>
          <w:szCs w:val="20"/>
          <w:lang w:bidi="fa-IR"/>
        </w:rPr>
        <w:t xml:space="preserve">1. </w:t>
      </w:r>
      <w:r>
        <w:rPr>
          <w:rFonts w:asciiTheme="majorBidi" w:hAnsiTheme="majorBidi" w:cstheme="majorBidi"/>
          <w:color w:val="000000" w:themeColor="text1"/>
          <w:sz w:val="20"/>
          <w:szCs w:val="20"/>
        </w:rPr>
        <w:t xml:space="preserve">Comparison of the </w:t>
      </w:r>
      <w:r>
        <w:rPr>
          <w:rStyle w:val="tlid-translation"/>
          <w:rFonts w:asciiTheme="majorBidi" w:hAnsiTheme="majorBidi" w:cstheme="majorBidi"/>
          <w:color w:val="000000"/>
          <w:sz w:val="20"/>
          <w:szCs w:val="20"/>
          <w:lang w:eastAsia="zh-CN"/>
        </w:rPr>
        <w:t>f</w:t>
      </w:r>
      <w:r>
        <w:rPr>
          <w:rStyle w:val="tlid-translation"/>
          <w:rFonts w:asciiTheme="majorBidi" w:hAnsiTheme="majorBidi" w:cstheme="majorBidi"/>
          <w:color w:val="000000"/>
          <w:sz w:val="20"/>
          <w:szCs w:val="20"/>
        </w:rPr>
        <w:t>requency</w:t>
      </w:r>
      <w:r>
        <w:rPr>
          <w:rFonts w:asciiTheme="majorBidi" w:hAnsiTheme="majorBidi" w:cstheme="majorBidi"/>
          <w:color w:val="000000" w:themeColor="text1"/>
          <w:sz w:val="20"/>
          <w:szCs w:val="20"/>
        </w:rPr>
        <w:t xml:space="preserve"> of comorbidities burden in the two groups, </w:t>
      </w:r>
      <w:r>
        <w:rPr>
          <w:rStyle w:val="tlid-translation"/>
          <w:rFonts w:asciiTheme="majorBidi" w:hAnsiTheme="majorBidi" w:cstheme="majorBidi"/>
          <w:color w:val="000000" w:themeColor="text1"/>
          <w:sz w:val="20"/>
          <w:szCs w:val="20"/>
        </w:rPr>
        <w:t>at 3 time-points.</w:t>
      </w:r>
    </w:p>
    <w:p w:rsidR="008A3C84" w:rsidRDefault="008A3C84" w:rsidP="008A3C84">
      <w:pPr>
        <w:autoSpaceDE w:val="0"/>
        <w:autoSpaceDN w:val="0"/>
        <w:adjustRightInd w:val="0"/>
        <w:spacing w:after="0" w:line="240" w:lineRule="auto"/>
        <w:rPr>
          <w:rFonts w:asciiTheme="majorBidi" w:hAnsiTheme="majorBidi" w:cstheme="majorBidi"/>
          <w:b/>
          <w:bCs/>
          <w:color w:val="000000" w:themeColor="text1"/>
          <w:sz w:val="20"/>
          <w:szCs w:val="20"/>
          <w:lang w:bidi="fa-IR"/>
        </w:rPr>
      </w:pPr>
    </w:p>
    <w:tbl>
      <w:tblPr>
        <w:tblStyle w:val="TableGrid"/>
        <w:tblW w:w="0" w:type="auto"/>
        <w:tblLook w:val="04A0" w:firstRow="1" w:lastRow="0" w:firstColumn="1" w:lastColumn="0" w:noHBand="0" w:noVBand="1"/>
      </w:tblPr>
      <w:tblGrid>
        <w:gridCol w:w="1439"/>
        <w:gridCol w:w="1141"/>
        <w:gridCol w:w="1142"/>
        <w:gridCol w:w="1142"/>
        <w:gridCol w:w="1142"/>
        <w:gridCol w:w="1142"/>
        <w:gridCol w:w="1142"/>
      </w:tblGrid>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sz w:val="20"/>
                <w:szCs w:val="20"/>
                <w:lang w:bidi="fa-IR"/>
              </w:rPr>
              <w:t>Variables</w:t>
            </w:r>
          </w:p>
        </w:tc>
        <w:tc>
          <w:tcPr>
            <w:tcW w:w="2283"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1 </w:t>
            </w:r>
            <w:r>
              <w:rPr>
                <w:rFonts w:asciiTheme="majorBidi" w:hAnsiTheme="majorBidi" w:cstheme="majorBidi"/>
                <w:b/>
                <w:bCs/>
                <w:color w:val="000000" w:themeColor="text1"/>
                <w:sz w:val="20"/>
                <w:szCs w:val="20"/>
                <w:vertAlign w:val="superscript"/>
                <w:lang w:bidi="fa-IR"/>
              </w:rPr>
              <w:t>*</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2 </w:t>
            </w:r>
            <w:r>
              <w:rPr>
                <w:rFonts w:asciiTheme="majorBidi" w:hAnsiTheme="majorBidi" w:cstheme="majorBidi"/>
                <w:b/>
                <w:bCs/>
                <w:color w:val="000000" w:themeColor="text1"/>
                <w:sz w:val="20"/>
                <w:szCs w:val="20"/>
                <w:vertAlign w:val="superscript"/>
                <w:lang w:bidi="fa-IR"/>
              </w:rPr>
              <w:t>*</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3 </w:t>
            </w:r>
            <w:r>
              <w:rPr>
                <w:rFonts w:asciiTheme="majorBidi" w:hAnsiTheme="majorBidi" w:cstheme="majorBidi"/>
                <w:b/>
                <w:bCs/>
                <w:color w:val="000000" w:themeColor="text1"/>
                <w:sz w:val="20"/>
                <w:szCs w:val="20"/>
                <w:vertAlign w:val="superscript"/>
                <w:lang w:bidi="fa-IR"/>
              </w:rPr>
              <w:t>*</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Comorbidities burden</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eastAsia="SimSun" w:hAnsiTheme="majorBidi" w:cstheme="majorBidi"/>
                <w:b/>
                <w:bCs/>
                <w:color w:val="000000" w:themeColor="text1"/>
                <w:sz w:val="20"/>
                <w:szCs w:val="20"/>
                <w:lang w:eastAsia="zh-CN"/>
              </w:rPr>
              <w:t xml:space="preserve">MMP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eastAsia="SimSun" w:hAnsiTheme="majorBidi" w:cstheme="majorBidi"/>
                <w:b/>
                <w:bCs/>
                <w:color w:val="000000" w:themeColor="text1"/>
                <w:sz w:val="20"/>
                <w:szCs w:val="20"/>
                <w:lang w:eastAsia="zh-CN"/>
              </w:rPr>
              <w:t xml:space="preserve">MMP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eastAsia="SimSun" w:hAnsiTheme="majorBidi" w:cstheme="majorBidi"/>
                <w:b/>
                <w:bCs/>
                <w:color w:val="000000" w:themeColor="text1"/>
                <w:sz w:val="20"/>
                <w:szCs w:val="20"/>
                <w:lang w:eastAsia="zh-CN"/>
              </w:rPr>
              <w:t xml:space="preserve">MMP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Mild (2-3)</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7 (14.9)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6 (12.8)</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 (2.1)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 (6.4)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5 (10.6)</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Moderate (4-6)</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22 (46.8)</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23 (48.9)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22 (46.8)</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25 (53.2)</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24 (51.1)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22 (46.8)</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Sever (7-9)</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11 (23.4)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13 (27.7)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20 (42.6)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15 (31.9)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20 (42.6)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16 (34.1)</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Very sever (&gt;9)</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7 (14.9)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5 (10.6)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 (8.5)</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 (8.5)</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 (6.4)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 (8.5)</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Test </w:t>
            </w:r>
            <w:r>
              <w:rPr>
                <w:rFonts w:asciiTheme="majorBidi" w:hAnsiTheme="majorBidi" w:cstheme="majorBidi"/>
                <w:b/>
                <w:bCs/>
                <w:color w:val="000000" w:themeColor="text1"/>
                <w:sz w:val="20"/>
                <w:szCs w:val="20"/>
                <w:vertAlign w:val="superscript"/>
              </w:rPr>
              <w:t>a</w:t>
            </w:r>
            <w:r>
              <w:rPr>
                <w:rFonts w:asciiTheme="majorBidi" w:hAnsiTheme="majorBidi" w:cstheme="majorBidi"/>
                <w:b/>
                <w:bCs/>
                <w:color w:val="000000" w:themeColor="text1"/>
                <w:sz w:val="20"/>
                <w:szCs w:val="20"/>
              </w:rPr>
              <w:t xml:space="preserve"> p-value</w:t>
            </w:r>
          </w:p>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b/>
                <w:bCs/>
                <w:color w:val="000000" w:themeColor="text1"/>
                <w:sz w:val="20"/>
                <w:szCs w:val="20"/>
              </w:rPr>
              <w:t>between group</w:t>
            </w:r>
          </w:p>
        </w:tc>
        <w:tc>
          <w:tcPr>
            <w:tcW w:w="2283"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0.897</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0.592</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0.129</w:t>
            </w:r>
          </w:p>
        </w:tc>
      </w:tr>
    </w:tbl>
    <w:p w:rsidR="008A3C84" w:rsidRDefault="008A3C84" w:rsidP="008A3C84">
      <w:pPr>
        <w:autoSpaceDE w:val="0"/>
        <w:autoSpaceDN w:val="0"/>
        <w:adjustRightInd w:val="0"/>
        <w:spacing w:after="0" w:line="240" w:lineRule="auto"/>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MMP, multidisciplinary management program; UC, usual care.</w:t>
      </w:r>
    </w:p>
    <w:p w:rsidR="008A3C84" w:rsidRDefault="008A3C84" w:rsidP="008A3C84">
      <w:pPr>
        <w:autoSpaceDE w:val="0"/>
        <w:autoSpaceDN w:val="0"/>
        <w:adjustRightInd w:val="0"/>
        <w:spacing w:after="0" w:line="240" w:lineRule="auto"/>
        <w:rPr>
          <w:rFonts w:asciiTheme="majorBidi" w:hAnsiTheme="majorBidi" w:cstheme="majorBidi"/>
          <w:b/>
          <w:bCs/>
          <w:color w:val="000000" w:themeColor="text1"/>
          <w:sz w:val="20"/>
          <w:szCs w:val="20"/>
          <w:lang w:bidi="fa-IR"/>
        </w:rPr>
      </w:pPr>
      <w:r>
        <w:rPr>
          <w:rFonts w:asciiTheme="majorBidi" w:hAnsiTheme="majorBidi" w:cstheme="majorBidi"/>
          <w:color w:val="000000" w:themeColor="text1"/>
          <w:sz w:val="20"/>
          <w:szCs w:val="20"/>
          <w:vertAlign w:val="superscript"/>
        </w:rPr>
        <w:t>*</w:t>
      </w:r>
      <w:r>
        <w:rPr>
          <w:rFonts w:asciiTheme="majorBidi" w:hAnsiTheme="majorBidi" w:cstheme="majorBidi"/>
          <w:color w:val="000000" w:themeColor="text1"/>
          <w:sz w:val="20"/>
          <w:szCs w:val="20"/>
        </w:rPr>
        <w:t xml:space="preserve"> </w:t>
      </w:r>
      <w:r>
        <w:rPr>
          <w:rStyle w:val="A16"/>
          <w:rFonts w:asciiTheme="majorBidi" w:hAnsiTheme="majorBidi" w:cstheme="majorBidi"/>
          <w:color w:val="000000" w:themeColor="text1"/>
          <w:sz w:val="20"/>
          <w:szCs w:val="20"/>
        </w:rPr>
        <w:t xml:space="preserve">Time 1 (baseline/pre-discharge), Time 2 (the </w:t>
      </w:r>
      <w:r>
        <w:rPr>
          <w:rFonts w:asciiTheme="majorBidi" w:hAnsiTheme="majorBidi" w:cstheme="majorBidi"/>
          <w:color w:val="000000" w:themeColor="text1"/>
          <w:sz w:val="20"/>
          <w:szCs w:val="20"/>
        </w:rPr>
        <w:t>sixth week</w:t>
      </w:r>
      <w:r>
        <w:rPr>
          <w:rStyle w:val="A16"/>
          <w:rFonts w:asciiTheme="majorBidi" w:hAnsiTheme="majorBidi" w:cstheme="majorBidi"/>
          <w:color w:val="000000" w:themeColor="text1"/>
          <w:sz w:val="20"/>
          <w:szCs w:val="20"/>
        </w:rPr>
        <w:t xml:space="preserve">, post-discharge), Time 3 (the </w:t>
      </w:r>
      <w:r>
        <w:rPr>
          <w:rFonts w:asciiTheme="majorBidi" w:hAnsiTheme="majorBidi" w:cstheme="majorBidi"/>
          <w:color w:val="000000" w:themeColor="text1"/>
          <w:sz w:val="20"/>
          <w:szCs w:val="20"/>
        </w:rPr>
        <w:t>eighth</w:t>
      </w:r>
      <w:r>
        <w:rPr>
          <w:rStyle w:val="A16"/>
          <w:rFonts w:asciiTheme="majorBidi" w:hAnsiTheme="majorBidi" w:cstheme="majorBidi"/>
          <w:color w:val="000000" w:themeColor="text1"/>
          <w:sz w:val="20"/>
          <w:szCs w:val="20"/>
        </w:rPr>
        <w:t xml:space="preserve"> week, post-discharge),</w:t>
      </w:r>
    </w:p>
    <w:p w:rsidR="008A3C84" w:rsidRDefault="008A3C84" w:rsidP="008A3C84">
      <w:pPr>
        <w:autoSpaceDE w:val="0"/>
        <w:autoSpaceDN w:val="0"/>
        <w:adjustRightInd w:val="0"/>
        <w:spacing w:after="0" w:line="240" w:lineRule="auto"/>
        <w:rPr>
          <w:rFonts w:asciiTheme="majorBidi" w:hAnsiTheme="majorBidi" w:cstheme="majorBidi"/>
          <w:b/>
          <w:bCs/>
          <w:color w:val="000000" w:themeColor="text1"/>
          <w:sz w:val="20"/>
          <w:szCs w:val="20"/>
          <w:lang w:bidi="fa-IR"/>
        </w:rPr>
      </w:pPr>
      <w:r>
        <w:rPr>
          <w:rFonts w:asciiTheme="majorBidi" w:hAnsiTheme="majorBidi" w:cstheme="majorBidi"/>
          <w:color w:val="000000" w:themeColor="text1"/>
          <w:sz w:val="20"/>
          <w:szCs w:val="20"/>
          <w:vertAlign w:val="superscript"/>
        </w:rPr>
        <w:t>a</w:t>
      </w:r>
      <w:r>
        <w:rPr>
          <w:rFonts w:asciiTheme="majorBidi" w:hAnsiTheme="majorBidi" w:cstheme="majorBidi"/>
          <w:color w:val="000000" w:themeColor="text1"/>
          <w:sz w:val="20"/>
          <w:szCs w:val="20"/>
        </w:rPr>
        <w:t xml:space="preserve"> Chi-Square</w:t>
      </w:r>
    </w:p>
    <w:p w:rsidR="008A3C84" w:rsidRDefault="008A3C84" w:rsidP="008A3C84">
      <w:pPr>
        <w:autoSpaceDE w:val="0"/>
        <w:autoSpaceDN w:val="0"/>
        <w:adjustRightInd w:val="0"/>
        <w:spacing w:after="0" w:line="240" w:lineRule="auto"/>
        <w:rPr>
          <w:rFonts w:asciiTheme="majorBidi" w:hAnsiTheme="majorBidi" w:cstheme="majorBidi"/>
          <w:b/>
          <w:bCs/>
          <w:sz w:val="20"/>
          <w:szCs w:val="20"/>
          <w:lang w:bidi="fa-IR"/>
        </w:rPr>
      </w:pPr>
    </w:p>
    <w:p w:rsidR="008A3C84" w:rsidRDefault="008A3C84" w:rsidP="008A3C84">
      <w:pPr>
        <w:autoSpaceDE w:val="0"/>
        <w:autoSpaceDN w:val="0"/>
        <w:adjustRightInd w:val="0"/>
        <w:spacing w:after="0" w:line="240" w:lineRule="auto"/>
        <w:rPr>
          <w:rFonts w:asciiTheme="majorBidi" w:hAnsiTheme="majorBidi" w:cstheme="majorBidi"/>
          <w:b/>
          <w:bCs/>
          <w:sz w:val="20"/>
          <w:szCs w:val="20"/>
          <w:lang w:bidi="fa-IR"/>
        </w:rPr>
      </w:pPr>
    </w:p>
    <w:p w:rsidR="008A3C84" w:rsidRDefault="008A3C84" w:rsidP="008A3C84">
      <w:pPr>
        <w:autoSpaceDE w:val="0"/>
        <w:autoSpaceDN w:val="0"/>
        <w:adjustRightInd w:val="0"/>
        <w:spacing w:after="0" w:line="240" w:lineRule="auto"/>
        <w:rPr>
          <w:rFonts w:asciiTheme="majorBidi" w:hAnsiTheme="majorBidi" w:cstheme="majorBidi"/>
          <w:b/>
          <w:bCs/>
          <w:sz w:val="20"/>
          <w:szCs w:val="20"/>
          <w:lang w:bidi="fa-IR"/>
        </w:rPr>
      </w:pPr>
      <w:r>
        <w:rPr>
          <w:rFonts w:asciiTheme="majorBidi" w:hAnsiTheme="majorBidi" w:cstheme="majorBidi"/>
          <w:sz w:val="20"/>
          <w:szCs w:val="20"/>
        </w:rPr>
        <w:t>Appendix</w:t>
      </w:r>
      <w:r>
        <w:rPr>
          <w:rFonts w:asciiTheme="majorBidi" w:hAnsiTheme="majorBidi" w:cstheme="majorBidi"/>
          <w:color w:val="000000"/>
          <w:sz w:val="20"/>
          <w:szCs w:val="20"/>
          <w:lang w:bidi="fa-IR"/>
        </w:rPr>
        <w:t xml:space="preserve"> 2. </w:t>
      </w:r>
      <w:r>
        <w:rPr>
          <w:rFonts w:asciiTheme="majorBidi" w:hAnsiTheme="majorBidi" w:cstheme="majorBidi"/>
          <w:sz w:val="20"/>
          <w:szCs w:val="20"/>
        </w:rPr>
        <w:t xml:space="preserve">Comparison of the </w:t>
      </w:r>
      <w:r>
        <w:rPr>
          <w:rStyle w:val="tlid-translation"/>
          <w:rFonts w:asciiTheme="majorBidi" w:hAnsiTheme="majorBidi" w:cstheme="majorBidi"/>
          <w:color w:val="000000"/>
          <w:sz w:val="20"/>
          <w:szCs w:val="20"/>
          <w:lang w:eastAsia="zh-CN"/>
        </w:rPr>
        <w:t>f</w:t>
      </w:r>
      <w:r>
        <w:rPr>
          <w:rStyle w:val="tlid-translation"/>
          <w:rFonts w:asciiTheme="majorBidi" w:hAnsiTheme="majorBidi" w:cstheme="majorBidi"/>
          <w:color w:val="000000"/>
          <w:sz w:val="20"/>
          <w:szCs w:val="20"/>
        </w:rPr>
        <w:t>requency</w:t>
      </w:r>
      <w:r>
        <w:rPr>
          <w:rFonts w:asciiTheme="majorBidi" w:hAnsiTheme="majorBidi" w:cstheme="majorBidi"/>
          <w:sz w:val="20"/>
          <w:szCs w:val="20"/>
        </w:rPr>
        <w:t xml:space="preserve"> of symptom burden grades and medication adherence scores in the two groups </w:t>
      </w:r>
      <w:r>
        <w:rPr>
          <w:rStyle w:val="tlid-translation"/>
          <w:rFonts w:asciiTheme="majorBidi" w:hAnsiTheme="majorBidi" w:cstheme="majorBidi"/>
          <w:color w:val="000000" w:themeColor="text1"/>
          <w:sz w:val="20"/>
          <w:szCs w:val="20"/>
        </w:rPr>
        <w:t>at 3 time-points.</w:t>
      </w:r>
    </w:p>
    <w:p w:rsidR="008A3C84" w:rsidRDefault="008A3C84" w:rsidP="008A3C84">
      <w:pPr>
        <w:autoSpaceDE w:val="0"/>
        <w:autoSpaceDN w:val="0"/>
        <w:adjustRightInd w:val="0"/>
        <w:spacing w:after="0" w:line="240" w:lineRule="auto"/>
        <w:rPr>
          <w:rFonts w:asciiTheme="majorBidi" w:hAnsiTheme="majorBidi" w:cstheme="majorBidi"/>
          <w:b/>
          <w:bCs/>
          <w:sz w:val="20"/>
          <w:szCs w:val="20"/>
          <w:lang w:bidi="fa-IR"/>
        </w:rPr>
      </w:pPr>
    </w:p>
    <w:tbl>
      <w:tblPr>
        <w:tblStyle w:val="TableGrid"/>
        <w:tblW w:w="0" w:type="auto"/>
        <w:tblLook w:val="04A0" w:firstRow="1" w:lastRow="0" w:firstColumn="1" w:lastColumn="0" w:noHBand="0" w:noVBand="1"/>
      </w:tblPr>
      <w:tblGrid>
        <w:gridCol w:w="1384"/>
        <w:gridCol w:w="1141"/>
        <w:gridCol w:w="1142"/>
        <w:gridCol w:w="1142"/>
        <w:gridCol w:w="1142"/>
        <w:gridCol w:w="1142"/>
        <w:gridCol w:w="1142"/>
      </w:tblGrid>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Variables</w:t>
            </w:r>
          </w:p>
        </w:tc>
        <w:tc>
          <w:tcPr>
            <w:tcW w:w="2283"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1 </w:t>
            </w:r>
            <w:r>
              <w:rPr>
                <w:rFonts w:asciiTheme="majorBidi" w:hAnsiTheme="majorBidi" w:cstheme="majorBidi"/>
                <w:b/>
                <w:bCs/>
                <w:color w:val="000000" w:themeColor="text1"/>
                <w:sz w:val="20"/>
                <w:szCs w:val="20"/>
                <w:vertAlign w:val="superscript"/>
                <w:lang w:bidi="fa-IR"/>
              </w:rPr>
              <w:t>*</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2 </w:t>
            </w:r>
            <w:r>
              <w:rPr>
                <w:rFonts w:asciiTheme="majorBidi" w:hAnsiTheme="majorBidi" w:cstheme="majorBidi"/>
                <w:b/>
                <w:bCs/>
                <w:color w:val="000000" w:themeColor="text1"/>
                <w:sz w:val="20"/>
                <w:szCs w:val="20"/>
                <w:vertAlign w:val="superscript"/>
                <w:lang w:bidi="fa-IR"/>
              </w:rPr>
              <w:t>*</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Time 3 </w:t>
            </w:r>
            <w:r>
              <w:rPr>
                <w:rFonts w:asciiTheme="majorBidi" w:hAnsiTheme="majorBidi" w:cstheme="majorBidi"/>
                <w:b/>
                <w:bCs/>
                <w:color w:val="000000" w:themeColor="text1"/>
                <w:sz w:val="20"/>
                <w:szCs w:val="20"/>
                <w:vertAlign w:val="superscript"/>
                <w:lang w:bidi="fa-IR"/>
              </w:rPr>
              <w:t>*</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Symptom burden grade,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eastAsia="SimSun" w:hAnsiTheme="majorBidi" w:cstheme="majorBidi"/>
                <w:color w:val="000000" w:themeColor="text1"/>
                <w:sz w:val="20"/>
                <w:szCs w:val="20"/>
                <w:lang w:eastAsia="zh-CN"/>
              </w:rPr>
              <w:t>MMP (n=47)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eastAsia="SimSun" w:hAnsiTheme="majorBidi" w:cstheme="majorBidi"/>
                <w:color w:val="000000" w:themeColor="text1"/>
                <w:sz w:val="20"/>
                <w:szCs w:val="20"/>
                <w:lang w:eastAsia="zh-CN"/>
              </w:rPr>
              <w:t>MMP (n=47)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MMP </w:t>
            </w:r>
            <w:r>
              <w:rPr>
                <w:rFonts w:asciiTheme="majorBidi" w:eastAsia="SimSun" w:hAnsiTheme="majorBidi" w:cstheme="majorBidi"/>
                <w:color w:val="000000" w:themeColor="text1"/>
                <w:sz w:val="20"/>
                <w:szCs w:val="20"/>
                <w:lang w:eastAsia="zh-CN"/>
              </w:rPr>
              <w:t>(n=47)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 xml:space="preserve">UC </w:t>
            </w:r>
            <w:r>
              <w:rPr>
                <w:rFonts w:asciiTheme="majorBidi" w:eastAsia="SimSun" w:hAnsiTheme="majorBidi" w:cstheme="majorBidi"/>
                <w:color w:val="000000" w:themeColor="text1"/>
                <w:sz w:val="20"/>
                <w:szCs w:val="20"/>
                <w:lang w:eastAsia="zh-CN"/>
              </w:rPr>
              <w:t>(n=47)</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Mild (1-4),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 (2.1)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 (6.4)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7 (14.9)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23 (48.9)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Moderate (4.1-8),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38 (80.9)</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41 (87.2)</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40 (85.1)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37 (78.7)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24 (51.1)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36 (76.6)</w:t>
            </w:r>
          </w:p>
        </w:tc>
      </w:tr>
      <w:tr w:rsidR="008A3C84" w:rsidTr="008A3C84">
        <w:tc>
          <w:tcPr>
            <w:tcW w:w="1384" w:type="dxa"/>
            <w:tcBorders>
              <w:top w:val="single" w:sz="4" w:space="0" w:color="auto"/>
              <w:left w:val="single" w:sz="4" w:space="0" w:color="auto"/>
              <w:bottom w:val="single" w:sz="4" w:space="0" w:color="auto"/>
              <w:right w:val="single" w:sz="4" w:space="0" w:color="auto"/>
            </w:tcBorders>
          </w:tcPr>
          <w:p w:rsidR="008A3C84" w:rsidRDefault="008A3C84">
            <w:pPr>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Sever (8.1-12), n (%)</w:t>
            </w:r>
          </w:p>
          <w:p w:rsidR="008A3C84" w:rsidRDefault="008A3C84">
            <w:pPr>
              <w:autoSpaceDE w:val="0"/>
              <w:autoSpaceDN w:val="0"/>
              <w:adjustRightInd w:val="0"/>
              <w:spacing w:line="240" w:lineRule="auto"/>
              <w:rPr>
                <w:rFonts w:asciiTheme="majorBidi" w:hAnsiTheme="majorBidi" w:cstheme="majorBidi" w:hint="cs"/>
                <w:color w:val="000000" w:themeColor="text1"/>
                <w:sz w:val="20"/>
                <w:szCs w:val="20"/>
                <w:rtl/>
                <w:lang w:bidi="fa-IR"/>
              </w:rPr>
            </w:pP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8 (17.1)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 (6.4)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10 (21.3)</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11 (23.4)</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Test </w:t>
            </w:r>
            <w:r>
              <w:rPr>
                <w:rFonts w:asciiTheme="majorBidi" w:hAnsiTheme="majorBidi" w:cstheme="majorBidi"/>
                <w:b/>
                <w:bCs/>
                <w:color w:val="000000" w:themeColor="text1"/>
                <w:sz w:val="20"/>
                <w:szCs w:val="20"/>
                <w:vertAlign w:val="superscript"/>
              </w:rPr>
              <w:t>a</w:t>
            </w:r>
            <w:r>
              <w:rPr>
                <w:rFonts w:asciiTheme="majorBidi" w:hAnsiTheme="majorBidi" w:cstheme="majorBidi"/>
                <w:b/>
                <w:bCs/>
                <w:color w:val="000000" w:themeColor="text1"/>
                <w:sz w:val="20"/>
                <w:szCs w:val="20"/>
              </w:rPr>
              <w:t xml:space="preserve"> p-value</w:t>
            </w:r>
          </w:p>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b/>
                <w:bCs/>
                <w:color w:val="000000" w:themeColor="text1"/>
                <w:sz w:val="20"/>
                <w:szCs w:val="20"/>
              </w:rPr>
              <w:t>between group</w:t>
            </w:r>
          </w:p>
        </w:tc>
        <w:tc>
          <w:tcPr>
            <w:tcW w:w="2283"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 xml:space="preserve">                  0.184</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 xml:space="preserve">                </w:t>
            </w:r>
            <w:r>
              <w:rPr>
                <w:rFonts w:asciiTheme="majorBidi" w:hAnsiTheme="majorBidi" w:cstheme="majorBidi"/>
                <w:color w:val="000000" w:themeColor="text1"/>
                <w:sz w:val="20"/>
                <w:szCs w:val="20"/>
              </w:rPr>
              <w:t>&lt;0.001</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 xml:space="preserve">                </w:t>
            </w:r>
            <w:r>
              <w:rPr>
                <w:rFonts w:asciiTheme="majorBidi" w:hAnsiTheme="majorBidi" w:cstheme="majorBidi"/>
                <w:color w:val="000000" w:themeColor="text1"/>
                <w:sz w:val="20"/>
                <w:szCs w:val="20"/>
              </w:rPr>
              <w:t>&lt;0.001</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lang w:bidi="fa-IR"/>
              </w:rPr>
              <w:t>Medication adherence score, n (%)</w:t>
            </w:r>
          </w:p>
        </w:tc>
        <w:tc>
          <w:tcPr>
            <w:tcW w:w="2283" w:type="dxa"/>
            <w:gridSpan w:val="2"/>
            <w:tcBorders>
              <w:top w:val="single" w:sz="4" w:space="0" w:color="auto"/>
              <w:left w:val="single" w:sz="4" w:space="0" w:color="auto"/>
              <w:bottom w:val="single" w:sz="4" w:space="0" w:color="auto"/>
              <w:right w:val="single" w:sz="4" w:space="0" w:color="auto"/>
            </w:tcBorders>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p>
        </w:tc>
        <w:tc>
          <w:tcPr>
            <w:tcW w:w="2284" w:type="dxa"/>
            <w:gridSpan w:val="2"/>
            <w:tcBorders>
              <w:top w:val="single" w:sz="4" w:space="0" w:color="auto"/>
              <w:left w:val="single" w:sz="4" w:space="0" w:color="auto"/>
              <w:bottom w:val="single" w:sz="4" w:space="0" w:color="auto"/>
              <w:right w:val="single" w:sz="4" w:space="0" w:color="auto"/>
            </w:tcBorders>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p>
        </w:tc>
        <w:tc>
          <w:tcPr>
            <w:tcW w:w="2284" w:type="dxa"/>
            <w:gridSpan w:val="2"/>
            <w:tcBorders>
              <w:top w:val="single" w:sz="4" w:space="0" w:color="auto"/>
              <w:left w:val="single" w:sz="4" w:space="0" w:color="auto"/>
              <w:bottom w:val="single" w:sz="4" w:space="0" w:color="auto"/>
              <w:right w:val="single" w:sz="4" w:space="0" w:color="auto"/>
            </w:tcBorders>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Low,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 (2.1)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 (8.5)</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5 (10.6)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0 (0)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7 (14.9)</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rPr>
              <w:t>Medium</w:t>
            </w:r>
            <w:r>
              <w:rPr>
                <w:rFonts w:asciiTheme="majorBidi" w:hAnsiTheme="majorBidi" w:cstheme="majorBidi"/>
                <w:color w:val="000000" w:themeColor="text1"/>
                <w:sz w:val="20"/>
                <w:szCs w:val="20"/>
                <w:lang w:bidi="fa-IR"/>
              </w:rPr>
              <w:t>,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37 (78.7)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31 (66.0)</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11 (23.4)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37 (78.7)</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 (6.4)</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34 (72.3)</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High, n (%)</w:t>
            </w:r>
          </w:p>
        </w:tc>
        <w:tc>
          <w:tcPr>
            <w:tcW w:w="1141"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9 (19.1)</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12 (25.5)</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36 (76.6)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5 (10.6)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44 (93.6)</w:t>
            </w:r>
          </w:p>
        </w:tc>
        <w:tc>
          <w:tcPr>
            <w:tcW w:w="1142"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jc w:val="center"/>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6 (12.8)</w:t>
            </w:r>
          </w:p>
        </w:tc>
      </w:tr>
      <w:tr w:rsidR="008A3C84" w:rsidTr="008A3C84">
        <w:tc>
          <w:tcPr>
            <w:tcW w:w="1384" w:type="dxa"/>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b/>
                <w:bCs/>
                <w:color w:val="000000" w:themeColor="text1"/>
                <w:sz w:val="20"/>
                <w:szCs w:val="20"/>
              </w:rPr>
            </w:pPr>
            <w:r>
              <w:rPr>
                <w:rFonts w:asciiTheme="majorBidi" w:hAnsiTheme="majorBidi" w:cstheme="majorBidi"/>
                <w:b/>
                <w:bCs/>
                <w:color w:val="000000" w:themeColor="text1"/>
                <w:sz w:val="20"/>
                <w:szCs w:val="20"/>
              </w:rPr>
              <w:t xml:space="preserve">Test </w:t>
            </w:r>
            <w:r>
              <w:rPr>
                <w:rFonts w:asciiTheme="majorBidi" w:hAnsiTheme="majorBidi" w:cstheme="majorBidi"/>
                <w:b/>
                <w:bCs/>
                <w:color w:val="000000" w:themeColor="text1"/>
                <w:sz w:val="20"/>
                <w:szCs w:val="20"/>
                <w:vertAlign w:val="superscript"/>
              </w:rPr>
              <w:t>a</w:t>
            </w:r>
            <w:r>
              <w:rPr>
                <w:rFonts w:asciiTheme="majorBidi" w:hAnsiTheme="majorBidi" w:cstheme="majorBidi"/>
                <w:b/>
                <w:bCs/>
                <w:color w:val="000000" w:themeColor="text1"/>
                <w:sz w:val="20"/>
                <w:szCs w:val="20"/>
              </w:rPr>
              <w:t xml:space="preserve"> p-value</w:t>
            </w:r>
          </w:p>
          <w:p w:rsidR="008A3C84" w:rsidRDefault="008A3C84">
            <w:pPr>
              <w:autoSpaceDE w:val="0"/>
              <w:autoSpaceDN w:val="0"/>
              <w:adjustRightInd w:val="0"/>
              <w:spacing w:line="240" w:lineRule="auto"/>
              <w:rPr>
                <w:rFonts w:asciiTheme="majorBidi" w:hAnsiTheme="majorBidi" w:cstheme="majorBidi"/>
                <w:b/>
                <w:bCs/>
                <w:color w:val="000000" w:themeColor="text1"/>
                <w:sz w:val="20"/>
                <w:szCs w:val="20"/>
                <w:lang w:bidi="fa-IR"/>
              </w:rPr>
            </w:pPr>
            <w:r>
              <w:rPr>
                <w:rFonts w:asciiTheme="majorBidi" w:hAnsiTheme="majorBidi" w:cstheme="majorBidi"/>
                <w:b/>
                <w:bCs/>
                <w:color w:val="000000" w:themeColor="text1"/>
                <w:sz w:val="20"/>
                <w:szCs w:val="20"/>
              </w:rPr>
              <w:t>between group</w:t>
            </w:r>
          </w:p>
        </w:tc>
        <w:tc>
          <w:tcPr>
            <w:tcW w:w="2283"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lang w:bidi="fa-IR"/>
              </w:rPr>
              <w:t xml:space="preserve">                  0.252</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rPr>
              <w:t xml:space="preserve">                &lt;0.001</w:t>
            </w:r>
          </w:p>
        </w:tc>
        <w:tc>
          <w:tcPr>
            <w:tcW w:w="2284" w:type="dxa"/>
            <w:gridSpan w:val="2"/>
            <w:tcBorders>
              <w:top w:val="single" w:sz="4" w:space="0" w:color="auto"/>
              <w:left w:val="single" w:sz="4" w:space="0" w:color="auto"/>
              <w:bottom w:val="single" w:sz="4" w:space="0" w:color="auto"/>
              <w:right w:val="single" w:sz="4" w:space="0" w:color="auto"/>
            </w:tcBorders>
            <w:hideMark/>
          </w:tcPr>
          <w:p w:rsidR="008A3C84" w:rsidRDefault="008A3C84">
            <w:pPr>
              <w:autoSpaceDE w:val="0"/>
              <w:autoSpaceDN w:val="0"/>
              <w:adjustRightInd w:val="0"/>
              <w:spacing w:line="240" w:lineRule="auto"/>
              <w:rPr>
                <w:rFonts w:asciiTheme="majorBidi" w:hAnsiTheme="majorBidi" w:cstheme="majorBidi"/>
                <w:color w:val="000000" w:themeColor="text1"/>
                <w:sz w:val="20"/>
                <w:szCs w:val="20"/>
                <w:lang w:bidi="fa-IR"/>
              </w:rPr>
            </w:pPr>
            <w:r>
              <w:rPr>
                <w:rFonts w:asciiTheme="majorBidi" w:hAnsiTheme="majorBidi" w:cstheme="majorBidi"/>
                <w:color w:val="000000" w:themeColor="text1"/>
                <w:sz w:val="20"/>
                <w:szCs w:val="20"/>
              </w:rPr>
              <w:t xml:space="preserve">                &lt;0.001</w:t>
            </w:r>
          </w:p>
        </w:tc>
      </w:tr>
    </w:tbl>
    <w:p w:rsidR="008A3C84" w:rsidRDefault="008A3C84" w:rsidP="008A3C84">
      <w:pPr>
        <w:autoSpaceDE w:val="0"/>
        <w:autoSpaceDN w:val="0"/>
        <w:adjustRightInd w:val="0"/>
        <w:spacing w:after="0" w:line="240" w:lineRule="auto"/>
        <w:rPr>
          <w:rStyle w:val="A16"/>
          <w:rFonts w:asciiTheme="majorBidi" w:hAnsiTheme="majorBidi" w:cstheme="majorBidi"/>
          <w:sz w:val="20"/>
          <w:szCs w:val="20"/>
        </w:rPr>
      </w:pPr>
      <w:r>
        <w:rPr>
          <w:rFonts w:asciiTheme="majorBidi" w:hAnsiTheme="majorBidi" w:cstheme="majorBidi"/>
          <w:sz w:val="20"/>
          <w:szCs w:val="20"/>
        </w:rPr>
        <w:t>MMP, multidisciplinary management program; UC, usual care.</w:t>
      </w:r>
      <w:r>
        <w:rPr>
          <w:rStyle w:val="A16"/>
          <w:rFonts w:asciiTheme="majorBidi" w:hAnsiTheme="majorBidi" w:cstheme="majorBidi"/>
          <w:sz w:val="20"/>
          <w:szCs w:val="20"/>
        </w:rPr>
        <w:t xml:space="preserve"> </w:t>
      </w:r>
    </w:p>
    <w:p w:rsidR="008A3C84" w:rsidRDefault="008A3C84" w:rsidP="008A3C84">
      <w:pPr>
        <w:autoSpaceDE w:val="0"/>
        <w:autoSpaceDN w:val="0"/>
        <w:adjustRightInd w:val="0"/>
        <w:spacing w:after="0" w:line="240" w:lineRule="auto"/>
        <w:rPr>
          <w:b/>
          <w:bCs/>
          <w:lang w:bidi="fa-IR"/>
        </w:rPr>
      </w:pPr>
      <w:r>
        <w:rPr>
          <w:rStyle w:val="A16"/>
          <w:rFonts w:asciiTheme="majorBidi" w:hAnsiTheme="majorBidi" w:cstheme="majorBidi"/>
          <w:sz w:val="20"/>
          <w:szCs w:val="20"/>
          <w:vertAlign w:val="superscript"/>
        </w:rPr>
        <w:t>*</w:t>
      </w:r>
      <w:r>
        <w:rPr>
          <w:rStyle w:val="A16"/>
          <w:rFonts w:asciiTheme="majorBidi" w:hAnsiTheme="majorBidi" w:cstheme="majorBidi"/>
          <w:sz w:val="20"/>
          <w:szCs w:val="20"/>
        </w:rPr>
        <w:t xml:space="preserve"> Time 1 (baseline/pre discharge), Time 2 (the </w:t>
      </w:r>
      <w:r>
        <w:rPr>
          <w:rFonts w:asciiTheme="majorBidi" w:hAnsiTheme="majorBidi" w:cstheme="majorBidi"/>
          <w:sz w:val="20"/>
          <w:szCs w:val="20"/>
        </w:rPr>
        <w:t>sixth week</w:t>
      </w:r>
      <w:r>
        <w:rPr>
          <w:rStyle w:val="A16"/>
          <w:rFonts w:asciiTheme="majorBidi" w:hAnsiTheme="majorBidi" w:cstheme="majorBidi"/>
          <w:sz w:val="20"/>
          <w:szCs w:val="20"/>
        </w:rPr>
        <w:t xml:space="preserve">, post-discharge), Time 3 (the </w:t>
      </w:r>
      <w:r>
        <w:rPr>
          <w:rFonts w:asciiTheme="majorBidi" w:hAnsiTheme="majorBidi" w:cstheme="majorBidi"/>
          <w:sz w:val="20"/>
          <w:szCs w:val="20"/>
        </w:rPr>
        <w:t>eighth</w:t>
      </w:r>
      <w:r>
        <w:rPr>
          <w:rStyle w:val="A16"/>
          <w:rFonts w:asciiTheme="majorBidi" w:hAnsiTheme="majorBidi" w:cstheme="majorBidi"/>
          <w:sz w:val="20"/>
          <w:szCs w:val="20"/>
        </w:rPr>
        <w:t xml:space="preserve"> week, post-discharge).</w:t>
      </w:r>
    </w:p>
    <w:p w:rsidR="008A3C84" w:rsidRDefault="008A3C84" w:rsidP="008A3C84">
      <w:pPr>
        <w:autoSpaceDE w:val="0"/>
        <w:autoSpaceDN w:val="0"/>
        <w:adjustRightInd w:val="0"/>
        <w:spacing w:after="0" w:line="240" w:lineRule="auto"/>
        <w:rPr>
          <w:rFonts w:asciiTheme="majorBidi" w:hAnsiTheme="majorBidi" w:cstheme="majorBidi"/>
          <w:b/>
          <w:bCs/>
          <w:sz w:val="20"/>
          <w:szCs w:val="20"/>
          <w:lang w:bidi="fa-IR"/>
        </w:rPr>
      </w:pPr>
      <w:r>
        <w:rPr>
          <w:rFonts w:asciiTheme="majorBidi" w:hAnsiTheme="majorBidi" w:cstheme="majorBidi"/>
          <w:sz w:val="20"/>
          <w:szCs w:val="20"/>
          <w:vertAlign w:val="superscript"/>
        </w:rPr>
        <w:t>a</w:t>
      </w:r>
      <w:r>
        <w:rPr>
          <w:rFonts w:asciiTheme="majorBidi" w:hAnsiTheme="majorBidi" w:cstheme="majorBidi"/>
          <w:sz w:val="20"/>
          <w:szCs w:val="20"/>
        </w:rPr>
        <w:t xml:space="preserve"> Chi-square.</w:t>
      </w:r>
    </w:p>
    <w:p w:rsidR="008A3C84" w:rsidRDefault="008A3C84" w:rsidP="008A3C84"/>
    <w:p w:rsidR="00AE3039" w:rsidRPr="008A3C84" w:rsidRDefault="00AE3039" w:rsidP="008A3C84"/>
    <w:sectPr w:rsidR="00AE3039" w:rsidRPr="008A3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03EFF"/>
    <w:multiLevelType w:val="hybridMultilevel"/>
    <w:tmpl w:val="F0489AF8"/>
    <w:lvl w:ilvl="0" w:tplc="291A3462">
      <w:start w:val="3"/>
      <w:numFmt w:val="bullet"/>
      <w:lvlText w:val=""/>
      <w:lvlJc w:val="left"/>
      <w:pPr>
        <w:ind w:left="720" w:hanging="360"/>
      </w:pPr>
      <w:rPr>
        <w:rFonts w:ascii="Symbol" w:eastAsiaTheme="minorHAnsi" w:hAnsi="Symbol" w:cstheme="majorBid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LEwNzQxMDYyNLMwMbJU0lEKTi0uzszPAykwrAUAUySbYSwAAAA="/>
  </w:docVars>
  <w:rsids>
    <w:rsidRoot w:val="00673728"/>
    <w:rsid w:val="00141C48"/>
    <w:rsid w:val="003262DE"/>
    <w:rsid w:val="00355EBC"/>
    <w:rsid w:val="003801F1"/>
    <w:rsid w:val="003E0BDE"/>
    <w:rsid w:val="003E49D8"/>
    <w:rsid w:val="003F41F7"/>
    <w:rsid w:val="004F45F6"/>
    <w:rsid w:val="005158B4"/>
    <w:rsid w:val="00673728"/>
    <w:rsid w:val="00690060"/>
    <w:rsid w:val="00742882"/>
    <w:rsid w:val="007C7B4D"/>
    <w:rsid w:val="008534E6"/>
    <w:rsid w:val="008A3C84"/>
    <w:rsid w:val="0098581F"/>
    <w:rsid w:val="00A00FB5"/>
    <w:rsid w:val="00A21152"/>
    <w:rsid w:val="00AE3039"/>
    <w:rsid w:val="00BB1358"/>
    <w:rsid w:val="00BD6D73"/>
    <w:rsid w:val="00CB2C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A09654-6026-489E-996A-68123653E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C8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23">
    <w:name w:val="Pa23"/>
    <w:basedOn w:val="Normal"/>
    <w:next w:val="Normal"/>
    <w:uiPriority w:val="99"/>
    <w:rsid w:val="003E0BDE"/>
    <w:pPr>
      <w:autoSpaceDE w:val="0"/>
      <w:autoSpaceDN w:val="0"/>
      <w:adjustRightInd w:val="0"/>
      <w:spacing w:after="0" w:line="161" w:lineRule="atLeast"/>
    </w:pPr>
    <w:rPr>
      <w:rFonts w:ascii="Gill Sans MT" w:hAnsi="Gill Sans MT"/>
      <w:sz w:val="24"/>
      <w:szCs w:val="24"/>
    </w:rPr>
  </w:style>
  <w:style w:type="paragraph" w:customStyle="1" w:styleId="Pa25">
    <w:name w:val="Pa25"/>
    <w:basedOn w:val="Normal"/>
    <w:next w:val="Normal"/>
    <w:uiPriority w:val="99"/>
    <w:rsid w:val="003E0BDE"/>
    <w:pPr>
      <w:autoSpaceDE w:val="0"/>
      <w:autoSpaceDN w:val="0"/>
      <w:adjustRightInd w:val="0"/>
      <w:spacing w:after="0" w:line="141" w:lineRule="atLeast"/>
    </w:pPr>
    <w:rPr>
      <w:rFonts w:ascii="Gill Sans MT" w:hAnsi="Gill Sans MT"/>
      <w:sz w:val="24"/>
      <w:szCs w:val="24"/>
    </w:rPr>
  </w:style>
  <w:style w:type="paragraph" w:customStyle="1" w:styleId="Pa24">
    <w:name w:val="Pa24"/>
    <w:basedOn w:val="Normal"/>
    <w:next w:val="Normal"/>
    <w:uiPriority w:val="99"/>
    <w:rsid w:val="003E0BDE"/>
    <w:pPr>
      <w:autoSpaceDE w:val="0"/>
      <w:autoSpaceDN w:val="0"/>
      <w:adjustRightInd w:val="0"/>
      <w:spacing w:after="0" w:line="161" w:lineRule="atLeast"/>
    </w:pPr>
    <w:rPr>
      <w:rFonts w:ascii="Gill Sans MT" w:hAnsi="Gill Sans MT"/>
      <w:sz w:val="24"/>
      <w:szCs w:val="24"/>
    </w:rPr>
  </w:style>
  <w:style w:type="paragraph" w:customStyle="1" w:styleId="Pa26">
    <w:name w:val="Pa26"/>
    <w:basedOn w:val="Normal"/>
    <w:next w:val="Normal"/>
    <w:uiPriority w:val="99"/>
    <w:rsid w:val="003E0BDE"/>
    <w:pPr>
      <w:autoSpaceDE w:val="0"/>
      <w:autoSpaceDN w:val="0"/>
      <w:adjustRightInd w:val="0"/>
      <w:spacing w:after="0" w:line="161" w:lineRule="atLeast"/>
    </w:pPr>
    <w:rPr>
      <w:rFonts w:ascii="Gill Sans MT" w:hAnsi="Gill Sans MT"/>
      <w:sz w:val="24"/>
      <w:szCs w:val="24"/>
    </w:rPr>
  </w:style>
  <w:style w:type="paragraph" w:customStyle="1" w:styleId="Pa1">
    <w:name w:val="Pa1"/>
    <w:basedOn w:val="Normal"/>
    <w:next w:val="Normal"/>
    <w:uiPriority w:val="99"/>
    <w:rsid w:val="003E0BDE"/>
    <w:pPr>
      <w:autoSpaceDE w:val="0"/>
      <w:autoSpaceDN w:val="0"/>
      <w:adjustRightInd w:val="0"/>
      <w:spacing w:after="0" w:line="161" w:lineRule="atLeast"/>
    </w:pPr>
    <w:rPr>
      <w:rFonts w:ascii="Gill Sans MT" w:hAnsi="Gill Sans MT"/>
      <w:sz w:val="24"/>
      <w:szCs w:val="24"/>
    </w:rPr>
  </w:style>
  <w:style w:type="paragraph" w:customStyle="1" w:styleId="Pa22">
    <w:name w:val="Pa22"/>
    <w:basedOn w:val="Normal"/>
    <w:next w:val="Normal"/>
    <w:uiPriority w:val="99"/>
    <w:rsid w:val="003E0BDE"/>
    <w:pPr>
      <w:autoSpaceDE w:val="0"/>
      <w:autoSpaceDN w:val="0"/>
      <w:adjustRightInd w:val="0"/>
      <w:spacing w:after="0" w:line="181" w:lineRule="atLeast"/>
    </w:pPr>
    <w:rPr>
      <w:rFonts w:ascii="Times New Roman" w:hAnsi="Times New Roman" w:cs="Times New Roman"/>
      <w:sz w:val="24"/>
      <w:szCs w:val="24"/>
    </w:rPr>
  </w:style>
  <w:style w:type="table" w:styleId="TableGrid">
    <w:name w:val="Table Grid"/>
    <w:basedOn w:val="TableNormal"/>
    <w:uiPriority w:val="39"/>
    <w:rsid w:val="003E0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6">
    <w:name w:val="A16"/>
    <w:uiPriority w:val="99"/>
    <w:rsid w:val="003E0BDE"/>
    <w:rPr>
      <w:rFonts w:cs="Helvetica"/>
      <w:color w:val="000000"/>
      <w:sz w:val="15"/>
      <w:szCs w:val="15"/>
    </w:rPr>
  </w:style>
  <w:style w:type="character" w:customStyle="1" w:styleId="FootnoteTextChar">
    <w:name w:val="Footnote Text Char"/>
    <w:aliases w:val="پاورقي Char,Char Char,Footnote Text Char Char Char Char Char,Footnote Text1 Char Char,Footnote Text2 Char,Footnote Text Char Char Char Char1 Char, Char Char,پانوشت Char,Footnote Text. پانوشت Char,Footnote Text Char Char Char Char2"/>
    <w:basedOn w:val="DefaultParagraphFont"/>
    <w:link w:val="FootnoteText"/>
    <w:uiPriority w:val="99"/>
    <w:rsid w:val="003E0BDE"/>
    <w:rPr>
      <w:sz w:val="20"/>
      <w:szCs w:val="20"/>
    </w:rPr>
  </w:style>
  <w:style w:type="paragraph" w:styleId="FootnoteText">
    <w:name w:val="footnote text"/>
    <w:aliases w:val="پاورقي,Char,Footnote Text Char Char Char Char,Footnote Text1 Char,Footnote Text2,Footnote Text Char Char Char Char1, Char,پانوشت,Footnote Text. پانوشت,Footnote Text Char Char Char,Footnote Text Char Char,Char3 Char, Char3 Char,متن زيرنويس"/>
    <w:basedOn w:val="Normal"/>
    <w:link w:val="FootnoteTextChar"/>
    <w:uiPriority w:val="99"/>
    <w:unhideWhenUsed/>
    <w:qFormat/>
    <w:rsid w:val="003E0BDE"/>
    <w:pPr>
      <w:spacing w:after="0" w:line="240" w:lineRule="auto"/>
    </w:pPr>
    <w:rPr>
      <w:sz w:val="20"/>
      <w:szCs w:val="20"/>
    </w:rPr>
  </w:style>
  <w:style w:type="character" w:customStyle="1" w:styleId="FootnoteTextChar1">
    <w:name w:val="Footnote Text Char1"/>
    <w:basedOn w:val="DefaultParagraphFont"/>
    <w:uiPriority w:val="99"/>
    <w:semiHidden/>
    <w:rsid w:val="003E0BDE"/>
    <w:rPr>
      <w:sz w:val="20"/>
      <w:szCs w:val="20"/>
    </w:rPr>
  </w:style>
  <w:style w:type="character" w:styleId="FootnoteReference">
    <w:name w:val="footnote reference"/>
    <w:basedOn w:val="DefaultParagraphFont"/>
    <w:uiPriority w:val="99"/>
    <w:unhideWhenUsed/>
    <w:rsid w:val="003E0BDE"/>
    <w:rPr>
      <w:vertAlign w:val="superscript"/>
    </w:rPr>
  </w:style>
  <w:style w:type="character" w:customStyle="1" w:styleId="tlid-translation">
    <w:name w:val="tlid-translation"/>
    <w:basedOn w:val="DefaultParagraphFont"/>
    <w:rsid w:val="003E0BDE"/>
  </w:style>
  <w:style w:type="paragraph" w:styleId="ListParagraph">
    <w:name w:val="List Paragraph"/>
    <w:basedOn w:val="Normal"/>
    <w:uiPriority w:val="34"/>
    <w:qFormat/>
    <w:rsid w:val="003E0BDE"/>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795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gholami</dc:creator>
  <cp:keywords/>
  <dc:description/>
  <cp:lastModifiedBy>ProBook 640 G2</cp:lastModifiedBy>
  <cp:revision>2</cp:revision>
  <dcterms:created xsi:type="dcterms:W3CDTF">2022-08-13T13:46:00Z</dcterms:created>
  <dcterms:modified xsi:type="dcterms:W3CDTF">2022-08-13T13:46:00Z</dcterms:modified>
</cp:coreProperties>
</file>