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1E3950" w14:textId="48704D7E" w:rsidR="00C25579" w:rsidRPr="00C25579" w:rsidRDefault="00C25579" w:rsidP="00B71067">
      <w:pPr>
        <w:ind w:left="-90"/>
        <w:jc w:val="center"/>
        <w:rPr>
          <w:b/>
          <w:bCs/>
        </w:rPr>
      </w:pPr>
      <w:bookmarkStart w:id="0" w:name="_GoBack"/>
      <w:bookmarkEnd w:id="0"/>
      <w:r w:rsidRPr="00C25579">
        <w:rPr>
          <w:b/>
          <w:bCs/>
        </w:rPr>
        <w:t xml:space="preserve">Online-Supplement 1: </w:t>
      </w:r>
      <w:r w:rsidRPr="00C25579">
        <w:rPr>
          <w:b/>
          <w:bCs/>
          <w:i/>
          <w:iCs/>
        </w:rPr>
        <w:t>The MISSCARE-Austria Project</w:t>
      </w:r>
    </w:p>
    <w:p w14:paraId="21F31194" w14:textId="7A6E8D1A" w:rsidR="007010F3" w:rsidRDefault="00380E37" w:rsidP="00B71067">
      <w:pPr>
        <w:jc w:val="center"/>
      </w:pPr>
      <w:r>
        <w:rPr>
          <w:noProof/>
          <w:lang w:val="en-PH" w:eastAsia="en-PH"/>
        </w:rPr>
        <w:drawing>
          <wp:inline distT="0" distB="0" distL="0" distR="0" wp14:anchorId="63CB95D9" wp14:editId="1A995188">
            <wp:extent cx="8363635" cy="4649013"/>
            <wp:effectExtent l="0" t="0" r="0" b="0"/>
            <wp:docPr id="27871683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1251" cy="46532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BAC09B" w14:textId="73AAF0EA" w:rsidR="00C25579" w:rsidRPr="004C7DEB" w:rsidRDefault="00AF04BA" w:rsidP="00B71067">
      <w:pPr>
        <w:spacing w:afterLines="40" w:after="96"/>
        <w:ind w:left="519" w:hanging="706"/>
        <w:jc w:val="both"/>
        <w:rPr>
          <w:rFonts w:cstheme="minorHAnsi"/>
          <w:sz w:val="18"/>
          <w:szCs w:val="18"/>
        </w:rPr>
      </w:pPr>
      <w:r w:rsidRPr="00AF04BA">
        <w:rPr>
          <w:rFonts w:cstheme="minorHAnsi"/>
          <w:sz w:val="18"/>
          <w:szCs w:val="18"/>
        </w:rPr>
        <w:t xml:space="preserve">Cartaxo, A., Eberl, I., &amp; Mayer, H. (2023). Übersetzung des revised MISSCARE Survey zum deutschsprachigen revised MISSCARE-Austria [Using the TRAPD method to translate the revised MISSCARE Survey from English into German: Revised MISSCARE-Austria]. Pflege, 10.1024/1012-5302/a000936. Advance online publication. </w:t>
      </w:r>
      <w:hyperlink r:id="rId6" w:history="1">
        <w:r w:rsidRPr="00EE3D61">
          <w:rPr>
            <w:rStyle w:val="Hyperlink"/>
            <w:rFonts w:cstheme="minorHAnsi"/>
            <w:sz w:val="18"/>
            <w:szCs w:val="18"/>
          </w:rPr>
          <w:t>https://doi.org/10.1024/1012-5302/a000936</w:t>
        </w:r>
      </w:hyperlink>
      <w:r>
        <w:rPr>
          <w:rFonts w:cstheme="minorHAnsi"/>
          <w:sz w:val="18"/>
          <w:szCs w:val="18"/>
        </w:rPr>
        <w:t xml:space="preserve"> </w:t>
      </w:r>
    </w:p>
    <w:p w14:paraId="081823D8" w14:textId="30C6C943" w:rsidR="004C7DEB" w:rsidRPr="00E93062" w:rsidRDefault="004C7DEB" w:rsidP="00B71067">
      <w:pPr>
        <w:spacing w:afterLines="40" w:after="96"/>
        <w:ind w:left="519" w:hanging="706"/>
        <w:jc w:val="both"/>
        <w:rPr>
          <w:rFonts w:cstheme="minorHAnsi"/>
          <w:sz w:val="18"/>
          <w:szCs w:val="18"/>
        </w:rPr>
      </w:pPr>
      <w:r w:rsidRPr="004C7DEB">
        <w:rPr>
          <w:sz w:val="18"/>
          <w:szCs w:val="18"/>
        </w:rPr>
        <w:t>Cartaxo, A., Eberl, I. &amp; Mayer, H. (2022) Die MISSCARE-Austria-Studie – Teil I: Häufigkeit von Missed Nursing Care und assoziierten Einflussfaktoren auf Allgemeinstationen in österreichischen Krankenhäusern</w:t>
      </w:r>
      <w:r w:rsidR="00FB1F16">
        <w:rPr>
          <w:sz w:val="18"/>
          <w:szCs w:val="18"/>
        </w:rPr>
        <w:t xml:space="preserve"> [</w:t>
      </w:r>
      <w:r w:rsidR="00FB1F16" w:rsidRPr="00FB1F16">
        <w:rPr>
          <w:sz w:val="18"/>
          <w:szCs w:val="18"/>
        </w:rPr>
        <w:t>Frequency of Missed Nursing Care and Associated Influencing Factors on General Wards in Austrian Hospitals</w:t>
      </w:r>
      <w:r w:rsidR="00FB1F16">
        <w:rPr>
          <w:sz w:val="18"/>
          <w:szCs w:val="18"/>
        </w:rPr>
        <w:t>]</w:t>
      </w:r>
      <w:r w:rsidRPr="004C7DEB">
        <w:rPr>
          <w:sz w:val="18"/>
          <w:szCs w:val="18"/>
        </w:rPr>
        <w:t xml:space="preserve">. HBScience 13 (Suppl 2), 30–42. </w:t>
      </w:r>
      <w:hyperlink r:id="rId7" w:history="1">
        <w:r w:rsidRPr="004C7DEB">
          <w:rPr>
            <w:rStyle w:val="Hyperlink"/>
            <w:sz w:val="18"/>
            <w:szCs w:val="18"/>
          </w:rPr>
          <w:t>https://doi.org/10.1007/s16024-022-00387-x</w:t>
        </w:r>
      </w:hyperlink>
      <w:r w:rsidRPr="004C7DEB">
        <w:rPr>
          <w:sz w:val="18"/>
          <w:szCs w:val="18"/>
        </w:rPr>
        <w:t xml:space="preserve"> </w:t>
      </w:r>
      <w:r w:rsidR="00E93062" w:rsidRPr="004C7DEB">
        <w:rPr>
          <w:rFonts w:cstheme="minorHAnsi"/>
          <w:i/>
          <w:iCs/>
          <w:color w:val="BFBFBF" w:themeColor="background1" w:themeShade="BF"/>
          <w:sz w:val="16"/>
          <w:szCs w:val="16"/>
        </w:rPr>
        <w:t>(in German)</w:t>
      </w:r>
      <w:r w:rsidRPr="004C7DEB">
        <w:rPr>
          <w:sz w:val="18"/>
          <w:szCs w:val="18"/>
        </w:rPr>
        <w:t xml:space="preserve">  </w:t>
      </w:r>
    </w:p>
    <w:p w14:paraId="4D4B1C20" w14:textId="14C3E54A" w:rsidR="004C7DEB" w:rsidRPr="004C7DEB" w:rsidRDefault="004C7DEB" w:rsidP="00B71067">
      <w:pPr>
        <w:spacing w:afterLines="40" w:after="96"/>
        <w:ind w:left="519" w:hanging="706"/>
        <w:jc w:val="both"/>
        <w:rPr>
          <w:sz w:val="18"/>
          <w:szCs w:val="18"/>
        </w:rPr>
      </w:pPr>
      <w:r w:rsidRPr="004C7DEB">
        <w:rPr>
          <w:sz w:val="18"/>
          <w:szCs w:val="18"/>
        </w:rPr>
        <w:t>Cartaxo, A., Eberl, I., Mayer, H. (2022) Die MISSCARE Austria Studie – Teil II: Patient-to-Nurse Ratio, Angemessenheit der Pflegepersonalbesetzung und Einfluss auf Missed Nursing Care – eine quantitative Datenexploration auf Allgemeinstation in österreichischen Krankenhäusern</w:t>
      </w:r>
      <w:r w:rsidR="00B71067">
        <w:rPr>
          <w:sz w:val="18"/>
          <w:szCs w:val="18"/>
        </w:rPr>
        <w:t xml:space="preserve"> [</w:t>
      </w:r>
      <w:r w:rsidR="00B71067" w:rsidRPr="00B71067">
        <w:rPr>
          <w:sz w:val="18"/>
          <w:szCs w:val="18"/>
        </w:rPr>
        <w:t>Patient-to-nurse ratio, adequacy of nurse staffing and influence on Missed Nursing Care - a quantitative data exploration on general wards in Austrian hospitals</w:t>
      </w:r>
      <w:r w:rsidR="00B71067">
        <w:rPr>
          <w:sz w:val="18"/>
          <w:szCs w:val="18"/>
        </w:rPr>
        <w:t>]</w:t>
      </w:r>
      <w:r w:rsidRPr="004C7DEB">
        <w:rPr>
          <w:sz w:val="18"/>
          <w:szCs w:val="18"/>
        </w:rPr>
        <w:t xml:space="preserve">. HBScience 13 (Suppl 2), 43–60 (2022). </w:t>
      </w:r>
      <w:hyperlink r:id="rId8" w:history="1">
        <w:r w:rsidRPr="004C7DEB">
          <w:rPr>
            <w:rStyle w:val="Hyperlink"/>
            <w:sz w:val="18"/>
            <w:szCs w:val="18"/>
          </w:rPr>
          <w:t>https://doi.org/10.1007/s16024-022-00389-9</w:t>
        </w:r>
      </w:hyperlink>
      <w:r w:rsidRPr="004C7DEB">
        <w:rPr>
          <w:sz w:val="18"/>
          <w:szCs w:val="18"/>
        </w:rPr>
        <w:t xml:space="preserve">  </w:t>
      </w:r>
      <w:r w:rsidR="00E93062" w:rsidRPr="004C7DEB">
        <w:rPr>
          <w:rFonts w:cstheme="minorHAnsi"/>
          <w:i/>
          <w:iCs/>
          <w:color w:val="BFBFBF" w:themeColor="background1" w:themeShade="BF"/>
          <w:sz w:val="16"/>
          <w:szCs w:val="16"/>
        </w:rPr>
        <w:t>(in German)</w:t>
      </w:r>
    </w:p>
    <w:p w14:paraId="2B0473EC" w14:textId="4FAFFE69" w:rsidR="00E93062" w:rsidRDefault="004C7DEB" w:rsidP="00B71067">
      <w:pPr>
        <w:spacing w:afterLines="40" w:after="96"/>
        <w:ind w:left="519" w:hanging="706"/>
        <w:jc w:val="both"/>
        <w:rPr>
          <w:sz w:val="18"/>
          <w:szCs w:val="18"/>
        </w:rPr>
      </w:pPr>
      <w:r w:rsidRPr="004C7DEB">
        <w:rPr>
          <w:sz w:val="18"/>
          <w:szCs w:val="18"/>
        </w:rPr>
        <w:t>Cartaxo, A., Eberl, I., Mayer, H. (2022) Die MISSCARE Austria Studie – Teil III: Missed Nursing Care auf Allgemeinstationen in österreichischen Krankenhäusern: Einfluss auf die Arbeitszufriedenheit und auf die Absicht, den Beruf zu verlassen</w:t>
      </w:r>
      <w:r w:rsidR="00B71067">
        <w:rPr>
          <w:sz w:val="18"/>
          <w:szCs w:val="18"/>
        </w:rPr>
        <w:t xml:space="preserve"> [</w:t>
      </w:r>
      <w:r w:rsidR="00B71067" w:rsidRPr="00B71067">
        <w:rPr>
          <w:sz w:val="18"/>
          <w:szCs w:val="18"/>
        </w:rPr>
        <w:t>Missed Nursing Care on General Wards in Austrian Hospitals: Influence on job satisfaction and intention to leave</w:t>
      </w:r>
      <w:r w:rsidR="00B71067">
        <w:rPr>
          <w:sz w:val="18"/>
          <w:szCs w:val="18"/>
        </w:rPr>
        <w:t>]</w:t>
      </w:r>
      <w:r w:rsidRPr="004C7DEB">
        <w:rPr>
          <w:sz w:val="18"/>
          <w:szCs w:val="18"/>
        </w:rPr>
        <w:t xml:space="preserve">. HBScience 13 (Suppl 2), 61–78. </w:t>
      </w:r>
      <w:hyperlink r:id="rId9" w:history="1">
        <w:r w:rsidRPr="004C7DEB">
          <w:rPr>
            <w:rStyle w:val="Hyperlink"/>
            <w:sz w:val="18"/>
            <w:szCs w:val="18"/>
          </w:rPr>
          <w:t>https://doi.org/10.1007/s16024-022-00390-2</w:t>
        </w:r>
      </w:hyperlink>
      <w:r w:rsidRPr="004C7DEB">
        <w:rPr>
          <w:sz w:val="18"/>
          <w:szCs w:val="18"/>
        </w:rPr>
        <w:t xml:space="preserve"> </w:t>
      </w:r>
      <w:r w:rsidR="00E93062" w:rsidRPr="004C7DEB">
        <w:rPr>
          <w:rFonts w:cstheme="minorHAnsi"/>
          <w:i/>
          <w:iCs/>
          <w:color w:val="BFBFBF" w:themeColor="background1" w:themeShade="BF"/>
          <w:sz w:val="16"/>
          <w:szCs w:val="16"/>
        </w:rPr>
        <w:t>(in German)</w:t>
      </w:r>
    </w:p>
    <w:p w14:paraId="39F63CE8" w14:textId="3A609BF4" w:rsidR="004C7DEB" w:rsidRPr="00E93062" w:rsidRDefault="00A279AF" w:rsidP="00A279AF">
      <w:pPr>
        <w:pStyle w:val="CVNormal"/>
        <w:spacing w:before="20" w:afterLines="40" w:after="96"/>
        <w:ind w:left="519" w:hanging="706"/>
        <w:jc w:val="both"/>
        <w:rPr>
          <w:rFonts w:asciiTheme="minorHAnsi" w:eastAsiaTheme="minorHAnsi" w:hAnsiTheme="minorHAnsi" w:cstheme="minorHAnsi"/>
          <w:kern w:val="2"/>
          <w:sz w:val="18"/>
          <w:szCs w:val="18"/>
          <w:lang w:val="de-AT" w:eastAsia="de-DE"/>
          <w14:ligatures w14:val="standardContextual"/>
        </w:rPr>
      </w:pPr>
      <w:r w:rsidRPr="00A279AF">
        <w:rPr>
          <w:rFonts w:asciiTheme="minorHAnsi" w:eastAsiaTheme="minorHAnsi" w:hAnsiTheme="minorHAnsi" w:cstheme="minorHAnsi"/>
          <w:kern w:val="2"/>
          <w:sz w:val="18"/>
          <w:szCs w:val="18"/>
          <w:lang w:val="de-AT" w:eastAsia="de-DE"/>
          <w14:ligatures w14:val="standardContextual"/>
        </w:rPr>
        <w:t xml:space="preserve">Cartaxo, A., Dabney, B. W., Mayer, H., Eberl, I., &amp; Gonçalves, L. (2023). External influencing factors on missed care in Austrian hospitals: Testing the theoretical antecedents of missed care using structural equation modelling. Journal of Advanced Nursing, 00, 1– 16. </w:t>
      </w:r>
      <w:hyperlink r:id="rId10" w:history="1">
        <w:r w:rsidRPr="003834EE">
          <w:rPr>
            <w:rStyle w:val="Hyperlink"/>
            <w:rFonts w:asciiTheme="minorHAnsi" w:eastAsiaTheme="minorHAnsi" w:hAnsiTheme="minorHAnsi" w:cstheme="minorHAnsi"/>
            <w:kern w:val="2"/>
            <w:sz w:val="18"/>
            <w:szCs w:val="18"/>
            <w:lang w:val="de-AT" w:eastAsia="de-DE"/>
            <w14:ligatures w14:val="standardContextual"/>
          </w:rPr>
          <w:t>https://doi.org/10.1111/jan.15700</w:t>
        </w:r>
      </w:hyperlink>
      <w:r>
        <w:rPr>
          <w:rFonts w:asciiTheme="minorHAnsi" w:eastAsiaTheme="minorHAnsi" w:hAnsiTheme="minorHAnsi" w:cstheme="minorHAnsi"/>
          <w:kern w:val="2"/>
          <w:sz w:val="18"/>
          <w:szCs w:val="18"/>
          <w:lang w:val="de-AT" w:eastAsia="de-DE"/>
          <w14:ligatures w14:val="standardContextual"/>
        </w:rPr>
        <w:t xml:space="preserve"> </w:t>
      </w:r>
    </w:p>
    <w:sectPr w:rsidR="004C7DEB" w:rsidRPr="00E93062" w:rsidSect="004C7DEB">
      <w:pgSz w:w="16838" w:h="11906" w:orient="landscape"/>
      <w:pgMar w:top="450" w:right="720" w:bottom="27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F66F83"/>
    <w:rsid w:val="000546D1"/>
    <w:rsid w:val="002B718D"/>
    <w:rsid w:val="00380E37"/>
    <w:rsid w:val="003E226D"/>
    <w:rsid w:val="004640F1"/>
    <w:rsid w:val="004C7DEB"/>
    <w:rsid w:val="0053589E"/>
    <w:rsid w:val="006653FF"/>
    <w:rsid w:val="007010F3"/>
    <w:rsid w:val="00714BE5"/>
    <w:rsid w:val="007F06DE"/>
    <w:rsid w:val="0081320F"/>
    <w:rsid w:val="00A279AF"/>
    <w:rsid w:val="00AF04BA"/>
    <w:rsid w:val="00B71067"/>
    <w:rsid w:val="00C25579"/>
    <w:rsid w:val="00DD609A"/>
    <w:rsid w:val="00E93062"/>
    <w:rsid w:val="00EC57F5"/>
    <w:rsid w:val="00EF06F5"/>
    <w:rsid w:val="00F66F83"/>
    <w:rsid w:val="00FB1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C901F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C7DE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C7DEB"/>
    <w:rPr>
      <w:color w:val="605E5C"/>
      <w:shd w:val="clear" w:color="auto" w:fill="E1DFDD"/>
    </w:rPr>
  </w:style>
  <w:style w:type="paragraph" w:customStyle="1" w:styleId="CVNormal">
    <w:name w:val="CV Normal"/>
    <w:basedOn w:val="Normal"/>
    <w:rsid w:val="00E93062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kern w:val="0"/>
      <w:sz w:val="20"/>
      <w:szCs w:val="20"/>
      <w:lang w:val="de-DE" w:eastAsia="ar-SA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0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C7DE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C7DEB"/>
    <w:rPr>
      <w:color w:val="605E5C"/>
      <w:shd w:val="clear" w:color="auto" w:fill="E1DFDD"/>
    </w:rPr>
  </w:style>
  <w:style w:type="paragraph" w:customStyle="1" w:styleId="CVNormal">
    <w:name w:val="CV Normal"/>
    <w:basedOn w:val="Normal"/>
    <w:rsid w:val="00E93062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kern w:val="0"/>
      <w:sz w:val="20"/>
      <w:szCs w:val="20"/>
      <w:lang w:val="de-DE" w:eastAsia="ar-SA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0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09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49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52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8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07/s16024-022-00389-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1007/s16024-022-00387-x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i.org/10.1024/1012-5302/a000936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doi.org/10.1111/jan.157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07/s16024-022-00390-2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2086</Characters>
  <Application>Microsoft Office Word</Application>
  <DocSecurity>0</DocSecurity>
  <Lines>16</Lines>
  <Paragraphs>7</Paragraphs>
  <ScaleCrop>false</ScaleCrop>
  <Company/>
  <LinksUpToDate>false</LinksUpToDate>
  <CharactersWithSpaces>2373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Cartaxo</dc:creator>
  <cp:keywords/>
  <dc:description/>
  <cp:lastModifiedBy>E744616</cp:lastModifiedBy>
  <cp:revision>18</cp:revision>
  <dcterms:created xsi:type="dcterms:W3CDTF">2023-02-27T19:50:00Z</dcterms:created>
  <dcterms:modified xsi:type="dcterms:W3CDTF">2024-04-13T11:11:00Z</dcterms:modified>
</cp:coreProperties>
</file>