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E4F822" w14:textId="486D9079" w:rsidR="007C3E5D" w:rsidRPr="00E20E61" w:rsidRDefault="00DE00C2" w:rsidP="007C3E5D">
      <w:pPr>
        <w:pStyle w:val="Caption"/>
        <w:keepNext/>
        <w:bidi w:val="0"/>
        <w:rPr>
          <w:rFonts w:asciiTheme="majorBidi" w:hAnsiTheme="majorBidi" w:cstheme="majorBidi"/>
          <w:i w:val="0"/>
          <w:iCs w:val="0"/>
          <w:color w:val="auto"/>
          <w:sz w:val="22"/>
          <w:szCs w:val="22"/>
        </w:rPr>
      </w:pPr>
      <w:r>
        <w:rPr>
          <w:rFonts w:asciiTheme="majorBidi" w:hAnsiTheme="majorBidi" w:cstheme="majorBidi"/>
          <w:i w:val="0"/>
          <w:iCs w:val="0"/>
          <w:color w:val="auto"/>
          <w:sz w:val="22"/>
          <w:szCs w:val="22"/>
          <w:lang w:val="en-GB"/>
        </w:rPr>
        <w:t>T</w:t>
      </w:r>
      <w:r w:rsidRPr="00DE00C2">
        <w:rPr>
          <w:rFonts w:asciiTheme="majorBidi" w:hAnsiTheme="majorBidi" w:cstheme="majorBidi"/>
          <w:i w:val="0"/>
          <w:iCs w:val="0"/>
          <w:color w:val="auto"/>
          <w:sz w:val="22"/>
          <w:szCs w:val="22"/>
        </w:rPr>
        <w:t>able S1.</w:t>
      </w:r>
      <w:r w:rsidR="007C3E5D" w:rsidRPr="00E20E61">
        <w:rPr>
          <w:rFonts w:asciiTheme="majorBidi" w:hAnsiTheme="majorBidi" w:cstheme="majorBidi"/>
          <w:i w:val="0"/>
          <w:iCs w:val="0"/>
          <w:color w:val="auto"/>
          <w:sz w:val="22"/>
          <w:szCs w:val="22"/>
        </w:rPr>
        <w:t>. The extraction Table of the included studies</w:t>
      </w:r>
    </w:p>
    <w:tbl>
      <w:tblPr>
        <w:tblStyle w:val="TableGrid"/>
        <w:tblW w:w="15418" w:type="dxa"/>
        <w:tblInd w:w="-743" w:type="dxa"/>
        <w:tblLayout w:type="fixed"/>
        <w:tblLook w:val="04A0" w:firstRow="1" w:lastRow="0" w:firstColumn="1" w:lastColumn="0" w:noHBand="0" w:noVBand="1"/>
      </w:tblPr>
      <w:tblGrid>
        <w:gridCol w:w="1267"/>
        <w:gridCol w:w="1002"/>
        <w:gridCol w:w="1134"/>
        <w:gridCol w:w="1001"/>
        <w:gridCol w:w="1566"/>
        <w:gridCol w:w="1402"/>
        <w:gridCol w:w="1701"/>
        <w:gridCol w:w="1701"/>
        <w:gridCol w:w="1453"/>
        <w:gridCol w:w="1524"/>
        <w:gridCol w:w="1667"/>
      </w:tblGrid>
      <w:tr w:rsidR="007C3E5D" w:rsidRPr="006959B6" w14:paraId="763C6BA9" w14:textId="77777777" w:rsidTr="00881438">
        <w:trPr>
          <w:trHeight w:val="1077"/>
        </w:trPr>
        <w:tc>
          <w:tcPr>
            <w:tcW w:w="1267" w:type="dxa"/>
            <w:hideMark/>
          </w:tcPr>
          <w:p w14:paraId="771023E3" w14:textId="77777777" w:rsidR="007C3E5D" w:rsidRPr="006959B6" w:rsidRDefault="007C3E5D" w:rsidP="00881438">
            <w:pPr>
              <w:bidi w:val="0"/>
              <w:spacing w:after="160" w:line="259" w:lineRule="auto"/>
              <w:jc w:val="both"/>
              <w:rPr>
                <w:rFonts w:asciiTheme="majorBidi" w:hAnsiTheme="majorBidi" w:cstheme="majorBidi"/>
                <w:b/>
                <w:bCs/>
                <w:sz w:val="24"/>
                <w:szCs w:val="24"/>
              </w:rPr>
            </w:pPr>
            <w:r w:rsidRPr="006959B6">
              <w:rPr>
                <w:rFonts w:asciiTheme="majorBidi" w:hAnsiTheme="majorBidi" w:cstheme="majorBidi"/>
                <w:b/>
                <w:bCs/>
                <w:sz w:val="24"/>
                <w:szCs w:val="24"/>
              </w:rPr>
              <w:t>Author</w:t>
            </w:r>
            <w:r>
              <w:rPr>
                <w:rFonts w:asciiTheme="majorBidi" w:hAnsiTheme="majorBidi" w:cstheme="majorBidi"/>
                <w:b/>
                <w:bCs/>
                <w:sz w:val="24"/>
                <w:szCs w:val="24"/>
              </w:rPr>
              <w:t xml:space="preserve"> and year</w:t>
            </w:r>
          </w:p>
        </w:tc>
        <w:tc>
          <w:tcPr>
            <w:tcW w:w="1002" w:type="dxa"/>
            <w:hideMark/>
          </w:tcPr>
          <w:p w14:paraId="413DBF44" w14:textId="77777777" w:rsidR="007C3E5D" w:rsidRPr="006959B6" w:rsidRDefault="007C3E5D" w:rsidP="00881438">
            <w:pPr>
              <w:bidi w:val="0"/>
              <w:spacing w:after="160" w:line="259" w:lineRule="auto"/>
              <w:jc w:val="both"/>
              <w:rPr>
                <w:rFonts w:asciiTheme="majorBidi" w:hAnsiTheme="majorBidi" w:cstheme="majorBidi"/>
                <w:b/>
                <w:bCs/>
                <w:sz w:val="24"/>
                <w:szCs w:val="24"/>
              </w:rPr>
            </w:pPr>
            <w:r w:rsidRPr="006959B6">
              <w:rPr>
                <w:rFonts w:asciiTheme="majorBidi" w:hAnsiTheme="majorBidi" w:cstheme="majorBidi"/>
                <w:b/>
                <w:bCs/>
                <w:sz w:val="24"/>
                <w:szCs w:val="24"/>
              </w:rPr>
              <w:t>Country</w:t>
            </w:r>
          </w:p>
        </w:tc>
        <w:tc>
          <w:tcPr>
            <w:tcW w:w="1134" w:type="dxa"/>
            <w:hideMark/>
          </w:tcPr>
          <w:p w14:paraId="78DF5AA8" w14:textId="77777777" w:rsidR="007C3E5D" w:rsidRPr="006959B6" w:rsidRDefault="007C3E5D" w:rsidP="00881438">
            <w:pPr>
              <w:bidi w:val="0"/>
              <w:spacing w:after="160" w:line="259" w:lineRule="auto"/>
              <w:jc w:val="both"/>
              <w:rPr>
                <w:rFonts w:asciiTheme="majorBidi" w:hAnsiTheme="majorBidi" w:cstheme="majorBidi"/>
                <w:b/>
                <w:bCs/>
                <w:sz w:val="24"/>
                <w:szCs w:val="24"/>
              </w:rPr>
            </w:pPr>
            <w:r w:rsidRPr="006959B6">
              <w:rPr>
                <w:rFonts w:asciiTheme="majorBidi" w:hAnsiTheme="majorBidi" w:cstheme="majorBidi"/>
                <w:b/>
                <w:bCs/>
                <w:sz w:val="24"/>
                <w:szCs w:val="24"/>
              </w:rPr>
              <w:t>Study Design</w:t>
            </w:r>
          </w:p>
        </w:tc>
        <w:tc>
          <w:tcPr>
            <w:tcW w:w="1001" w:type="dxa"/>
            <w:hideMark/>
          </w:tcPr>
          <w:p w14:paraId="2BA5DFC2" w14:textId="77777777" w:rsidR="007C3E5D" w:rsidRPr="006959B6" w:rsidRDefault="007C3E5D" w:rsidP="00881438">
            <w:pPr>
              <w:bidi w:val="0"/>
              <w:spacing w:after="160" w:line="259" w:lineRule="auto"/>
              <w:jc w:val="both"/>
              <w:rPr>
                <w:rFonts w:asciiTheme="majorBidi" w:hAnsiTheme="majorBidi" w:cstheme="majorBidi"/>
                <w:b/>
                <w:bCs/>
                <w:sz w:val="24"/>
                <w:szCs w:val="24"/>
              </w:rPr>
            </w:pPr>
            <w:r w:rsidRPr="006959B6">
              <w:rPr>
                <w:rFonts w:asciiTheme="majorBidi" w:hAnsiTheme="majorBidi" w:cstheme="majorBidi"/>
                <w:b/>
                <w:bCs/>
                <w:sz w:val="24"/>
                <w:szCs w:val="24"/>
              </w:rPr>
              <w:t>Sample Size</w:t>
            </w:r>
          </w:p>
        </w:tc>
        <w:tc>
          <w:tcPr>
            <w:tcW w:w="1566" w:type="dxa"/>
            <w:hideMark/>
          </w:tcPr>
          <w:p w14:paraId="1585F1B7" w14:textId="77777777" w:rsidR="007C3E5D" w:rsidRPr="006959B6" w:rsidRDefault="007C3E5D" w:rsidP="00881438">
            <w:pPr>
              <w:bidi w:val="0"/>
              <w:spacing w:after="160" w:line="259" w:lineRule="auto"/>
              <w:jc w:val="both"/>
              <w:rPr>
                <w:rFonts w:asciiTheme="majorBidi" w:hAnsiTheme="majorBidi" w:cstheme="majorBidi"/>
                <w:b/>
                <w:bCs/>
                <w:sz w:val="24"/>
                <w:szCs w:val="24"/>
              </w:rPr>
            </w:pPr>
            <w:r w:rsidRPr="006959B6">
              <w:rPr>
                <w:rFonts w:asciiTheme="majorBidi" w:hAnsiTheme="majorBidi" w:cstheme="majorBidi"/>
                <w:b/>
                <w:bCs/>
                <w:sz w:val="24"/>
                <w:szCs w:val="24"/>
              </w:rPr>
              <w:t>Population Characteristics</w:t>
            </w:r>
          </w:p>
        </w:tc>
        <w:tc>
          <w:tcPr>
            <w:tcW w:w="1402" w:type="dxa"/>
            <w:hideMark/>
          </w:tcPr>
          <w:p w14:paraId="4E96C3F5" w14:textId="77777777" w:rsidR="007C3E5D" w:rsidRPr="006959B6" w:rsidRDefault="007C3E5D" w:rsidP="00881438">
            <w:pPr>
              <w:bidi w:val="0"/>
              <w:spacing w:after="160" w:line="259" w:lineRule="auto"/>
              <w:jc w:val="both"/>
              <w:rPr>
                <w:rFonts w:asciiTheme="majorBidi" w:hAnsiTheme="majorBidi" w:cstheme="majorBidi"/>
                <w:b/>
                <w:bCs/>
                <w:sz w:val="24"/>
                <w:szCs w:val="24"/>
              </w:rPr>
            </w:pPr>
            <w:r w:rsidRPr="006959B6">
              <w:rPr>
                <w:rFonts w:asciiTheme="majorBidi" w:hAnsiTheme="majorBidi" w:cstheme="majorBidi"/>
                <w:b/>
                <w:bCs/>
                <w:sz w:val="24"/>
                <w:szCs w:val="24"/>
              </w:rPr>
              <w:t>Ethical Challenges Addressed</w:t>
            </w:r>
          </w:p>
        </w:tc>
        <w:tc>
          <w:tcPr>
            <w:tcW w:w="1701" w:type="dxa"/>
            <w:hideMark/>
          </w:tcPr>
          <w:p w14:paraId="08E87CFA" w14:textId="77777777" w:rsidR="007C3E5D" w:rsidRPr="006959B6" w:rsidRDefault="007C3E5D" w:rsidP="00881438">
            <w:pPr>
              <w:bidi w:val="0"/>
              <w:spacing w:after="160" w:line="259" w:lineRule="auto"/>
              <w:jc w:val="both"/>
              <w:rPr>
                <w:rFonts w:asciiTheme="majorBidi" w:hAnsiTheme="majorBidi" w:cstheme="majorBidi"/>
                <w:b/>
                <w:bCs/>
                <w:sz w:val="24"/>
                <w:szCs w:val="24"/>
              </w:rPr>
            </w:pPr>
            <w:r w:rsidRPr="006959B6">
              <w:rPr>
                <w:rFonts w:asciiTheme="majorBidi" w:hAnsiTheme="majorBidi" w:cstheme="majorBidi"/>
                <w:b/>
                <w:bCs/>
                <w:sz w:val="24"/>
                <w:szCs w:val="24"/>
              </w:rPr>
              <w:t>Palliative Care Practices</w:t>
            </w:r>
          </w:p>
        </w:tc>
        <w:tc>
          <w:tcPr>
            <w:tcW w:w="1701" w:type="dxa"/>
            <w:hideMark/>
          </w:tcPr>
          <w:p w14:paraId="5A0F36AB" w14:textId="77777777" w:rsidR="007C3E5D" w:rsidRPr="006959B6" w:rsidRDefault="007C3E5D" w:rsidP="00881438">
            <w:pPr>
              <w:bidi w:val="0"/>
              <w:spacing w:after="160" w:line="259" w:lineRule="auto"/>
              <w:jc w:val="both"/>
              <w:rPr>
                <w:rFonts w:asciiTheme="majorBidi" w:hAnsiTheme="majorBidi" w:cstheme="majorBidi"/>
                <w:b/>
                <w:bCs/>
                <w:sz w:val="24"/>
                <w:szCs w:val="24"/>
              </w:rPr>
            </w:pPr>
            <w:r w:rsidRPr="006959B6">
              <w:rPr>
                <w:rFonts w:asciiTheme="majorBidi" w:hAnsiTheme="majorBidi" w:cstheme="majorBidi"/>
                <w:b/>
                <w:bCs/>
                <w:sz w:val="24"/>
                <w:szCs w:val="24"/>
              </w:rPr>
              <w:t>Key Findings</w:t>
            </w:r>
          </w:p>
        </w:tc>
        <w:tc>
          <w:tcPr>
            <w:tcW w:w="1453" w:type="dxa"/>
            <w:hideMark/>
          </w:tcPr>
          <w:p w14:paraId="14B132A3" w14:textId="77777777" w:rsidR="007C3E5D" w:rsidRPr="006959B6" w:rsidRDefault="007C3E5D" w:rsidP="00881438">
            <w:pPr>
              <w:bidi w:val="0"/>
              <w:spacing w:after="160" w:line="259" w:lineRule="auto"/>
              <w:jc w:val="both"/>
              <w:rPr>
                <w:rFonts w:asciiTheme="majorBidi" w:hAnsiTheme="majorBidi" w:cstheme="majorBidi"/>
                <w:b/>
                <w:bCs/>
                <w:sz w:val="24"/>
                <w:szCs w:val="24"/>
              </w:rPr>
            </w:pPr>
            <w:r w:rsidRPr="006959B6">
              <w:rPr>
                <w:rFonts w:asciiTheme="majorBidi" w:hAnsiTheme="majorBidi" w:cstheme="majorBidi"/>
                <w:b/>
                <w:bCs/>
                <w:sz w:val="24"/>
                <w:szCs w:val="24"/>
              </w:rPr>
              <w:t>Themes Identified</w:t>
            </w:r>
          </w:p>
        </w:tc>
        <w:tc>
          <w:tcPr>
            <w:tcW w:w="1524" w:type="dxa"/>
            <w:hideMark/>
          </w:tcPr>
          <w:p w14:paraId="6CF05BFF" w14:textId="77777777" w:rsidR="007C3E5D" w:rsidRPr="006959B6" w:rsidRDefault="007C3E5D" w:rsidP="00881438">
            <w:pPr>
              <w:bidi w:val="0"/>
              <w:spacing w:after="160" w:line="259" w:lineRule="auto"/>
              <w:jc w:val="both"/>
              <w:rPr>
                <w:rFonts w:asciiTheme="majorBidi" w:hAnsiTheme="majorBidi" w:cstheme="majorBidi"/>
                <w:b/>
                <w:bCs/>
                <w:sz w:val="24"/>
                <w:szCs w:val="24"/>
              </w:rPr>
            </w:pPr>
            <w:r w:rsidRPr="006959B6">
              <w:rPr>
                <w:rFonts w:asciiTheme="majorBidi" w:hAnsiTheme="majorBidi" w:cstheme="majorBidi"/>
                <w:b/>
                <w:bCs/>
                <w:sz w:val="24"/>
                <w:szCs w:val="24"/>
              </w:rPr>
              <w:t>Implications for Practice</w:t>
            </w:r>
          </w:p>
        </w:tc>
        <w:tc>
          <w:tcPr>
            <w:tcW w:w="1667" w:type="dxa"/>
            <w:hideMark/>
          </w:tcPr>
          <w:p w14:paraId="5C063C19" w14:textId="77777777" w:rsidR="007C3E5D" w:rsidRPr="006959B6" w:rsidRDefault="007C3E5D" w:rsidP="00881438">
            <w:pPr>
              <w:bidi w:val="0"/>
              <w:spacing w:after="160" w:line="259" w:lineRule="auto"/>
              <w:jc w:val="both"/>
              <w:rPr>
                <w:rFonts w:asciiTheme="majorBidi" w:hAnsiTheme="majorBidi" w:cstheme="majorBidi"/>
                <w:b/>
                <w:bCs/>
                <w:sz w:val="24"/>
                <w:szCs w:val="24"/>
              </w:rPr>
            </w:pPr>
            <w:r w:rsidRPr="006959B6">
              <w:rPr>
                <w:rFonts w:asciiTheme="majorBidi" w:hAnsiTheme="majorBidi" w:cstheme="majorBidi"/>
                <w:b/>
                <w:bCs/>
                <w:sz w:val="24"/>
                <w:szCs w:val="24"/>
              </w:rPr>
              <w:t>Suggestions for Future Research</w:t>
            </w:r>
          </w:p>
        </w:tc>
      </w:tr>
      <w:tr w:rsidR="007C3E5D" w:rsidRPr="001C25D4" w14:paraId="465E6543" w14:textId="77777777" w:rsidTr="00881438">
        <w:trPr>
          <w:trHeight w:val="699"/>
        </w:trPr>
        <w:tc>
          <w:tcPr>
            <w:tcW w:w="1267" w:type="dxa"/>
          </w:tcPr>
          <w:p w14:paraId="06FB37C5"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t>Kuosmanen et al., 2021</w:t>
            </w:r>
            <w:r w:rsidRPr="001C25D4">
              <w:rPr>
                <w:rFonts w:asciiTheme="majorBidi" w:hAnsiTheme="majorBidi" w:cstheme="majorBidi"/>
              </w:rPr>
              <w:fldChar w:fldCharType="begin" w:fldLock="1"/>
            </w:r>
            <w:r>
              <w:rPr>
                <w:rFonts w:asciiTheme="majorBidi" w:hAnsiTheme="majorBidi" w:cstheme="majorBidi"/>
              </w:rPr>
              <w:instrText>ADDIN CSL_CITATION {"citationItems":[{"id":"ITEM-1","itemData":{"DOI":"10.1111/jocn.15866","ISSN":"0962-1067","author":[{"dropping-particle":"","family":"Kuosmanen","given":"Lotta","non-dropping-particle":"","parse-names":false,"suffix":""},{"dropping-particle":"","family":"Hupli","given":"Maija","non-dropping-particle":"","parse-names":false,"suffix":""},{"dropping-particle":"","family":"Ahtiluoto","given":"Satu","non-dropping-particle":"","parse-names":false,"suffix":""},{"dropping-particle":"","family":"Haavisto","given":"Elina","non-dropping-particle":"","parse-names":false,"suffix":""}],"container-title":"Journal of Clinical Nursing","id":"ITEM-1","issue":"23-24","issued":{"date-parts":[["2021","12","24"]]},"page":"3415-3428","title":"Patient participation in shared decision‐making in palliative care – an integrative review","type":"article-journal","volume":"30"},"uris":["http://www.mendeley.com/documents/?uuid=01e40c3a-f3ae-402d-a719-5922b85437d0"]}],"mendeley":{"formattedCitation":"[63]","plainTextFormattedCitation":"[63]","previouslyFormattedCitation":"[63]"},"properties":{"noteIndex":0},"schema":"https://github.com/citation-style-language/schema/raw/master/csl-citation.json"}</w:instrText>
            </w:r>
            <w:r w:rsidRPr="001C25D4">
              <w:rPr>
                <w:rFonts w:asciiTheme="majorBidi" w:hAnsiTheme="majorBidi" w:cstheme="majorBidi"/>
              </w:rPr>
              <w:fldChar w:fldCharType="separate"/>
            </w:r>
            <w:r w:rsidRPr="001764F9">
              <w:rPr>
                <w:rFonts w:asciiTheme="majorBidi" w:hAnsiTheme="majorBidi" w:cstheme="majorBidi"/>
                <w:noProof/>
              </w:rPr>
              <w:t>[63]</w:t>
            </w:r>
            <w:r w:rsidRPr="001C25D4">
              <w:rPr>
                <w:rFonts w:asciiTheme="majorBidi" w:hAnsiTheme="majorBidi" w:cstheme="majorBidi"/>
              </w:rPr>
              <w:fldChar w:fldCharType="end"/>
            </w:r>
          </w:p>
        </w:tc>
        <w:tc>
          <w:tcPr>
            <w:tcW w:w="1002" w:type="dxa"/>
          </w:tcPr>
          <w:p w14:paraId="6E974054"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t>Multiple (USA, Australia, the Netherlands, New Zealand, Norway, Sweden, Canada, Belgium, UK)</w:t>
            </w:r>
          </w:p>
        </w:tc>
        <w:tc>
          <w:tcPr>
            <w:tcW w:w="1134" w:type="dxa"/>
          </w:tcPr>
          <w:p w14:paraId="3B8BC676"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t>Integrative Review</w:t>
            </w:r>
          </w:p>
        </w:tc>
        <w:tc>
          <w:tcPr>
            <w:tcW w:w="1001" w:type="dxa"/>
          </w:tcPr>
          <w:p w14:paraId="7C495EBA"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t>12 articles</w:t>
            </w:r>
          </w:p>
        </w:tc>
        <w:tc>
          <w:tcPr>
            <w:tcW w:w="1566" w:type="dxa"/>
          </w:tcPr>
          <w:p w14:paraId="25C3F8D0"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t>Patients in palliative care, including those diagnosed with cancer, COPD, and other diseases</w:t>
            </w:r>
          </w:p>
        </w:tc>
        <w:tc>
          <w:tcPr>
            <w:tcW w:w="1402" w:type="dxa"/>
          </w:tcPr>
          <w:p w14:paraId="6A2D051F"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t>Shared decision-making, patient autonomy</w:t>
            </w:r>
          </w:p>
        </w:tc>
        <w:tc>
          <w:tcPr>
            <w:tcW w:w="1701" w:type="dxa"/>
          </w:tcPr>
          <w:p w14:paraId="5C2A73FD"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t>Everyday nursing care decisions, treatment-related medical decisions, end-of-life decisions</w:t>
            </w:r>
          </w:p>
        </w:tc>
        <w:tc>
          <w:tcPr>
            <w:tcW w:w="1701" w:type="dxa"/>
          </w:tcPr>
          <w:p w14:paraId="63B0A92B"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t>Patients participate and desire to participate in a wide range of decision-making aspects, including everyday nursing care, medical treatment decisions, and end-of-life care. Prerequisites for participation include interdisciplinary teamwork, open communication, a good patient–healthcare professional relationship, a favorable environment, and mutual information.</w:t>
            </w:r>
          </w:p>
        </w:tc>
        <w:tc>
          <w:tcPr>
            <w:tcW w:w="1453" w:type="dxa"/>
          </w:tcPr>
          <w:p w14:paraId="0B56C4EB"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t>Everyday nursing care decisions, treatment-related medical decisions, end-of-life decisions</w:t>
            </w:r>
          </w:p>
        </w:tc>
        <w:tc>
          <w:tcPr>
            <w:tcW w:w="1524" w:type="dxa"/>
          </w:tcPr>
          <w:p w14:paraId="1ACD2D3C"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t>The study emphasizes the importance of involving palliative care patients in decision-making processes and suggests that healthcare professionals and organizations have a primary role in enabling this participation.</w:t>
            </w:r>
          </w:p>
        </w:tc>
        <w:tc>
          <w:tcPr>
            <w:tcW w:w="1667" w:type="dxa"/>
          </w:tcPr>
          <w:p w14:paraId="4C4D23AC"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t>Further research is needed from the patient's perspective to explore the meaning and impact of participating in shared decision-making in palliative care settings.</w:t>
            </w:r>
          </w:p>
        </w:tc>
      </w:tr>
      <w:tr w:rsidR="007C3E5D" w:rsidRPr="001C25D4" w14:paraId="6E7B9CAA" w14:textId="77777777" w:rsidTr="00881438">
        <w:trPr>
          <w:trHeight w:val="699"/>
        </w:trPr>
        <w:tc>
          <w:tcPr>
            <w:tcW w:w="1267" w:type="dxa"/>
          </w:tcPr>
          <w:p w14:paraId="2E5F84C5" w14:textId="77777777" w:rsidR="007C3E5D" w:rsidRPr="001C25D4" w:rsidRDefault="007C3E5D" w:rsidP="00881438">
            <w:pPr>
              <w:bidi w:val="0"/>
              <w:jc w:val="both"/>
              <w:rPr>
                <w:rFonts w:asciiTheme="majorBidi" w:hAnsiTheme="majorBidi" w:cstheme="majorBidi"/>
              </w:rPr>
            </w:pPr>
            <w:r w:rsidRPr="006959B6">
              <w:rPr>
                <w:rFonts w:asciiTheme="majorBidi" w:hAnsiTheme="majorBidi" w:cstheme="majorBidi"/>
              </w:rPr>
              <w:lastRenderedPageBreak/>
              <w:t>Agarwal, R. and Epstein, A.S.</w:t>
            </w:r>
            <w:r w:rsidRPr="001C25D4">
              <w:rPr>
                <w:rFonts w:asciiTheme="majorBidi" w:hAnsiTheme="majorBidi" w:cstheme="majorBidi"/>
              </w:rPr>
              <w:t xml:space="preserve"> </w:t>
            </w:r>
            <w:r w:rsidRPr="006959B6">
              <w:rPr>
                <w:rFonts w:asciiTheme="majorBidi" w:hAnsiTheme="majorBidi" w:cstheme="majorBidi"/>
              </w:rPr>
              <w:t>2018</w:t>
            </w:r>
            <w:r w:rsidRPr="001C25D4">
              <w:rPr>
                <w:rFonts w:asciiTheme="majorBidi" w:hAnsiTheme="majorBidi" w:cstheme="majorBidi"/>
              </w:rPr>
              <w:fldChar w:fldCharType="begin" w:fldLock="1"/>
            </w:r>
            <w:r>
              <w:rPr>
                <w:rFonts w:asciiTheme="majorBidi" w:hAnsiTheme="majorBidi" w:cstheme="majorBidi"/>
              </w:rPr>
              <w:instrText>ADDIN CSL_CITATION {"citationItems":[{"id":"ITEM-1","itemData":{"DOI":"10.1016/j.soncn.2018.06.012","ISSN":"07492081","author":[{"dropping-particle":"","family":"Agarwal","given":"Rajiv","non-dropping-particle":"","parse-names":false,"suffix":""},{"dropping-particle":"","family":"Epstein","given":"Andrew S.","non-dropping-particle":"","parse-names":false,"suffix":""}],"container-title":"Seminars in Oncology Nursing","id":"ITEM-1","issue":"3","issued":{"date-parts":[["2018","8"]]},"page":"316-326","title":"Advance Care Planning and End-of-Life Decision Making for Patients with Cancer","type":"article-journal","volume":"34"},"uris":["http://www.mendeley.com/documents/?uuid=4806accc-b258-4c88-a8ac-d6ade3dd858d"]}],"mendeley":{"formattedCitation":"[62]","plainTextFormattedCitation":"[62]","previouslyFormattedCitation":"[62]"},"properties":{"noteIndex":0},"schema":"https://github.com/citation-style-language/schema/raw/master/csl-citation.json"}</w:instrText>
            </w:r>
            <w:r w:rsidRPr="001C25D4">
              <w:rPr>
                <w:rFonts w:asciiTheme="majorBidi" w:hAnsiTheme="majorBidi" w:cstheme="majorBidi"/>
              </w:rPr>
              <w:fldChar w:fldCharType="separate"/>
            </w:r>
            <w:r w:rsidRPr="001764F9">
              <w:rPr>
                <w:rFonts w:asciiTheme="majorBidi" w:hAnsiTheme="majorBidi" w:cstheme="majorBidi"/>
                <w:noProof/>
              </w:rPr>
              <w:t>[62]</w:t>
            </w:r>
            <w:r w:rsidRPr="001C25D4">
              <w:rPr>
                <w:rFonts w:asciiTheme="majorBidi" w:hAnsiTheme="majorBidi" w:cstheme="majorBidi"/>
              </w:rPr>
              <w:fldChar w:fldCharType="end"/>
            </w:r>
          </w:p>
        </w:tc>
        <w:tc>
          <w:tcPr>
            <w:tcW w:w="1002" w:type="dxa"/>
          </w:tcPr>
          <w:p w14:paraId="217553B5" w14:textId="77777777" w:rsidR="007C3E5D" w:rsidRPr="001C25D4" w:rsidRDefault="007C3E5D" w:rsidP="00881438">
            <w:pPr>
              <w:bidi w:val="0"/>
              <w:jc w:val="both"/>
              <w:rPr>
                <w:rFonts w:asciiTheme="majorBidi" w:hAnsiTheme="majorBidi" w:cstheme="majorBidi"/>
              </w:rPr>
            </w:pPr>
            <w:r w:rsidRPr="006959B6">
              <w:rPr>
                <w:rFonts w:asciiTheme="majorBidi" w:hAnsiTheme="majorBidi" w:cstheme="majorBidi"/>
              </w:rPr>
              <w:t>USA</w:t>
            </w:r>
          </w:p>
        </w:tc>
        <w:tc>
          <w:tcPr>
            <w:tcW w:w="1134" w:type="dxa"/>
          </w:tcPr>
          <w:p w14:paraId="2D190DF0" w14:textId="77777777" w:rsidR="007C3E5D" w:rsidRPr="001C25D4" w:rsidRDefault="007C3E5D" w:rsidP="00881438">
            <w:pPr>
              <w:bidi w:val="0"/>
              <w:jc w:val="both"/>
              <w:rPr>
                <w:rFonts w:asciiTheme="majorBidi" w:hAnsiTheme="majorBidi" w:cstheme="majorBidi"/>
              </w:rPr>
            </w:pPr>
            <w:r w:rsidRPr="006959B6">
              <w:rPr>
                <w:rFonts w:asciiTheme="majorBidi" w:hAnsiTheme="majorBidi" w:cstheme="majorBidi"/>
              </w:rPr>
              <w:t>Review Article</w:t>
            </w:r>
          </w:p>
        </w:tc>
        <w:tc>
          <w:tcPr>
            <w:tcW w:w="1001" w:type="dxa"/>
          </w:tcPr>
          <w:p w14:paraId="35387918" w14:textId="77777777" w:rsidR="007C3E5D" w:rsidRPr="001C25D4" w:rsidRDefault="007C3E5D" w:rsidP="00881438">
            <w:pPr>
              <w:bidi w:val="0"/>
              <w:jc w:val="both"/>
              <w:rPr>
                <w:rFonts w:asciiTheme="majorBidi" w:hAnsiTheme="majorBidi" w:cstheme="majorBidi"/>
              </w:rPr>
            </w:pPr>
            <w:r w:rsidRPr="006959B6">
              <w:rPr>
                <w:rFonts w:asciiTheme="majorBidi" w:hAnsiTheme="majorBidi" w:cstheme="majorBidi"/>
              </w:rPr>
              <w:t>N/A</w:t>
            </w:r>
          </w:p>
        </w:tc>
        <w:tc>
          <w:tcPr>
            <w:tcW w:w="1566" w:type="dxa"/>
          </w:tcPr>
          <w:p w14:paraId="528A5D71" w14:textId="77777777" w:rsidR="007C3E5D" w:rsidRPr="001C25D4" w:rsidRDefault="007C3E5D" w:rsidP="00881438">
            <w:pPr>
              <w:bidi w:val="0"/>
              <w:jc w:val="both"/>
              <w:rPr>
                <w:rFonts w:asciiTheme="majorBidi" w:hAnsiTheme="majorBidi" w:cstheme="majorBidi"/>
              </w:rPr>
            </w:pPr>
            <w:r w:rsidRPr="006959B6">
              <w:rPr>
                <w:rFonts w:asciiTheme="majorBidi" w:hAnsiTheme="majorBidi" w:cstheme="majorBidi"/>
              </w:rPr>
              <w:t>Patients with cancer</w:t>
            </w:r>
          </w:p>
        </w:tc>
        <w:tc>
          <w:tcPr>
            <w:tcW w:w="1402" w:type="dxa"/>
          </w:tcPr>
          <w:p w14:paraId="212F9C15" w14:textId="77777777" w:rsidR="007C3E5D" w:rsidRPr="001C25D4" w:rsidRDefault="007C3E5D" w:rsidP="00881438">
            <w:pPr>
              <w:bidi w:val="0"/>
              <w:jc w:val="both"/>
              <w:rPr>
                <w:rFonts w:asciiTheme="majorBidi" w:hAnsiTheme="majorBidi" w:cstheme="majorBidi"/>
              </w:rPr>
            </w:pPr>
            <w:r w:rsidRPr="006959B6">
              <w:rPr>
                <w:rFonts w:asciiTheme="majorBidi" w:hAnsiTheme="majorBidi" w:cstheme="majorBidi"/>
              </w:rPr>
              <w:t>Advance care planning, patient autonomy, and communication barriers</w:t>
            </w:r>
          </w:p>
        </w:tc>
        <w:tc>
          <w:tcPr>
            <w:tcW w:w="1701" w:type="dxa"/>
          </w:tcPr>
          <w:p w14:paraId="3A8397EA" w14:textId="77777777" w:rsidR="007C3E5D" w:rsidRPr="001C25D4" w:rsidRDefault="007C3E5D" w:rsidP="00881438">
            <w:pPr>
              <w:bidi w:val="0"/>
              <w:jc w:val="both"/>
              <w:rPr>
                <w:rFonts w:asciiTheme="majorBidi" w:hAnsiTheme="majorBidi" w:cstheme="majorBidi"/>
              </w:rPr>
            </w:pPr>
            <w:r w:rsidRPr="006959B6">
              <w:rPr>
                <w:rFonts w:asciiTheme="majorBidi" w:hAnsiTheme="majorBidi" w:cstheme="majorBidi"/>
              </w:rPr>
              <w:t>Integration of palliative care principles, patient-centered and values-focused care models</w:t>
            </w:r>
          </w:p>
        </w:tc>
        <w:tc>
          <w:tcPr>
            <w:tcW w:w="1701" w:type="dxa"/>
          </w:tcPr>
          <w:p w14:paraId="6567AE05" w14:textId="77777777" w:rsidR="007C3E5D" w:rsidRPr="001C25D4" w:rsidRDefault="007C3E5D" w:rsidP="00881438">
            <w:pPr>
              <w:bidi w:val="0"/>
              <w:jc w:val="both"/>
              <w:rPr>
                <w:rFonts w:asciiTheme="majorBidi" w:hAnsiTheme="majorBidi" w:cstheme="majorBidi"/>
              </w:rPr>
            </w:pPr>
            <w:r w:rsidRPr="006959B6">
              <w:rPr>
                <w:rFonts w:asciiTheme="majorBidi" w:hAnsiTheme="majorBidi" w:cstheme="majorBidi"/>
              </w:rPr>
              <w:t>ACP is fundamental for supporting the personhood of patients with cancer, emphasizing the need for clear communication and understanding of patient values.</w:t>
            </w:r>
          </w:p>
        </w:tc>
        <w:tc>
          <w:tcPr>
            <w:tcW w:w="1453" w:type="dxa"/>
          </w:tcPr>
          <w:p w14:paraId="558BD0A1" w14:textId="77777777" w:rsidR="007C3E5D" w:rsidRPr="001C25D4" w:rsidRDefault="007C3E5D" w:rsidP="00881438">
            <w:pPr>
              <w:bidi w:val="0"/>
              <w:jc w:val="both"/>
              <w:rPr>
                <w:rFonts w:asciiTheme="majorBidi" w:hAnsiTheme="majorBidi" w:cstheme="majorBidi"/>
              </w:rPr>
            </w:pPr>
            <w:r w:rsidRPr="006959B6">
              <w:rPr>
                <w:rFonts w:asciiTheme="majorBidi" w:hAnsiTheme="majorBidi" w:cstheme="majorBidi"/>
              </w:rPr>
              <w:t>Communication strategies, patient-centered care, standardization of ACP</w:t>
            </w:r>
          </w:p>
        </w:tc>
        <w:tc>
          <w:tcPr>
            <w:tcW w:w="1524" w:type="dxa"/>
          </w:tcPr>
          <w:p w14:paraId="6FCF9005" w14:textId="77777777" w:rsidR="007C3E5D" w:rsidRPr="001C25D4" w:rsidRDefault="007C3E5D" w:rsidP="00881438">
            <w:pPr>
              <w:bidi w:val="0"/>
              <w:jc w:val="both"/>
              <w:rPr>
                <w:rFonts w:asciiTheme="majorBidi" w:hAnsiTheme="majorBidi" w:cstheme="majorBidi"/>
              </w:rPr>
            </w:pPr>
            <w:r w:rsidRPr="006959B6">
              <w:rPr>
                <w:rFonts w:asciiTheme="majorBidi" w:hAnsiTheme="majorBidi" w:cstheme="majorBidi"/>
              </w:rPr>
              <w:t>Nurses can facilitate ACP and primary palliative care to support informed decision-making.</w:t>
            </w:r>
          </w:p>
        </w:tc>
        <w:tc>
          <w:tcPr>
            <w:tcW w:w="1667" w:type="dxa"/>
          </w:tcPr>
          <w:p w14:paraId="08D5005D" w14:textId="77777777" w:rsidR="007C3E5D" w:rsidRPr="001C25D4" w:rsidRDefault="007C3E5D" w:rsidP="00881438">
            <w:pPr>
              <w:bidi w:val="0"/>
              <w:jc w:val="both"/>
              <w:rPr>
                <w:rFonts w:asciiTheme="majorBidi" w:hAnsiTheme="majorBidi" w:cstheme="majorBidi"/>
              </w:rPr>
            </w:pPr>
            <w:r w:rsidRPr="006959B6">
              <w:rPr>
                <w:rFonts w:asciiTheme="majorBidi" w:hAnsiTheme="majorBidi" w:cstheme="majorBidi"/>
              </w:rPr>
              <w:t>Further research is needed to optimize ACP and palliative care integration, focusing on communication and patient education.</w:t>
            </w:r>
          </w:p>
        </w:tc>
      </w:tr>
      <w:tr w:rsidR="007C3E5D" w:rsidRPr="001C25D4" w14:paraId="10C88EE0" w14:textId="77777777" w:rsidTr="00881438">
        <w:trPr>
          <w:trHeight w:val="699"/>
        </w:trPr>
        <w:tc>
          <w:tcPr>
            <w:tcW w:w="1267" w:type="dxa"/>
          </w:tcPr>
          <w:p w14:paraId="17361E65"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t>Petersen, Breakwell, Callahan 2014</w:t>
            </w:r>
            <w:r w:rsidRPr="001C25D4">
              <w:rPr>
                <w:rFonts w:asciiTheme="majorBidi" w:hAnsiTheme="majorBidi" w:cstheme="majorBidi"/>
              </w:rPr>
              <w:fldChar w:fldCharType="begin" w:fldLock="1"/>
            </w:r>
            <w:r>
              <w:rPr>
                <w:rFonts w:asciiTheme="majorBidi" w:hAnsiTheme="majorBidi" w:cstheme="majorBidi"/>
              </w:rPr>
              <w:instrText>ADDIN CSL_CITATION {"citationItems":[{"id":"ITEM-1","itemData":{"DOI":"10.1097/NOR.0000000000000044","ISSN":"0744-6020","author":[{"dropping-particle":"","family":"Petersen","given":"Cheryl L.","non-dropping-particle":"","parse-names":false,"suffix":""},{"dropping-particle":"","family":"Breakwell","given":"Susan","non-dropping-particle":"","parse-names":false,"suffix":""},{"dropping-particle":"","family":"Callahan","given":"Margaret","non-dropping-particle":"","parse-names":false,"suffix":""}],"container-title":"Orthopaedic Nursing","id":"ITEM-1","issue":"3","issued":{"date-parts":[["2014","5"]]},"page":"127-134","title":"Palliative and End-of-Life Care","type":"article-journal","volume":"33"},"uris":["http://www.mendeley.com/documents/?uuid=55b28348-29bd-4c8e-b0c1-33aa430bebfd"]}],"mendeley":{"formattedCitation":"[66]","plainTextFormattedCitation":"[66]","previouslyFormattedCitation":"[66]"},"properties":{"noteIndex":0},"schema":"https://github.com/citation-style-language/schema/raw/master/csl-citation.json"}</w:instrText>
            </w:r>
            <w:r w:rsidRPr="001C25D4">
              <w:rPr>
                <w:rFonts w:asciiTheme="majorBidi" w:hAnsiTheme="majorBidi" w:cstheme="majorBidi"/>
              </w:rPr>
              <w:fldChar w:fldCharType="separate"/>
            </w:r>
            <w:r w:rsidRPr="001764F9">
              <w:rPr>
                <w:rFonts w:asciiTheme="majorBidi" w:hAnsiTheme="majorBidi" w:cstheme="majorBidi"/>
                <w:noProof/>
              </w:rPr>
              <w:t>[66]</w:t>
            </w:r>
            <w:r w:rsidRPr="001C25D4">
              <w:rPr>
                <w:rFonts w:asciiTheme="majorBidi" w:hAnsiTheme="majorBidi" w:cstheme="majorBidi"/>
              </w:rPr>
              <w:fldChar w:fldCharType="end"/>
            </w:r>
          </w:p>
        </w:tc>
        <w:tc>
          <w:tcPr>
            <w:tcW w:w="1002" w:type="dxa"/>
          </w:tcPr>
          <w:p w14:paraId="1238CD41"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t>USA</w:t>
            </w:r>
          </w:p>
        </w:tc>
        <w:tc>
          <w:tcPr>
            <w:tcW w:w="1134" w:type="dxa"/>
          </w:tcPr>
          <w:p w14:paraId="2826F1CF"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t>Review</w:t>
            </w:r>
          </w:p>
        </w:tc>
        <w:tc>
          <w:tcPr>
            <w:tcW w:w="1001" w:type="dxa"/>
          </w:tcPr>
          <w:p w14:paraId="791758B4"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t>N/A</w:t>
            </w:r>
          </w:p>
        </w:tc>
        <w:tc>
          <w:tcPr>
            <w:tcW w:w="1566" w:type="dxa"/>
          </w:tcPr>
          <w:p w14:paraId="0FB2EEAD" w14:textId="77777777" w:rsidR="007C3E5D" w:rsidRPr="001C25D4" w:rsidRDefault="007C3E5D" w:rsidP="00881438">
            <w:pPr>
              <w:bidi w:val="0"/>
              <w:jc w:val="both"/>
              <w:rPr>
                <w:rFonts w:asciiTheme="majorBidi" w:hAnsiTheme="majorBidi" w:cstheme="majorBidi"/>
              </w:rPr>
            </w:pPr>
            <w:proofErr w:type="spellStart"/>
            <w:r w:rsidRPr="001C25D4">
              <w:rPr>
                <w:rFonts w:asciiTheme="majorBidi" w:hAnsiTheme="majorBidi" w:cstheme="majorBidi"/>
              </w:rPr>
              <w:t>Orthopaedic</w:t>
            </w:r>
            <w:proofErr w:type="spellEnd"/>
            <w:r w:rsidRPr="001C25D4">
              <w:rPr>
                <w:rFonts w:asciiTheme="majorBidi" w:hAnsiTheme="majorBidi" w:cstheme="majorBidi"/>
              </w:rPr>
              <w:t xml:space="preserve"> patients</w:t>
            </w:r>
          </w:p>
        </w:tc>
        <w:tc>
          <w:tcPr>
            <w:tcW w:w="1402" w:type="dxa"/>
          </w:tcPr>
          <w:p w14:paraId="5E7B0AEF"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t>Ethical dilemmas in palliative and end-of-life care</w:t>
            </w:r>
          </w:p>
        </w:tc>
        <w:tc>
          <w:tcPr>
            <w:tcW w:w="1701" w:type="dxa"/>
          </w:tcPr>
          <w:p w14:paraId="315F537C"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t>Multidisciplinary approach, patient-centered care</w:t>
            </w:r>
          </w:p>
        </w:tc>
        <w:tc>
          <w:tcPr>
            <w:tcW w:w="1701" w:type="dxa"/>
          </w:tcPr>
          <w:p w14:paraId="31127BAA"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t xml:space="preserve">Highlighted the importance of integrating palliative care principles and ethical considerations in </w:t>
            </w:r>
            <w:proofErr w:type="spellStart"/>
            <w:r w:rsidRPr="001C25D4">
              <w:rPr>
                <w:rFonts w:asciiTheme="majorBidi" w:hAnsiTheme="majorBidi" w:cstheme="majorBidi"/>
              </w:rPr>
              <w:t>orthopaedic</w:t>
            </w:r>
            <w:proofErr w:type="spellEnd"/>
            <w:r w:rsidRPr="001C25D4">
              <w:rPr>
                <w:rFonts w:asciiTheme="majorBidi" w:hAnsiTheme="majorBidi" w:cstheme="majorBidi"/>
              </w:rPr>
              <w:t xml:space="preserve"> nursing.</w:t>
            </w:r>
          </w:p>
        </w:tc>
        <w:tc>
          <w:tcPr>
            <w:tcW w:w="1453" w:type="dxa"/>
          </w:tcPr>
          <w:p w14:paraId="2D1EE467"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t>Justice, respect for persons, nonmaleficence, and beneficence</w:t>
            </w:r>
          </w:p>
        </w:tc>
        <w:tc>
          <w:tcPr>
            <w:tcW w:w="1524" w:type="dxa"/>
          </w:tcPr>
          <w:p w14:paraId="152D0D60"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t xml:space="preserve">Nurses must navigate ethical dilemmas effectively and advocate for the integration of palliative care principles in </w:t>
            </w:r>
            <w:proofErr w:type="spellStart"/>
            <w:r w:rsidRPr="001C25D4">
              <w:rPr>
                <w:rFonts w:asciiTheme="majorBidi" w:hAnsiTheme="majorBidi" w:cstheme="majorBidi"/>
              </w:rPr>
              <w:t>orthopaedic</w:t>
            </w:r>
            <w:proofErr w:type="spellEnd"/>
            <w:r w:rsidRPr="001C25D4">
              <w:rPr>
                <w:rFonts w:asciiTheme="majorBidi" w:hAnsiTheme="majorBidi" w:cstheme="majorBidi"/>
              </w:rPr>
              <w:t xml:space="preserve"> settings.</w:t>
            </w:r>
          </w:p>
        </w:tc>
        <w:tc>
          <w:tcPr>
            <w:tcW w:w="1667" w:type="dxa"/>
          </w:tcPr>
          <w:p w14:paraId="7C66DA10"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t xml:space="preserve">Further research on effective strategies for implementing ethical and palliative care principles in </w:t>
            </w:r>
            <w:proofErr w:type="spellStart"/>
            <w:r w:rsidRPr="001C25D4">
              <w:rPr>
                <w:rFonts w:asciiTheme="majorBidi" w:hAnsiTheme="majorBidi" w:cstheme="majorBidi"/>
              </w:rPr>
              <w:t>orthopaedic</w:t>
            </w:r>
            <w:proofErr w:type="spellEnd"/>
            <w:r w:rsidRPr="001C25D4">
              <w:rPr>
                <w:rFonts w:asciiTheme="majorBidi" w:hAnsiTheme="majorBidi" w:cstheme="majorBidi"/>
              </w:rPr>
              <w:t xml:space="preserve"> nursing practice.</w:t>
            </w:r>
          </w:p>
        </w:tc>
      </w:tr>
      <w:tr w:rsidR="007C3E5D" w:rsidRPr="001C25D4" w14:paraId="373F2B2B" w14:textId="77777777" w:rsidTr="00881438">
        <w:trPr>
          <w:trHeight w:val="699"/>
        </w:trPr>
        <w:tc>
          <w:tcPr>
            <w:tcW w:w="1267" w:type="dxa"/>
          </w:tcPr>
          <w:p w14:paraId="791DF2F9"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t>Lim and Kim, 2021</w:t>
            </w:r>
            <w:r w:rsidRPr="001C25D4">
              <w:rPr>
                <w:rFonts w:asciiTheme="majorBidi" w:hAnsiTheme="majorBidi" w:cstheme="majorBidi"/>
              </w:rPr>
              <w:fldChar w:fldCharType="begin" w:fldLock="1"/>
            </w:r>
            <w:r>
              <w:rPr>
                <w:rFonts w:asciiTheme="majorBidi" w:hAnsiTheme="majorBidi" w:cstheme="majorBidi"/>
              </w:rPr>
              <w:instrText>ADDIN CSL_CITATION {"citationItems":[{"id":"ITEM-1","itemData":{"DOI":"10.1186/s12910-021-00665-9","ISSN":"1472-6939","author":[{"dropping-particle":"","family":"Lim","given":"Arum","non-dropping-particle":"","parse-names":false,"suffix":""},{"dropping-particle":"","family":"Kim","given":"Sanghee","non-dropping-particle":"","parse-names":false,"suffix":""}],"container-title":"BMC Medical Ethics","id":"ITEM-1","issue":"1","issued":{"date-parts":[["2021","12","16"]]},"page":"94","title":"Nurses’ ethical decision-making during end of life care in South Korea: a cross-sectional descriptive survey","type":"article-journal","volume":"22"},"uris":["http://www.mendeley.com/documents/?uuid=70468d77-24e9-441c-8869-a8c9621ca7cc"]}],"mendeley":{"formattedCitation":"[61]","plainTextFormattedCitation":"[61]","previouslyFormattedCitation":"[61]"},"properties":{"noteIndex":0},"schema":"https://github.com/citation-style-language/schema/raw/master/csl-citation.json"}</w:instrText>
            </w:r>
            <w:r w:rsidRPr="001C25D4">
              <w:rPr>
                <w:rFonts w:asciiTheme="majorBidi" w:hAnsiTheme="majorBidi" w:cstheme="majorBidi"/>
              </w:rPr>
              <w:fldChar w:fldCharType="separate"/>
            </w:r>
            <w:r w:rsidRPr="001764F9">
              <w:rPr>
                <w:rFonts w:asciiTheme="majorBidi" w:hAnsiTheme="majorBidi" w:cstheme="majorBidi"/>
                <w:noProof/>
              </w:rPr>
              <w:t>[61]</w:t>
            </w:r>
            <w:r w:rsidRPr="001C25D4">
              <w:rPr>
                <w:rFonts w:asciiTheme="majorBidi" w:hAnsiTheme="majorBidi" w:cstheme="majorBidi"/>
              </w:rPr>
              <w:fldChar w:fldCharType="end"/>
            </w:r>
          </w:p>
        </w:tc>
        <w:tc>
          <w:tcPr>
            <w:tcW w:w="1002" w:type="dxa"/>
          </w:tcPr>
          <w:p w14:paraId="0CFF453A"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t>South Korea</w:t>
            </w:r>
          </w:p>
        </w:tc>
        <w:tc>
          <w:tcPr>
            <w:tcW w:w="1134" w:type="dxa"/>
          </w:tcPr>
          <w:p w14:paraId="380F84D5"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t>Cross-sectional descriptive survey</w:t>
            </w:r>
          </w:p>
        </w:tc>
        <w:tc>
          <w:tcPr>
            <w:tcW w:w="1001" w:type="dxa"/>
          </w:tcPr>
          <w:p w14:paraId="4667B326"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t>171</w:t>
            </w:r>
          </w:p>
        </w:tc>
        <w:tc>
          <w:tcPr>
            <w:tcW w:w="1566" w:type="dxa"/>
          </w:tcPr>
          <w:p w14:paraId="1350957E"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t>Nurses caring for terminal patients in a university hospital</w:t>
            </w:r>
          </w:p>
        </w:tc>
        <w:tc>
          <w:tcPr>
            <w:tcW w:w="1402" w:type="dxa"/>
          </w:tcPr>
          <w:p w14:paraId="1583D0B4"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t>Ethical decision-making in end-of-life care</w:t>
            </w:r>
          </w:p>
        </w:tc>
        <w:tc>
          <w:tcPr>
            <w:tcW w:w="1701" w:type="dxa"/>
          </w:tcPr>
          <w:p w14:paraId="7CEA3944"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t>Not specifically mentioned</w:t>
            </w:r>
          </w:p>
        </w:tc>
        <w:tc>
          <w:tcPr>
            <w:tcW w:w="1701" w:type="dxa"/>
          </w:tcPr>
          <w:p w14:paraId="40A3E887"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t xml:space="preserve">Nurses' moral sensitivity and ethical decision-making abilities were measured, revealing a need for improved ethics education and support services to enhance ethical </w:t>
            </w:r>
            <w:r w:rsidRPr="001C25D4">
              <w:rPr>
                <w:rFonts w:asciiTheme="majorBidi" w:hAnsiTheme="majorBidi" w:cstheme="majorBidi"/>
              </w:rPr>
              <w:lastRenderedPageBreak/>
              <w:t>decision-making in end-of-life care.</w:t>
            </w:r>
          </w:p>
        </w:tc>
        <w:tc>
          <w:tcPr>
            <w:tcW w:w="1453" w:type="dxa"/>
          </w:tcPr>
          <w:p w14:paraId="6B1C6293"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lastRenderedPageBreak/>
              <w:t>Moral sensitivity, professional accountability, moral reasoning/moral agency, and moral practice</w:t>
            </w:r>
          </w:p>
        </w:tc>
        <w:tc>
          <w:tcPr>
            <w:tcW w:w="1524" w:type="dxa"/>
          </w:tcPr>
          <w:p w14:paraId="3AFE91F2"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t xml:space="preserve">The study suggests enhancing ethics education and support for nurses to improve ethical decision-making in </w:t>
            </w:r>
            <w:r w:rsidRPr="001C25D4">
              <w:rPr>
                <w:rFonts w:asciiTheme="majorBidi" w:hAnsiTheme="majorBidi" w:cstheme="majorBidi"/>
              </w:rPr>
              <w:lastRenderedPageBreak/>
              <w:t>end-of-life care, highlighting the importance of moral sensitivity.</w:t>
            </w:r>
          </w:p>
        </w:tc>
        <w:tc>
          <w:tcPr>
            <w:tcW w:w="1667" w:type="dxa"/>
          </w:tcPr>
          <w:p w14:paraId="5331C429"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lastRenderedPageBreak/>
              <w:t xml:space="preserve">Further research could explore the impact of various educational and support interventions on nurses' ethical decision-making abilities in different </w:t>
            </w:r>
            <w:r w:rsidRPr="001C25D4">
              <w:rPr>
                <w:rFonts w:asciiTheme="majorBidi" w:hAnsiTheme="majorBidi" w:cstheme="majorBidi"/>
              </w:rPr>
              <w:lastRenderedPageBreak/>
              <w:t>healthcare settings.</w:t>
            </w:r>
          </w:p>
        </w:tc>
      </w:tr>
      <w:tr w:rsidR="007C3E5D" w:rsidRPr="001C25D4" w14:paraId="71C2BFAA" w14:textId="77777777" w:rsidTr="00881438">
        <w:trPr>
          <w:trHeight w:val="699"/>
        </w:trPr>
        <w:tc>
          <w:tcPr>
            <w:tcW w:w="1267" w:type="dxa"/>
          </w:tcPr>
          <w:p w14:paraId="0D67D509" w14:textId="77777777" w:rsidR="007C3E5D" w:rsidRPr="001C25D4" w:rsidRDefault="007C3E5D" w:rsidP="00881438">
            <w:pPr>
              <w:bidi w:val="0"/>
              <w:rPr>
                <w:rFonts w:asciiTheme="majorBidi" w:hAnsiTheme="majorBidi" w:cstheme="majorBidi"/>
              </w:rPr>
            </w:pPr>
            <w:r w:rsidRPr="0076590E">
              <w:rPr>
                <w:rFonts w:asciiTheme="majorBidi" w:hAnsiTheme="majorBidi" w:cstheme="majorBidi"/>
                <w:lang w:val="de-DE"/>
              </w:rPr>
              <w:lastRenderedPageBreak/>
              <w:t xml:space="preserve">Pablo Hernández-Marrero et al. </w:t>
            </w:r>
            <w:r w:rsidRPr="001D745E">
              <w:rPr>
                <w:rFonts w:asciiTheme="majorBidi" w:hAnsiTheme="majorBidi" w:cstheme="majorBidi"/>
              </w:rPr>
              <w:t>(2018)</w:t>
            </w:r>
            <w:r w:rsidRPr="001C25D4">
              <w:rPr>
                <w:rFonts w:asciiTheme="majorBidi" w:hAnsiTheme="majorBidi" w:cstheme="majorBidi"/>
              </w:rPr>
              <w:fldChar w:fldCharType="begin" w:fldLock="1"/>
            </w:r>
            <w:r>
              <w:rPr>
                <w:rFonts w:asciiTheme="majorBidi" w:hAnsiTheme="majorBidi" w:cstheme="majorBidi"/>
              </w:rPr>
              <w:instrText>ADDIN CSL_CITATION {"citationItems":[{"id":"ITEM-1","itemData":{"DOI":"10.1177/0969733018774610","ISSN":"0969-7330","author":[{"dropping-particle":"","family":"Hernández-Marrero","given":"Pablo","non-dropping-particle":"","parse-names":false,"suffix":""},{"dropping-particle":"","family":"Fradique","given":"Emília","non-dropping-particle":"","parse-names":false,"suffix":""},{"dropping-particle":"","family":"Pereira","given":"Sandra Martins","non-dropping-particle":"","parse-names":false,"suffix":""}],"container-title":"Nursing Ethics","id":"ITEM-1","issue":"6","issued":{"date-parts":[["2019","9","28"]]},"page":"1680-1695","title":"Palliative care nursing involvement in end-of-life decision-making: Qualitative secondary analysis","type":"article-journal","volume":"26"},"uris":["http://www.mendeley.com/documents/?uuid=89a8c8e3-ca16-41e4-b00d-f639165f4d11"]}],"mendeley":{"formattedCitation":"[64]","plainTextFormattedCitation":"[64]","previouslyFormattedCitation":"[64]"},"properties":{"noteIndex":0},"schema":"https://github.com/citation-style-language/schema/raw/master/csl-citation.json"}</w:instrText>
            </w:r>
            <w:r w:rsidRPr="001C25D4">
              <w:rPr>
                <w:rFonts w:asciiTheme="majorBidi" w:hAnsiTheme="majorBidi" w:cstheme="majorBidi"/>
              </w:rPr>
              <w:fldChar w:fldCharType="separate"/>
            </w:r>
            <w:r w:rsidRPr="001764F9">
              <w:rPr>
                <w:rFonts w:asciiTheme="majorBidi" w:hAnsiTheme="majorBidi" w:cstheme="majorBidi"/>
                <w:noProof/>
              </w:rPr>
              <w:t>[64]</w:t>
            </w:r>
            <w:r w:rsidRPr="001C25D4">
              <w:rPr>
                <w:rFonts w:asciiTheme="majorBidi" w:hAnsiTheme="majorBidi" w:cstheme="majorBidi"/>
              </w:rPr>
              <w:fldChar w:fldCharType="end"/>
            </w:r>
          </w:p>
        </w:tc>
        <w:tc>
          <w:tcPr>
            <w:tcW w:w="1002" w:type="dxa"/>
          </w:tcPr>
          <w:p w14:paraId="63646786" w14:textId="77777777" w:rsidR="007C3E5D" w:rsidRPr="001C25D4" w:rsidRDefault="007C3E5D" w:rsidP="00881438">
            <w:pPr>
              <w:bidi w:val="0"/>
              <w:rPr>
                <w:rFonts w:asciiTheme="majorBidi" w:hAnsiTheme="majorBidi" w:cstheme="majorBidi"/>
              </w:rPr>
            </w:pPr>
            <w:r w:rsidRPr="001D745E">
              <w:rPr>
                <w:rFonts w:asciiTheme="majorBidi" w:hAnsiTheme="majorBidi" w:cstheme="majorBidi"/>
              </w:rPr>
              <w:t>Portugal</w:t>
            </w:r>
          </w:p>
        </w:tc>
        <w:tc>
          <w:tcPr>
            <w:tcW w:w="1134" w:type="dxa"/>
          </w:tcPr>
          <w:p w14:paraId="1DE474CC" w14:textId="77777777" w:rsidR="007C3E5D" w:rsidRPr="001C25D4" w:rsidRDefault="007C3E5D" w:rsidP="00881438">
            <w:pPr>
              <w:bidi w:val="0"/>
              <w:rPr>
                <w:rFonts w:asciiTheme="majorBidi" w:hAnsiTheme="majorBidi" w:cstheme="majorBidi"/>
              </w:rPr>
            </w:pPr>
            <w:r w:rsidRPr="001D745E">
              <w:rPr>
                <w:rFonts w:asciiTheme="majorBidi" w:hAnsiTheme="majorBidi" w:cstheme="majorBidi"/>
              </w:rPr>
              <w:t>Qualitative secondary analysis</w:t>
            </w:r>
          </w:p>
        </w:tc>
        <w:tc>
          <w:tcPr>
            <w:tcW w:w="1001" w:type="dxa"/>
          </w:tcPr>
          <w:p w14:paraId="606165E9" w14:textId="77777777" w:rsidR="007C3E5D" w:rsidRPr="001C25D4" w:rsidRDefault="007C3E5D" w:rsidP="00881438">
            <w:pPr>
              <w:bidi w:val="0"/>
              <w:rPr>
                <w:rFonts w:asciiTheme="majorBidi" w:hAnsiTheme="majorBidi" w:cstheme="majorBidi"/>
              </w:rPr>
            </w:pPr>
            <w:r w:rsidRPr="001D745E">
              <w:rPr>
                <w:rFonts w:asciiTheme="majorBidi" w:hAnsiTheme="majorBidi" w:cstheme="majorBidi"/>
              </w:rPr>
              <w:t>32 interviews</w:t>
            </w:r>
          </w:p>
        </w:tc>
        <w:tc>
          <w:tcPr>
            <w:tcW w:w="1566" w:type="dxa"/>
          </w:tcPr>
          <w:p w14:paraId="138F9781" w14:textId="77777777" w:rsidR="007C3E5D" w:rsidRPr="001C25D4" w:rsidRDefault="007C3E5D" w:rsidP="00881438">
            <w:pPr>
              <w:bidi w:val="0"/>
              <w:rPr>
                <w:rFonts w:asciiTheme="majorBidi" w:hAnsiTheme="majorBidi" w:cstheme="majorBidi"/>
              </w:rPr>
            </w:pPr>
            <w:r w:rsidRPr="001D745E">
              <w:rPr>
                <w:rFonts w:asciiTheme="majorBidi" w:hAnsiTheme="majorBidi" w:cstheme="majorBidi"/>
              </w:rPr>
              <w:t>Nurses working in palliative care in Portugal</w:t>
            </w:r>
          </w:p>
        </w:tc>
        <w:tc>
          <w:tcPr>
            <w:tcW w:w="1402" w:type="dxa"/>
          </w:tcPr>
          <w:p w14:paraId="06B3ED02" w14:textId="77777777" w:rsidR="007C3E5D" w:rsidRPr="001C25D4" w:rsidRDefault="007C3E5D" w:rsidP="00881438">
            <w:pPr>
              <w:bidi w:val="0"/>
              <w:rPr>
                <w:rFonts w:asciiTheme="majorBidi" w:hAnsiTheme="majorBidi" w:cstheme="majorBidi"/>
              </w:rPr>
            </w:pPr>
            <w:r w:rsidRPr="001D745E">
              <w:rPr>
                <w:rFonts w:asciiTheme="majorBidi" w:hAnsiTheme="majorBidi" w:cstheme="majorBidi"/>
              </w:rPr>
              <w:t>Autonomy, disputed/controversial issues in end-of-life care</w:t>
            </w:r>
          </w:p>
        </w:tc>
        <w:tc>
          <w:tcPr>
            <w:tcW w:w="1701" w:type="dxa"/>
          </w:tcPr>
          <w:p w14:paraId="3F982198" w14:textId="77777777" w:rsidR="007C3E5D" w:rsidRPr="001C25D4" w:rsidRDefault="007C3E5D" w:rsidP="00881438">
            <w:pPr>
              <w:bidi w:val="0"/>
              <w:rPr>
                <w:rFonts w:asciiTheme="majorBidi" w:hAnsiTheme="majorBidi" w:cstheme="majorBidi"/>
              </w:rPr>
            </w:pPr>
            <w:r w:rsidRPr="001D745E">
              <w:rPr>
                <w:rFonts w:asciiTheme="majorBidi" w:hAnsiTheme="majorBidi" w:cstheme="majorBidi"/>
              </w:rPr>
              <w:t>Involvement in end-of-life decision-making, assessing patients' preferences, advance care planning</w:t>
            </w:r>
          </w:p>
        </w:tc>
        <w:tc>
          <w:tcPr>
            <w:tcW w:w="1701" w:type="dxa"/>
          </w:tcPr>
          <w:p w14:paraId="4A4DA314" w14:textId="77777777" w:rsidR="007C3E5D" w:rsidRPr="001C25D4" w:rsidRDefault="007C3E5D" w:rsidP="00881438">
            <w:pPr>
              <w:bidi w:val="0"/>
              <w:rPr>
                <w:rFonts w:asciiTheme="majorBidi" w:hAnsiTheme="majorBidi" w:cstheme="majorBidi"/>
              </w:rPr>
            </w:pPr>
            <w:r w:rsidRPr="001D745E">
              <w:rPr>
                <w:rFonts w:asciiTheme="majorBidi" w:hAnsiTheme="majorBidi" w:cstheme="majorBidi"/>
              </w:rPr>
              <w:t>Nurses value autonomy in end-of-life care and decision-making. Palliative sedation and communication are frequent disputed/controversial issues.</w:t>
            </w:r>
          </w:p>
        </w:tc>
        <w:tc>
          <w:tcPr>
            <w:tcW w:w="1453" w:type="dxa"/>
          </w:tcPr>
          <w:p w14:paraId="1F760E75" w14:textId="77777777" w:rsidR="007C3E5D" w:rsidRPr="001C25D4" w:rsidRDefault="007C3E5D" w:rsidP="00881438">
            <w:pPr>
              <w:bidi w:val="0"/>
              <w:rPr>
                <w:rFonts w:asciiTheme="majorBidi" w:hAnsiTheme="majorBidi" w:cstheme="majorBidi"/>
              </w:rPr>
            </w:pPr>
            <w:r w:rsidRPr="001D745E">
              <w:rPr>
                <w:rFonts w:asciiTheme="majorBidi" w:hAnsiTheme="majorBidi" w:cstheme="majorBidi"/>
              </w:rPr>
              <w:t>Autonomy, palliative sedation, communication</w:t>
            </w:r>
          </w:p>
        </w:tc>
        <w:tc>
          <w:tcPr>
            <w:tcW w:w="1524" w:type="dxa"/>
          </w:tcPr>
          <w:p w14:paraId="0F157054" w14:textId="77777777" w:rsidR="007C3E5D" w:rsidRPr="001C25D4" w:rsidRDefault="007C3E5D" w:rsidP="00881438">
            <w:pPr>
              <w:bidi w:val="0"/>
              <w:rPr>
                <w:rFonts w:asciiTheme="majorBidi" w:hAnsiTheme="majorBidi" w:cstheme="majorBidi"/>
              </w:rPr>
            </w:pPr>
            <w:r w:rsidRPr="001D745E">
              <w:rPr>
                <w:rFonts w:asciiTheme="majorBidi" w:hAnsiTheme="majorBidi" w:cstheme="majorBidi"/>
              </w:rPr>
              <w:t>Nurses working in palliative care are involved in end-of-life decision-making. Further research is needed on nurses' involvement and practices.</w:t>
            </w:r>
          </w:p>
        </w:tc>
        <w:tc>
          <w:tcPr>
            <w:tcW w:w="1667" w:type="dxa"/>
          </w:tcPr>
          <w:p w14:paraId="4483077A" w14:textId="77777777" w:rsidR="007C3E5D" w:rsidRPr="001C25D4" w:rsidRDefault="007C3E5D" w:rsidP="00881438">
            <w:pPr>
              <w:bidi w:val="0"/>
              <w:rPr>
                <w:rFonts w:asciiTheme="majorBidi" w:hAnsiTheme="majorBidi" w:cstheme="majorBidi"/>
              </w:rPr>
            </w:pPr>
            <w:r w:rsidRPr="001C25D4">
              <w:rPr>
                <w:rFonts w:asciiTheme="majorBidi" w:hAnsiTheme="majorBidi" w:cstheme="majorBidi"/>
              </w:rPr>
              <w:t>Research on nurses’ roles and ethical challenges in different cultural and healthcare settings to enhance palliative care practices.</w:t>
            </w:r>
          </w:p>
        </w:tc>
      </w:tr>
      <w:tr w:rsidR="007C3E5D" w:rsidRPr="001C25D4" w14:paraId="628CA05C" w14:textId="77777777" w:rsidTr="00881438">
        <w:trPr>
          <w:trHeight w:val="699"/>
        </w:trPr>
        <w:tc>
          <w:tcPr>
            <w:tcW w:w="1267" w:type="dxa"/>
          </w:tcPr>
          <w:p w14:paraId="573FCF9F"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t xml:space="preserve">Peggy </w:t>
            </w:r>
            <w:proofErr w:type="spellStart"/>
            <w:r w:rsidRPr="001C25D4">
              <w:rPr>
                <w:rFonts w:asciiTheme="majorBidi" w:hAnsiTheme="majorBidi" w:cstheme="majorBidi"/>
              </w:rPr>
              <w:t>Kalowes</w:t>
            </w:r>
            <w:proofErr w:type="spellEnd"/>
            <w:r w:rsidRPr="001C25D4">
              <w:rPr>
                <w:rFonts w:asciiTheme="majorBidi" w:hAnsiTheme="majorBidi" w:cstheme="majorBidi"/>
              </w:rPr>
              <w:t>, RN, PhD, CNS (2015)</w:t>
            </w:r>
            <w:r w:rsidRPr="001C25D4">
              <w:rPr>
                <w:rFonts w:asciiTheme="majorBidi" w:hAnsiTheme="majorBidi" w:cstheme="majorBidi"/>
              </w:rPr>
              <w:fldChar w:fldCharType="begin" w:fldLock="1"/>
            </w:r>
            <w:r>
              <w:rPr>
                <w:rFonts w:asciiTheme="majorBidi" w:hAnsiTheme="majorBidi" w:cstheme="majorBidi"/>
              </w:rPr>
              <w:instrText>ADDIN CSL_CITATION {"citationItems":[{"id":"ITEM-1","itemData":{"DOI":"10.1097/NCI.0000000000000086","ISSN":"1559-7768","author":[{"dropping-particle":"","family":"Kalowes","given":"Peggy","non-dropping-particle":"","parse-names":false,"suffix":""}],"container-title":"AACN Advanced Critical Care","id":"ITEM-1","issue":"2","issued":{"date-parts":[["2015"]]},"page":"151-166","title":"Improving End-of-Life Care Prognostic Discussions","type":"article-journal","volume":"26"},"uris":["http://www.mendeley.com/documents/?uuid=dec08708-da4f-44a2-9d8c-1d22c120be41"]}],"mendeley":{"formattedCitation":"[45]","plainTextFormattedCitation":"[45]","previouslyFormattedCitation":"[45]"},"properties":{"noteIndex":0},"schema":"https://github.com/citation-style-language/schema/raw/master/csl-citation.json"}</w:instrText>
            </w:r>
            <w:r w:rsidRPr="001C25D4">
              <w:rPr>
                <w:rFonts w:asciiTheme="majorBidi" w:hAnsiTheme="majorBidi" w:cstheme="majorBidi"/>
              </w:rPr>
              <w:fldChar w:fldCharType="separate"/>
            </w:r>
            <w:r w:rsidRPr="00350F9E">
              <w:rPr>
                <w:rFonts w:asciiTheme="majorBidi" w:hAnsiTheme="majorBidi" w:cstheme="majorBidi"/>
                <w:noProof/>
              </w:rPr>
              <w:t>[45]</w:t>
            </w:r>
            <w:r w:rsidRPr="001C25D4">
              <w:rPr>
                <w:rFonts w:asciiTheme="majorBidi" w:hAnsiTheme="majorBidi" w:cstheme="majorBidi"/>
              </w:rPr>
              <w:fldChar w:fldCharType="end"/>
            </w:r>
          </w:p>
        </w:tc>
        <w:tc>
          <w:tcPr>
            <w:tcW w:w="1002" w:type="dxa"/>
          </w:tcPr>
          <w:p w14:paraId="460CF222"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t>United States</w:t>
            </w:r>
          </w:p>
        </w:tc>
        <w:tc>
          <w:tcPr>
            <w:tcW w:w="1134" w:type="dxa"/>
          </w:tcPr>
          <w:p w14:paraId="79B1E75A"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t>Review of literature</w:t>
            </w:r>
          </w:p>
        </w:tc>
        <w:tc>
          <w:tcPr>
            <w:tcW w:w="1001" w:type="dxa"/>
          </w:tcPr>
          <w:p w14:paraId="39056234"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t xml:space="preserve"> NA</w:t>
            </w:r>
          </w:p>
        </w:tc>
        <w:tc>
          <w:tcPr>
            <w:tcW w:w="1566" w:type="dxa"/>
          </w:tcPr>
          <w:p w14:paraId="1E953E22"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t>Critically ill patients with advanced progressive illnesses nearing end of life</w:t>
            </w:r>
          </w:p>
        </w:tc>
        <w:tc>
          <w:tcPr>
            <w:tcW w:w="1402" w:type="dxa"/>
          </w:tcPr>
          <w:p w14:paraId="5E7D5EA3"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t>Improving communication about prognosis, goals of care, and end-of-life issues</w:t>
            </w:r>
          </w:p>
        </w:tc>
        <w:tc>
          <w:tcPr>
            <w:tcW w:w="1701" w:type="dxa"/>
          </w:tcPr>
          <w:p w14:paraId="0AA48D94"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t xml:space="preserve">Role of advanced practice nurses in leading conversations about disease trajectory, prognostic scoring, goals of care; empowering nurses with knowledge to improve quality of end-of-life </w:t>
            </w:r>
            <w:r w:rsidRPr="001C25D4">
              <w:rPr>
                <w:rFonts w:asciiTheme="majorBidi" w:hAnsiTheme="majorBidi" w:cstheme="majorBidi"/>
              </w:rPr>
              <w:lastRenderedPageBreak/>
              <w:t>care</w:t>
            </w:r>
          </w:p>
        </w:tc>
        <w:tc>
          <w:tcPr>
            <w:tcW w:w="1701" w:type="dxa"/>
          </w:tcPr>
          <w:p w14:paraId="65D80BA1"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lastRenderedPageBreak/>
              <w:t xml:space="preserve">Barriers to prognostic discussions include physician hesitancy and lack of open communication; tools like prognostic scoring systems and understanding illness trajectories can </w:t>
            </w:r>
            <w:r w:rsidRPr="001C25D4">
              <w:rPr>
                <w:rFonts w:asciiTheme="majorBidi" w:hAnsiTheme="majorBidi" w:cstheme="majorBidi"/>
              </w:rPr>
              <w:lastRenderedPageBreak/>
              <w:t>help improve accuracy of discussions; early palliative care involvement is important</w:t>
            </w:r>
          </w:p>
        </w:tc>
        <w:tc>
          <w:tcPr>
            <w:tcW w:w="1453" w:type="dxa"/>
          </w:tcPr>
          <w:p w14:paraId="2C43076A"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lastRenderedPageBreak/>
              <w:t xml:space="preserve">Importance of consistent, open communication across disease trajectory; opportunities for nurses/APRNs to lead these discussions; using tools like </w:t>
            </w:r>
            <w:r w:rsidRPr="001C25D4">
              <w:rPr>
                <w:rFonts w:asciiTheme="majorBidi" w:hAnsiTheme="majorBidi" w:cstheme="majorBidi"/>
              </w:rPr>
              <w:lastRenderedPageBreak/>
              <w:t>prognostic scoring and understanding trajectories can improve quality of discussions</w:t>
            </w:r>
          </w:p>
        </w:tc>
        <w:tc>
          <w:tcPr>
            <w:tcW w:w="1524" w:type="dxa"/>
          </w:tcPr>
          <w:p w14:paraId="228044E0"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lastRenderedPageBreak/>
              <w:t xml:space="preserve">Nurses/APRNs should take leadership role in communicating prognostic information and facilitating goals of care discussions; understanding trajectories, prognostic systems, </w:t>
            </w:r>
            <w:r w:rsidRPr="001C25D4">
              <w:rPr>
                <w:rFonts w:asciiTheme="majorBidi" w:hAnsiTheme="majorBidi" w:cstheme="majorBidi"/>
              </w:rPr>
              <w:lastRenderedPageBreak/>
              <w:t>functional status can empower them to do so</w:t>
            </w:r>
          </w:p>
        </w:tc>
        <w:tc>
          <w:tcPr>
            <w:tcW w:w="1667" w:type="dxa"/>
          </w:tcPr>
          <w:p w14:paraId="2DDF1746"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lastRenderedPageBreak/>
              <w:t xml:space="preserve">Assessing impact of interventions to improve consistency and accuracy of prognostic discussions; evaluating effects of early palliative care involvement on outcomes; exploring most effective </w:t>
            </w:r>
            <w:r w:rsidRPr="001C25D4">
              <w:rPr>
                <w:rFonts w:asciiTheme="majorBidi" w:hAnsiTheme="majorBidi" w:cstheme="majorBidi"/>
              </w:rPr>
              <w:lastRenderedPageBreak/>
              <w:t>communication strategies across settings/cultures</w:t>
            </w:r>
          </w:p>
        </w:tc>
      </w:tr>
      <w:tr w:rsidR="007C3E5D" w:rsidRPr="001C25D4" w14:paraId="6FFD07F3" w14:textId="77777777" w:rsidTr="00881438">
        <w:trPr>
          <w:trHeight w:val="699"/>
        </w:trPr>
        <w:tc>
          <w:tcPr>
            <w:tcW w:w="1267" w:type="dxa"/>
          </w:tcPr>
          <w:p w14:paraId="47F0D1A6"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lastRenderedPageBreak/>
              <w:t>Terrah L. et al., (2010)</w:t>
            </w:r>
            <w:r w:rsidRPr="001C25D4">
              <w:rPr>
                <w:rFonts w:asciiTheme="majorBidi" w:hAnsiTheme="majorBidi" w:cstheme="majorBidi"/>
              </w:rPr>
              <w:fldChar w:fldCharType="begin" w:fldLock="1"/>
            </w:r>
            <w:r>
              <w:rPr>
                <w:rFonts w:asciiTheme="majorBidi" w:hAnsiTheme="majorBidi" w:cstheme="majorBidi"/>
              </w:rPr>
              <w:instrText>ADDIN CSL_CITATION {"citationItems":[{"id":"ITEM-1","itemData":{"DOI":"10.1016/j.soncn.2010.08.003","ISSN":"07492081","author":[{"dropping-particle":"","family":"Foster","given":"Terrah L.","non-dropping-particle":"","parse-names":false,"suffix":""},{"dropping-particle":"","family":"Lafond","given":"Deborah A.","non-dropping-particle":"","parse-names":false,"suffix":""},{"dropping-particle":"","family":"Reggio","given":"Cheryl","non-dropping-particle":"","parse-names":false,"suffix":""},{"dropping-particle":"","family":"Hinds","given":"Pamela S.","non-dropping-particle":"","parse-names":false,"suffix":""}],"container-title":"Seminars in Oncology Nursing","id":"ITEM-1","issue":"4","issued":{"date-parts":[["2010","11"]]},"page":"205-221","title":"Pediatric Palliative Care in Childhood Cancer Nursing: From Diagnosis to Cure or End of Life","type":"article-journal","volume":"26"},"uris":["http://www.mendeley.com/documents/?uuid=8f265bea-335e-4b19-b655-aeb22cfb4191"]}],"mendeley":{"formattedCitation":"[55]","plainTextFormattedCitation":"[55]","previouslyFormattedCitation":"[55]"},"properties":{"noteIndex":0},"schema":"https://github.com/citation-style-language/schema/raw/master/csl-citation.json"}</w:instrText>
            </w:r>
            <w:r w:rsidRPr="001C25D4">
              <w:rPr>
                <w:rFonts w:asciiTheme="majorBidi" w:hAnsiTheme="majorBidi" w:cstheme="majorBidi"/>
              </w:rPr>
              <w:fldChar w:fldCharType="separate"/>
            </w:r>
            <w:r w:rsidRPr="001764F9">
              <w:rPr>
                <w:rFonts w:asciiTheme="majorBidi" w:hAnsiTheme="majorBidi" w:cstheme="majorBidi"/>
                <w:noProof/>
              </w:rPr>
              <w:t>[55]</w:t>
            </w:r>
            <w:r w:rsidRPr="001C25D4">
              <w:rPr>
                <w:rFonts w:asciiTheme="majorBidi" w:hAnsiTheme="majorBidi" w:cstheme="majorBidi"/>
              </w:rPr>
              <w:fldChar w:fldCharType="end"/>
            </w:r>
          </w:p>
        </w:tc>
        <w:tc>
          <w:tcPr>
            <w:tcW w:w="1002" w:type="dxa"/>
          </w:tcPr>
          <w:p w14:paraId="7CA79A2E"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t>United States</w:t>
            </w:r>
          </w:p>
        </w:tc>
        <w:tc>
          <w:tcPr>
            <w:tcW w:w="1134" w:type="dxa"/>
          </w:tcPr>
          <w:p w14:paraId="44D2BE7D"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t>Literature review</w:t>
            </w:r>
          </w:p>
        </w:tc>
        <w:tc>
          <w:tcPr>
            <w:tcW w:w="1001" w:type="dxa"/>
          </w:tcPr>
          <w:p w14:paraId="63E28AEA"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t>N/A</w:t>
            </w:r>
          </w:p>
        </w:tc>
        <w:tc>
          <w:tcPr>
            <w:tcW w:w="1566" w:type="dxa"/>
          </w:tcPr>
          <w:p w14:paraId="04F8141E"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t>Children with cancer and their families cared for from diagnosis to cure or end of life</w:t>
            </w:r>
          </w:p>
        </w:tc>
        <w:tc>
          <w:tcPr>
            <w:tcW w:w="1402" w:type="dxa"/>
          </w:tcPr>
          <w:p w14:paraId="3C2885F6"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t>Achieving goals of palliative care through promoting communication, culture/spirituality, ethics, and managing symptoms</w:t>
            </w:r>
          </w:p>
        </w:tc>
        <w:tc>
          <w:tcPr>
            <w:tcW w:w="1701" w:type="dxa"/>
          </w:tcPr>
          <w:p w14:paraId="79A7F7A5"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t>Various care delivery models; managing family effects, culture/spirituality, communication, ethics; anticipating end-of-life issues</w:t>
            </w:r>
          </w:p>
        </w:tc>
        <w:tc>
          <w:tcPr>
            <w:tcW w:w="1701" w:type="dxa"/>
          </w:tcPr>
          <w:p w14:paraId="3BD46782"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t>Barriers include physician hesitancy, lack of communication; prognostic tools and understanding trajectories improves discussions; early palliative care involvement is important</w:t>
            </w:r>
          </w:p>
        </w:tc>
        <w:tc>
          <w:tcPr>
            <w:tcW w:w="1453" w:type="dxa"/>
          </w:tcPr>
          <w:p w14:paraId="5E93B5B9"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t>Importance of consistent communication across illness; nurses' role in facilitating discussions using tools like prognostic systems; anticipating end-of-life issues like symptoms, hopefulness, parenting, legacy-making</w:t>
            </w:r>
          </w:p>
        </w:tc>
        <w:tc>
          <w:tcPr>
            <w:tcW w:w="1524" w:type="dxa"/>
          </w:tcPr>
          <w:p w14:paraId="63AF6FB1"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t>Nurses should take a leadership role in communicating prognostic information and facilitating goals of care discussions using appropriate tools</w:t>
            </w:r>
          </w:p>
        </w:tc>
        <w:tc>
          <w:tcPr>
            <w:tcW w:w="1667" w:type="dxa"/>
          </w:tcPr>
          <w:p w14:paraId="5C5CD24F"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t>Further research on symptom distress, hopefulness, parenting experiences, continuing bonds; assessing impact of improving consistency and accuracy of prognostic discussions; evaluating effects of early palliative care involvement</w:t>
            </w:r>
          </w:p>
        </w:tc>
      </w:tr>
      <w:tr w:rsidR="007C3E5D" w:rsidRPr="001C25D4" w14:paraId="18014DA2" w14:textId="77777777" w:rsidTr="00881438">
        <w:trPr>
          <w:trHeight w:val="699"/>
        </w:trPr>
        <w:tc>
          <w:tcPr>
            <w:tcW w:w="1267" w:type="dxa"/>
          </w:tcPr>
          <w:p w14:paraId="5926DAA7" w14:textId="77777777" w:rsidR="007C3E5D" w:rsidRPr="001C25D4" w:rsidRDefault="007C3E5D" w:rsidP="00881438">
            <w:pPr>
              <w:bidi w:val="0"/>
              <w:jc w:val="both"/>
              <w:rPr>
                <w:rFonts w:asciiTheme="majorBidi" w:hAnsiTheme="majorBidi" w:cstheme="majorBidi"/>
                <w:lang w:val="it-IT"/>
              </w:rPr>
            </w:pPr>
            <w:r w:rsidRPr="001C25D4">
              <w:rPr>
                <w:rFonts w:asciiTheme="majorBidi" w:hAnsiTheme="majorBidi" w:cstheme="majorBidi"/>
                <w:lang w:val="it-IT"/>
              </w:rPr>
              <w:t xml:space="preserve">Aura Alexandra </w:t>
            </w:r>
            <w:r w:rsidRPr="001C25D4">
              <w:rPr>
                <w:rFonts w:asciiTheme="majorBidi" w:hAnsiTheme="majorBidi" w:cstheme="majorBidi"/>
              </w:rPr>
              <w:t>et al.,</w:t>
            </w:r>
            <w:r w:rsidRPr="001C25D4">
              <w:rPr>
                <w:rFonts w:asciiTheme="majorBidi" w:hAnsiTheme="majorBidi" w:cstheme="majorBidi"/>
                <w:lang w:val="it-IT"/>
              </w:rPr>
              <w:t xml:space="preserve"> (2020)</w:t>
            </w:r>
            <w:r w:rsidRPr="001C25D4">
              <w:rPr>
                <w:rFonts w:asciiTheme="majorBidi" w:hAnsiTheme="majorBidi" w:cstheme="majorBidi"/>
                <w:lang w:val="it-IT"/>
              </w:rPr>
              <w:fldChar w:fldCharType="begin" w:fldLock="1"/>
            </w:r>
            <w:r>
              <w:rPr>
                <w:rFonts w:asciiTheme="majorBidi" w:hAnsiTheme="majorBidi" w:cstheme="majorBidi"/>
                <w:lang w:val="it-IT"/>
              </w:rPr>
              <w:instrText>ADDIN CSL_CITATION {"citationItems":[{"id":"ITEM-1","itemData":{"DOI":"10.1016/j.ejon.2020.101856","ISSN":"14623889","author":[{"dropping-particle":"","family":"Angheluta","given":"Aura Alexandra","non-dropping-particle":"","parse-names":false,"suffix":""},{"dropping-particle":"","family":"Gonella","given":"Silvia","non-dropping-particle":"","parse-names":false,"suffix":""},{"dropping-particle":"","family":"Sgubin","given":"Caterina","non-dropping-particle":"","parse-names":false,"suffix":""},{"dropping-particle":"","family":"Dimonte","given":"Valerio","non-dropping-particle":"","parse-names":false,"suffix":""},{"dropping-particle":"","family":"Bin","given":"Alessandra","non-dropping-particle":"","parse-names":false,"suffix":""},{"dropping-particle":"","family":"Palese","given":"Alvisa","non-dropping-particle":"","parse-names":false,"suffix":""}],"container-title":"European Journal of Oncology Nursing","id":"ITEM-1","issued":{"date-parts":[["2020","12"]]},"page":"101856","title":"When and how clinical nurses adjust nursing care at the end-of-life among patients with cancer: Findings from multiple focus groups","type":"article-journal","volume":"49"},"uris":["http://www.mendeley.com/documents/?uuid=2ce5965d-3bce-42e8-843e-fee6ce4f5406"]}],"mendeley":{"formattedCitation":"[65]","plainTextFormattedCitation":"[65]","previouslyFormattedCitation":"[65]"},"properties":{"noteIndex":0},"schema":"https://github.com/citation-style-language/schema/raw/master/csl-citation.json"}</w:instrText>
            </w:r>
            <w:r w:rsidRPr="001C25D4">
              <w:rPr>
                <w:rFonts w:asciiTheme="majorBidi" w:hAnsiTheme="majorBidi" w:cstheme="majorBidi"/>
                <w:lang w:val="it-IT"/>
              </w:rPr>
              <w:fldChar w:fldCharType="separate"/>
            </w:r>
            <w:r w:rsidRPr="001764F9">
              <w:rPr>
                <w:rFonts w:asciiTheme="majorBidi" w:hAnsiTheme="majorBidi" w:cstheme="majorBidi"/>
                <w:noProof/>
                <w:lang w:val="it-IT"/>
              </w:rPr>
              <w:t>[65]</w:t>
            </w:r>
            <w:r w:rsidRPr="001C25D4">
              <w:rPr>
                <w:rFonts w:asciiTheme="majorBidi" w:hAnsiTheme="majorBidi" w:cstheme="majorBidi"/>
                <w:lang w:val="it-IT"/>
              </w:rPr>
              <w:fldChar w:fldCharType="end"/>
            </w:r>
          </w:p>
        </w:tc>
        <w:tc>
          <w:tcPr>
            <w:tcW w:w="1002" w:type="dxa"/>
          </w:tcPr>
          <w:p w14:paraId="429F2FBB"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t>Italy</w:t>
            </w:r>
          </w:p>
        </w:tc>
        <w:tc>
          <w:tcPr>
            <w:tcW w:w="1134" w:type="dxa"/>
          </w:tcPr>
          <w:p w14:paraId="6FF6E475"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t>Qualitative study using focus group methodology</w:t>
            </w:r>
          </w:p>
        </w:tc>
        <w:tc>
          <w:tcPr>
            <w:tcW w:w="1001" w:type="dxa"/>
          </w:tcPr>
          <w:p w14:paraId="6DA7604D"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t>41 nurses (25 RNs, 16 NAs) across 7 facilities</w:t>
            </w:r>
          </w:p>
        </w:tc>
        <w:tc>
          <w:tcPr>
            <w:tcW w:w="1566" w:type="dxa"/>
          </w:tcPr>
          <w:p w14:paraId="4926574B"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t>Nurses (RNs and NAs) caring for patients at end of life, mainly with cancer</w:t>
            </w:r>
          </w:p>
        </w:tc>
        <w:tc>
          <w:tcPr>
            <w:tcW w:w="1402" w:type="dxa"/>
          </w:tcPr>
          <w:p w14:paraId="5EEFB2AF"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t>N/A</w:t>
            </w:r>
          </w:p>
        </w:tc>
        <w:tc>
          <w:tcPr>
            <w:tcW w:w="1701" w:type="dxa"/>
          </w:tcPr>
          <w:p w14:paraId="2CA6C6A2"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t>Timing and decision-making processes around adjusting end-of-life care plans</w:t>
            </w:r>
          </w:p>
        </w:tc>
        <w:tc>
          <w:tcPr>
            <w:tcW w:w="1701" w:type="dxa"/>
          </w:tcPr>
          <w:p w14:paraId="151EED47"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t xml:space="preserve">Care plan adjustments based on detection of deterioration and continuous changes; strategies </w:t>
            </w:r>
            <w:r w:rsidRPr="001C25D4">
              <w:rPr>
                <w:rFonts w:asciiTheme="majorBidi" w:hAnsiTheme="majorBidi" w:cstheme="majorBidi"/>
              </w:rPr>
              <w:lastRenderedPageBreak/>
              <w:t>include weighing interventions, advocating for patients, sharing decisions, involving family, allowing flexibility</w:t>
            </w:r>
          </w:p>
        </w:tc>
        <w:tc>
          <w:tcPr>
            <w:tcW w:w="1453" w:type="dxa"/>
          </w:tcPr>
          <w:p w14:paraId="5E8167A7"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lastRenderedPageBreak/>
              <w:t xml:space="preserve">"When" (detecting turning points, continuous changes) and "How" (weighing </w:t>
            </w:r>
            <w:r w:rsidRPr="001C25D4">
              <w:rPr>
                <w:rFonts w:asciiTheme="majorBidi" w:hAnsiTheme="majorBidi" w:cstheme="majorBidi"/>
              </w:rPr>
              <w:lastRenderedPageBreak/>
              <w:t>interventions, advocating, sharing decisions, involving family, flexibility) to adjust care plans</w:t>
            </w:r>
          </w:p>
        </w:tc>
        <w:tc>
          <w:tcPr>
            <w:tcW w:w="1524" w:type="dxa"/>
          </w:tcPr>
          <w:p w14:paraId="2572479D"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lastRenderedPageBreak/>
              <w:t xml:space="preserve">Understanding implicit decision-making can improve quality of end-of-life care by preventing </w:t>
            </w:r>
            <w:r w:rsidRPr="001C25D4">
              <w:rPr>
                <w:rFonts w:asciiTheme="majorBidi" w:hAnsiTheme="majorBidi" w:cstheme="majorBidi"/>
              </w:rPr>
              <w:lastRenderedPageBreak/>
              <w:t>delays</w:t>
            </w:r>
          </w:p>
        </w:tc>
        <w:tc>
          <w:tcPr>
            <w:tcW w:w="1667" w:type="dxa"/>
          </w:tcPr>
          <w:p w14:paraId="2C3212A0"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lastRenderedPageBreak/>
              <w:t xml:space="preserve">Exploring influence of culture; comparing novice and experienced nurses; considering </w:t>
            </w:r>
            <w:r w:rsidRPr="001C25D4">
              <w:rPr>
                <w:rFonts w:asciiTheme="majorBidi" w:hAnsiTheme="majorBidi" w:cstheme="majorBidi"/>
              </w:rPr>
              <w:lastRenderedPageBreak/>
              <w:t>other health conditions; increasing sample diversity</w:t>
            </w:r>
          </w:p>
        </w:tc>
      </w:tr>
      <w:tr w:rsidR="007C3E5D" w:rsidRPr="001C25D4" w14:paraId="471F314D" w14:textId="77777777" w:rsidTr="00881438">
        <w:trPr>
          <w:trHeight w:val="699"/>
        </w:trPr>
        <w:tc>
          <w:tcPr>
            <w:tcW w:w="1267" w:type="dxa"/>
          </w:tcPr>
          <w:p w14:paraId="050BFA99"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lastRenderedPageBreak/>
              <w:t>Rebecca J Anderson et al., (2019)</w:t>
            </w:r>
            <w:r w:rsidRPr="001C25D4">
              <w:rPr>
                <w:rFonts w:asciiTheme="majorBidi" w:hAnsiTheme="majorBidi" w:cstheme="majorBidi"/>
              </w:rPr>
              <w:fldChar w:fldCharType="begin" w:fldLock="1"/>
            </w:r>
            <w:r>
              <w:rPr>
                <w:rFonts w:asciiTheme="majorBidi" w:hAnsiTheme="majorBidi" w:cstheme="majorBidi"/>
              </w:rPr>
              <w:instrText>ADDIN CSL_CITATION {"citationItems":[{"id":"ITEM-1","itemData":{"DOI":"10.1177/0269216319852007","ISSN":"0269-2163","author":[{"dropping-particle":"","family":"Anderson","given":"Rebecca J","non-dropping-particle":"","parse-names":false,"suffix":""},{"dropping-particle":"","family":"Bloch","given":"Steven","non-dropping-particle":"","parse-names":false,"suffix":""},{"dropping-particle":"","family":"Armstrong","given":"Megan","non-dropping-particle":"","parse-names":false,"suffix":""},{"dropping-particle":"","family":"Stone","given":"Patrick C","non-dropping-particle":"","parse-names":false,"suffix":""},{"dropping-particle":"","family":"Low","given":"Joseph TS","non-dropping-particle":"","parse-names":false,"suffix":""}],"container-title":"Palliative Medicine","id":"ITEM-1","issue":"8","issued":{"date-parts":[["2019","9","11"]]},"page":"926-941","title":"Communication between healthcare professionals and relatives of patients approaching the end-of-life: A systematic review of qualitative evidence","type":"article-journal","volume":"33"},"uris":["http://www.mendeley.com/documents/?uuid=643c9cc9-efe8-4ea8-aff4-41c2b6474600"]}],"mendeley":{"formattedCitation":"[17]","plainTextFormattedCitation":"[17]","previouslyFormattedCitation":"[17]"},"properties":{"noteIndex":0},"schema":"https://github.com/citation-style-language/schema/raw/master/csl-citation.json"}</w:instrText>
            </w:r>
            <w:r w:rsidRPr="001C25D4">
              <w:rPr>
                <w:rFonts w:asciiTheme="majorBidi" w:hAnsiTheme="majorBidi" w:cstheme="majorBidi"/>
              </w:rPr>
              <w:fldChar w:fldCharType="separate"/>
            </w:r>
            <w:r w:rsidRPr="008E0B97">
              <w:rPr>
                <w:rFonts w:asciiTheme="majorBidi" w:hAnsiTheme="majorBidi" w:cstheme="majorBidi"/>
                <w:noProof/>
              </w:rPr>
              <w:t>[17]</w:t>
            </w:r>
            <w:r w:rsidRPr="001C25D4">
              <w:rPr>
                <w:rFonts w:asciiTheme="majorBidi" w:hAnsiTheme="majorBidi" w:cstheme="majorBidi"/>
              </w:rPr>
              <w:fldChar w:fldCharType="end"/>
            </w:r>
          </w:p>
        </w:tc>
        <w:tc>
          <w:tcPr>
            <w:tcW w:w="1002" w:type="dxa"/>
          </w:tcPr>
          <w:p w14:paraId="379982A5"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t>Multiple countries (USA, UK, Japan, Sweden, Canada, Australia, Hong Kong)</w:t>
            </w:r>
          </w:p>
        </w:tc>
        <w:tc>
          <w:tcPr>
            <w:tcW w:w="1134" w:type="dxa"/>
          </w:tcPr>
          <w:p w14:paraId="1735BD39"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t>Qualitative systematic review</w:t>
            </w:r>
          </w:p>
        </w:tc>
        <w:tc>
          <w:tcPr>
            <w:tcW w:w="1001" w:type="dxa"/>
          </w:tcPr>
          <w:p w14:paraId="03A8FFEA"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t>31 articles</w:t>
            </w:r>
          </w:p>
        </w:tc>
        <w:tc>
          <w:tcPr>
            <w:tcW w:w="1566" w:type="dxa"/>
          </w:tcPr>
          <w:p w14:paraId="056E5D13"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t>Healthcare professionals and bereaved relatives</w:t>
            </w:r>
          </w:p>
        </w:tc>
        <w:tc>
          <w:tcPr>
            <w:tcW w:w="1402" w:type="dxa"/>
          </w:tcPr>
          <w:p w14:paraId="75F543B1"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t>N/A</w:t>
            </w:r>
          </w:p>
        </w:tc>
        <w:tc>
          <w:tcPr>
            <w:tcW w:w="1701" w:type="dxa"/>
          </w:tcPr>
          <w:p w14:paraId="5D32DA6E"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t>Communication about prognosis and end-of-life care between HCPs and relatives</w:t>
            </w:r>
          </w:p>
        </w:tc>
        <w:tc>
          <w:tcPr>
            <w:tcW w:w="1701" w:type="dxa"/>
          </w:tcPr>
          <w:p w14:paraId="02F294FE"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t>Common communication strategies include highlighting deterioration, involvement in decision-making, interactional work, tailoring, honesty/clarity, information delivery techniques, HCP roles</w:t>
            </w:r>
          </w:p>
        </w:tc>
        <w:tc>
          <w:tcPr>
            <w:tcW w:w="1453" w:type="dxa"/>
          </w:tcPr>
          <w:p w14:paraId="2F4A7E62"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t>Highlighting deterioration, involvement in decision-making, post-decision interactional work, tailoring, honesty and clarity, specific techniques, HCP roles</w:t>
            </w:r>
          </w:p>
        </w:tc>
        <w:tc>
          <w:tcPr>
            <w:tcW w:w="1524" w:type="dxa"/>
          </w:tcPr>
          <w:p w14:paraId="57DF5297"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t>Provides recommendations to help HCPs apply strategies</w:t>
            </w:r>
          </w:p>
        </w:tc>
        <w:tc>
          <w:tcPr>
            <w:tcW w:w="1667" w:type="dxa"/>
          </w:tcPr>
          <w:p w14:paraId="2D70454C" w14:textId="77777777" w:rsidR="007C3E5D" w:rsidRPr="001C25D4" w:rsidRDefault="007C3E5D" w:rsidP="00881438">
            <w:pPr>
              <w:bidi w:val="0"/>
              <w:jc w:val="both"/>
              <w:rPr>
                <w:rFonts w:asciiTheme="majorBidi" w:hAnsiTheme="majorBidi" w:cstheme="majorBidi"/>
              </w:rPr>
            </w:pPr>
            <w:r w:rsidRPr="001C25D4">
              <w:rPr>
                <w:rFonts w:asciiTheme="majorBidi" w:hAnsiTheme="majorBidi" w:cstheme="majorBidi"/>
              </w:rPr>
              <w:t>More research on communication in palliative care settings, with different HCPs, exploring culture/context, quantitative testing of communication interventions</w:t>
            </w:r>
          </w:p>
        </w:tc>
      </w:tr>
      <w:tr w:rsidR="007C3E5D" w:rsidRPr="001C25D4" w14:paraId="611550F5" w14:textId="77777777" w:rsidTr="00881438">
        <w:trPr>
          <w:trHeight w:val="699"/>
        </w:trPr>
        <w:tc>
          <w:tcPr>
            <w:tcW w:w="1267" w:type="dxa"/>
          </w:tcPr>
          <w:p w14:paraId="12B335C3"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Linda Heino, et al., (2021)</w:t>
            </w:r>
            <w:r w:rsidRPr="001C25D4">
              <w:rPr>
                <w:rFonts w:asciiTheme="majorBidi" w:eastAsia="Times New Roman" w:hAnsiTheme="majorBidi" w:cstheme="majorBidi"/>
                <w:kern w:val="0"/>
                <w14:ligatures w14:val="none"/>
              </w:rPr>
              <w:fldChar w:fldCharType="begin" w:fldLock="1"/>
            </w:r>
            <w:r>
              <w:rPr>
                <w:rFonts w:asciiTheme="majorBidi" w:eastAsia="Times New Roman" w:hAnsiTheme="majorBidi" w:cstheme="majorBidi"/>
                <w:kern w:val="0"/>
                <w14:ligatures w14:val="none"/>
              </w:rPr>
              <w:instrText>ADDIN CSL_CITATION {"citationItems":[{"id":"ITEM-1","itemData":{"DOI":"10.1016/j.ijnurstu.2020.103859","ISSN":"00207489","author":[{"dropping-particle":"","family":"Heino","given":"Linda","non-dropping-particle":"","parse-names":false,"suffix":""},{"dropping-particle":"","family":"Stolt","given":"Minna","non-dropping-particle":"","parse-names":false,"suffix":""},{"dropping-particle":"","family":"Haavisto","given":"Elina","non-dropping-particle":"","parse-names":false,"suffix":""}],"container-title":"International Journal of Nursing Studies","id":"ITEM-1","issued":{"date-parts":[["2021","5"]]},"page":"103859","title":"The practices and attitudes of nurses regarding palliative sedation: A scoping review","type":"article-journal","volume":"117"},"uris":["http://www.mendeley.com/documents/?uuid=b27f4611-5458-45a4-a2f9-fa8a7634884f"]}],"mendeley":{"formattedCitation":"[46]","plainTextFormattedCitation":"[46]","previouslyFormattedCitation":"[46]"},"properties":{"noteIndex":0},"schema":"https://github.com/citation-style-language/schema/raw/master/csl-citation.json"}</w:instrText>
            </w:r>
            <w:r w:rsidRPr="001C25D4">
              <w:rPr>
                <w:rFonts w:asciiTheme="majorBidi" w:eastAsia="Times New Roman" w:hAnsiTheme="majorBidi" w:cstheme="majorBidi"/>
                <w:kern w:val="0"/>
                <w14:ligatures w14:val="none"/>
              </w:rPr>
              <w:fldChar w:fldCharType="separate"/>
            </w:r>
            <w:r w:rsidRPr="001764F9">
              <w:rPr>
                <w:rFonts w:asciiTheme="majorBidi" w:eastAsia="Times New Roman" w:hAnsiTheme="majorBidi" w:cstheme="majorBidi"/>
                <w:noProof/>
                <w:kern w:val="0"/>
                <w14:ligatures w14:val="none"/>
              </w:rPr>
              <w:t>[46]</w:t>
            </w:r>
            <w:r w:rsidRPr="001C25D4">
              <w:rPr>
                <w:rFonts w:asciiTheme="majorBidi" w:eastAsia="Times New Roman" w:hAnsiTheme="majorBidi" w:cstheme="majorBidi"/>
                <w:kern w:val="0"/>
                <w14:ligatures w14:val="none"/>
              </w:rPr>
              <w:fldChar w:fldCharType="end"/>
            </w:r>
          </w:p>
        </w:tc>
        <w:tc>
          <w:tcPr>
            <w:tcW w:w="1002" w:type="dxa"/>
          </w:tcPr>
          <w:p w14:paraId="002224B4"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Multiple (studies included from 10 countries)</w:t>
            </w:r>
          </w:p>
        </w:tc>
        <w:tc>
          <w:tcPr>
            <w:tcW w:w="1134" w:type="dxa"/>
          </w:tcPr>
          <w:p w14:paraId="38E6BCF9"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Scoping review</w:t>
            </w:r>
          </w:p>
        </w:tc>
        <w:tc>
          <w:tcPr>
            <w:tcW w:w="1001" w:type="dxa"/>
          </w:tcPr>
          <w:p w14:paraId="06EC5D0D"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Not applicable (not a primary study)</w:t>
            </w:r>
          </w:p>
        </w:tc>
        <w:tc>
          <w:tcPr>
            <w:tcW w:w="1566" w:type="dxa"/>
          </w:tcPr>
          <w:p w14:paraId="34BA6D40"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Nurses</w:t>
            </w:r>
          </w:p>
        </w:tc>
        <w:tc>
          <w:tcPr>
            <w:tcW w:w="1402" w:type="dxa"/>
          </w:tcPr>
          <w:p w14:paraId="6EFE0C8F"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Not applicable</w:t>
            </w:r>
          </w:p>
        </w:tc>
        <w:tc>
          <w:tcPr>
            <w:tcW w:w="1701" w:type="dxa"/>
          </w:tcPr>
          <w:p w14:paraId="2334C1C3"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Practices and attitudes of nurses regarding palliative sedation</w:t>
            </w:r>
          </w:p>
        </w:tc>
        <w:tc>
          <w:tcPr>
            <w:tcW w:w="1701" w:type="dxa"/>
          </w:tcPr>
          <w:p w14:paraId="39FA1A66"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 xml:space="preserve">Nurses have key role in palliative sedation. Attitudes are generally positive but ethical concerns exist. Communication strategies are </w:t>
            </w:r>
            <w:r w:rsidRPr="001C25D4">
              <w:rPr>
                <w:rFonts w:asciiTheme="majorBidi" w:eastAsia="Times New Roman" w:hAnsiTheme="majorBidi" w:cstheme="majorBidi"/>
                <w:kern w:val="0"/>
                <w14:ligatures w14:val="none"/>
              </w:rPr>
              <w:lastRenderedPageBreak/>
              <w:t>used.</w:t>
            </w:r>
          </w:p>
        </w:tc>
        <w:tc>
          <w:tcPr>
            <w:tcW w:w="1453" w:type="dxa"/>
          </w:tcPr>
          <w:p w14:paraId="4AD39C9C"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lastRenderedPageBreak/>
              <w:t>Practices, attitudes, communication strategies</w:t>
            </w:r>
          </w:p>
        </w:tc>
        <w:tc>
          <w:tcPr>
            <w:tcW w:w="1524" w:type="dxa"/>
          </w:tcPr>
          <w:p w14:paraId="332BF98B"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Understanding nurses' perspectives can improve quality of care</w:t>
            </w:r>
          </w:p>
        </w:tc>
        <w:tc>
          <w:tcPr>
            <w:tcW w:w="1667" w:type="dxa"/>
          </w:tcPr>
          <w:p w14:paraId="3911206A"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More research on different settings, compared novice vs experienced nurses, other HCPs, influences of culture</w:t>
            </w:r>
          </w:p>
        </w:tc>
      </w:tr>
      <w:tr w:rsidR="007C3E5D" w:rsidRPr="001C25D4" w14:paraId="1EDF1639" w14:textId="77777777" w:rsidTr="00881438">
        <w:trPr>
          <w:trHeight w:val="699"/>
        </w:trPr>
        <w:tc>
          <w:tcPr>
            <w:tcW w:w="1267" w:type="dxa"/>
            <w:vAlign w:val="center"/>
          </w:tcPr>
          <w:p w14:paraId="09CFA7AA" w14:textId="77777777" w:rsidR="007C3E5D" w:rsidRPr="001C25D4" w:rsidRDefault="007C3E5D" w:rsidP="00881438">
            <w:pPr>
              <w:bidi w:val="0"/>
              <w:jc w:val="both"/>
              <w:rPr>
                <w:rFonts w:asciiTheme="majorBidi" w:eastAsia="Times New Roman" w:hAnsiTheme="majorBidi" w:cstheme="majorBidi"/>
                <w:kern w:val="0"/>
                <w14:ligatures w14:val="none"/>
              </w:rPr>
            </w:pPr>
            <w:r w:rsidRPr="00D87299">
              <w:rPr>
                <w:rFonts w:asciiTheme="majorBidi" w:eastAsia="Times New Roman" w:hAnsiTheme="majorBidi" w:cstheme="majorBidi"/>
                <w:kern w:val="0"/>
                <w14:ligatures w14:val="none"/>
              </w:rPr>
              <w:t xml:space="preserve">Filip </w:t>
            </w:r>
            <w:r w:rsidRPr="001C25D4">
              <w:rPr>
                <w:rFonts w:asciiTheme="majorBidi" w:eastAsia="Times New Roman" w:hAnsiTheme="majorBidi" w:cstheme="majorBidi"/>
                <w:kern w:val="0"/>
                <w14:ligatures w14:val="none"/>
              </w:rPr>
              <w:t>et al.,</w:t>
            </w:r>
            <w:r w:rsidRPr="00D87299">
              <w:rPr>
                <w:rFonts w:asciiTheme="majorBidi" w:eastAsia="Times New Roman" w:hAnsiTheme="majorBidi" w:cstheme="majorBidi"/>
                <w:kern w:val="0"/>
                <w14:ligatures w14:val="none"/>
              </w:rPr>
              <w:t xml:space="preserve"> (2022)</w:t>
            </w:r>
            <w:r w:rsidRPr="001C25D4">
              <w:rPr>
                <w:rFonts w:asciiTheme="majorBidi" w:eastAsia="Times New Roman" w:hAnsiTheme="majorBidi" w:cstheme="majorBidi"/>
                <w:kern w:val="0"/>
                <w14:ligatures w14:val="none"/>
              </w:rPr>
              <w:fldChar w:fldCharType="begin" w:fldLock="1"/>
            </w:r>
            <w:r>
              <w:rPr>
                <w:rFonts w:asciiTheme="majorBidi" w:eastAsia="Times New Roman" w:hAnsiTheme="majorBidi" w:cstheme="majorBidi"/>
                <w:kern w:val="0"/>
                <w14:ligatures w14:val="none"/>
              </w:rPr>
              <w:instrText>ADDIN CSL_CITATION {"citationItems":[{"id":"ITEM-1","itemData":{"DOI":"10.3390/medicina58020250","ISSN":"1648-9144","abstract":"Background and Objectives: Working in pediatric and neonatal intensive care units (ICUs) can be challenging and differs from work in adult ICUs. This study investigated for the first time the perceptions, experiences and challenges that healthcare professionals face when dealing with end-of-life decisions in neonatal intensive care units (NICUs) and pediatric intensive care units (PICUs) in Croatia. Materials and Methods: This qualitative study with focus groups was conducted among physicians and nurses working in NICUs and PICUs in five healthcare institutions (three pediatric intensive care units (PICUs) and five neonatal intensive care units (NICUs)) at the tertiary level of healthcare in the Republic of Croatia, in Zagreb, Rijeka and Split. A total of 20 physicians and 21 nurses participated in eight focus groups. The questions concerned everyday practices in end-of-life decision-making and their connection with interpersonal relationships between physicians, nurses, patients and their families. The constant comparative analysis method was used in the analysis of the data. Results: The analysis revealed two main themes that were the same among the professional groups as well as in both NICU and PICU units. The theme “critical illness” consisted of the following subthemes: the child, the family, myself and other professionals. The theme “end-of-life procedures” consisted of the following subthemes: breaking point, decision-making, end-of-life procedures, “spill-over” and the four walls of the ICU. The perceptions and experiences of end-of-life issues among nurses and physicians working in NICUs and PICUs share multiple common characteristics. The high variability in end-of-life procedures applied and various difficulties experienced during shared decision-making processes were observed. Conclusions: There is a need for further research in order to develop clinical and professional guidelines that will inform end-of-life decision-making, including the specific perspectives of everyone involved, and the need to influence policymakers.","author":[{"dropping-particle":"","family":"Rubic","given":"Filip","non-dropping-particle":"","parse-names":false,"suffix":""},{"dropping-particle":"","family":"Curkovic","given":"Marko","non-dropping-particle":"","parse-names":false,"suffix":""},{"dropping-particle":"","family":"Brajkovic","given":"Lovorka","non-dropping-particle":"","parse-names":false,"suffix":""},{"dropping-particle":"","family":"Nevajdic","given":"Bojana","non-dropping-particle":"","parse-names":false,"suffix":""},{"dropping-particle":"","family":"Novak","given":"Milivoj","non-dropping-particle":"","parse-names":false,"suffix":""},{"dropping-particle":"","family":"Filipovic-Grcic","given":"Boris","non-dropping-particle":"","parse-names":false,"suffix":""},{"dropping-particle":"","family":"Mestrovic","given":"Julije","non-dropping-particle":"","parse-names":false,"suffix":""},{"dropping-particle":"","family":"Lah Tomulic","given":"Kristina","non-dropping-particle":"","parse-names":false,"suffix":""},{"dropping-particle":"","family":"Peter","given":"Branimir","non-dropping-particle":"","parse-names":false,"suffix":""},{"dropping-particle":"","family":"Borovecki","given":"Ana","non-dropping-particle":"","parse-names":false,"suffix":""}],"container-title":"Medicina","id":"ITEM-1","issue":"2","issued":{"date-parts":[["2022","2","7"]]},"page":"250","title":"End-of-Life Decision-Making in Pediatric and Neonatal Intensive Care Units in Croatia—A Focus Group Study among Nurses and Physicians","type":"article-journal","volume":"58"},"uris":["http://www.mendeley.com/documents/?uuid=1ecd656c-552a-482c-8c9d-8143534e10cc"]}],"mendeley":{"formattedCitation":"[60]","plainTextFormattedCitation":"[60]","previouslyFormattedCitation":"[60]"},"properties":{"noteIndex":0},"schema":"https://github.com/citation-style-language/schema/raw/master/csl-citation.json"}</w:instrText>
            </w:r>
            <w:r w:rsidRPr="001C25D4">
              <w:rPr>
                <w:rFonts w:asciiTheme="majorBidi" w:eastAsia="Times New Roman" w:hAnsiTheme="majorBidi" w:cstheme="majorBidi"/>
                <w:kern w:val="0"/>
                <w14:ligatures w14:val="none"/>
              </w:rPr>
              <w:fldChar w:fldCharType="separate"/>
            </w:r>
            <w:r w:rsidRPr="001764F9">
              <w:rPr>
                <w:rFonts w:asciiTheme="majorBidi" w:eastAsia="Times New Roman" w:hAnsiTheme="majorBidi" w:cstheme="majorBidi"/>
                <w:noProof/>
                <w:kern w:val="0"/>
                <w14:ligatures w14:val="none"/>
              </w:rPr>
              <w:t>[60]</w:t>
            </w:r>
            <w:r w:rsidRPr="001C25D4">
              <w:rPr>
                <w:rFonts w:asciiTheme="majorBidi" w:eastAsia="Times New Roman" w:hAnsiTheme="majorBidi" w:cstheme="majorBidi"/>
                <w:kern w:val="0"/>
                <w14:ligatures w14:val="none"/>
              </w:rPr>
              <w:fldChar w:fldCharType="end"/>
            </w:r>
          </w:p>
        </w:tc>
        <w:tc>
          <w:tcPr>
            <w:tcW w:w="1002" w:type="dxa"/>
            <w:vAlign w:val="center"/>
          </w:tcPr>
          <w:p w14:paraId="7E5FE45E" w14:textId="77777777" w:rsidR="007C3E5D" w:rsidRPr="001C25D4" w:rsidRDefault="007C3E5D" w:rsidP="00881438">
            <w:pPr>
              <w:bidi w:val="0"/>
              <w:jc w:val="both"/>
              <w:rPr>
                <w:rFonts w:asciiTheme="majorBidi" w:eastAsia="Times New Roman" w:hAnsiTheme="majorBidi" w:cstheme="majorBidi"/>
                <w:kern w:val="0"/>
                <w14:ligatures w14:val="none"/>
              </w:rPr>
            </w:pPr>
            <w:r w:rsidRPr="00D87299">
              <w:rPr>
                <w:rFonts w:asciiTheme="majorBidi" w:eastAsia="Times New Roman" w:hAnsiTheme="majorBidi" w:cstheme="majorBidi"/>
                <w:kern w:val="0"/>
                <w14:ligatures w14:val="none"/>
              </w:rPr>
              <w:t>Croatia</w:t>
            </w:r>
          </w:p>
        </w:tc>
        <w:tc>
          <w:tcPr>
            <w:tcW w:w="1134" w:type="dxa"/>
            <w:vAlign w:val="center"/>
          </w:tcPr>
          <w:p w14:paraId="3FC8F285" w14:textId="77777777" w:rsidR="007C3E5D" w:rsidRPr="001C25D4" w:rsidRDefault="007C3E5D" w:rsidP="00881438">
            <w:pPr>
              <w:bidi w:val="0"/>
              <w:jc w:val="both"/>
              <w:rPr>
                <w:rFonts w:asciiTheme="majorBidi" w:eastAsia="Times New Roman" w:hAnsiTheme="majorBidi" w:cstheme="majorBidi"/>
                <w:kern w:val="0"/>
                <w14:ligatures w14:val="none"/>
              </w:rPr>
            </w:pPr>
            <w:r w:rsidRPr="00D87299">
              <w:rPr>
                <w:rFonts w:asciiTheme="majorBidi" w:eastAsia="Times New Roman" w:hAnsiTheme="majorBidi" w:cstheme="majorBidi"/>
                <w:kern w:val="0"/>
                <w14:ligatures w14:val="none"/>
              </w:rPr>
              <w:t>Qualitative study using focus group methodology</w:t>
            </w:r>
          </w:p>
        </w:tc>
        <w:tc>
          <w:tcPr>
            <w:tcW w:w="1001" w:type="dxa"/>
            <w:vAlign w:val="center"/>
          </w:tcPr>
          <w:p w14:paraId="1B0CA246" w14:textId="77777777" w:rsidR="007C3E5D" w:rsidRPr="001C25D4" w:rsidRDefault="007C3E5D" w:rsidP="00881438">
            <w:pPr>
              <w:bidi w:val="0"/>
              <w:jc w:val="both"/>
              <w:rPr>
                <w:rFonts w:asciiTheme="majorBidi" w:eastAsia="Times New Roman" w:hAnsiTheme="majorBidi" w:cstheme="majorBidi"/>
                <w:kern w:val="0"/>
                <w14:ligatures w14:val="none"/>
              </w:rPr>
            </w:pPr>
            <w:r w:rsidRPr="00D87299">
              <w:rPr>
                <w:rFonts w:asciiTheme="majorBidi" w:eastAsia="Times New Roman" w:hAnsiTheme="majorBidi" w:cstheme="majorBidi"/>
                <w:kern w:val="0"/>
                <w14:ligatures w14:val="none"/>
              </w:rPr>
              <w:t>20 physicians and 21 nurses (8 focus groups total)</w:t>
            </w:r>
          </w:p>
        </w:tc>
        <w:tc>
          <w:tcPr>
            <w:tcW w:w="1566" w:type="dxa"/>
            <w:vAlign w:val="center"/>
          </w:tcPr>
          <w:p w14:paraId="4EBA159F" w14:textId="77777777" w:rsidR="007C3E5D" w:rsidRPr="001C25D4" w:rsidRDefault="007C3E5D" w:rsidP="00881438">
            <w:pPr>
              <w:bidi w:val="0"/>
              <w:jc w:val="both"/>
              <w:rPr>
                <w:rFonts w:asciiTheme="majorBidi" w:eastAsia="Times New Roman" w:hAnsiTheme="majorBidi" w:cstheme="majorBidi"/>
                <w:kern w:val="0"/>
                <w14:ligatures w14:val="none"/>
              </w:rPr>
            </w:pPr>
            <w:r w:rsidRPr="00D87299">
              <w:rPr>
                <w:rFonts w:asciiTheme="majorBidi" w:eastAsia="Times New Roman" w:hAnsiTheme="majorBidi" w:cstheme="majorBidi"/>
                <w:kern w:val="0"/>
                <w14:ligatures w14:val="none"/>
              </w:rPr>
              <w:t>Physicians and nurses working in NICUs and PICUs in tertiary healthcare institutions</w:t>
            </w:r>
          </w:p>
        </w:tc>
        <w:tc>
          <w:tcPr>
            <w:tcW w:w="1402" w:type="dxa"/>
            <w:vAlign w:val="center"/>
          </w:tcPr>
          <w:p w14:paraId="53DC4575" w14:textId="77777777" w:rsidR="007C3E5D" w:rsidRPr="001C25D4" w:rsidRDefault="007C3E5D" w:rsidP="00881438">
            <w:pPr>
              <w:bidi w:val="0"/>
              <w:jc w:val="both"/>
              <w:rPr>
                <w:rFonts w:asciiTheme="majorBidi" w:eastAsia="Times New Roman" w:hAnsiTheme="majorBidi" w:cstheme="majorBidi"/>
                <w:kern w:val="0"/>
                <w14:ligatures w14:val="none"/>
              </w:rPr>
            </w:pPr>
            <w:r w:rsidRPr="00D87299">
              <w:rPr>
                <w:rFonts w:asciiTheme="majorBidi" w:eastAsia="Times New Roman" w:hAnsiTheme="majorBidi" w:cstheme="majorBidi"/>
                <w:kern w:val="0"/>
                <w14:ligatures w14:val="none"/>
              </w:rPr>
              <w:t>End-of-life decision-making</w:t>
            </w:r>
          </w:p>
        </w:tc>
        <w:tc>
          <w:tcPr>
            <w:tcW w:w="1701" w:type="dxa"/>
            <w:vAlign w:val="center"/>
          </w:tcPr>
          <w:p w14:paraId="44618B65" w14:textId="77777777" w:rsidR="007C3E5D" w:rsidRPr="001C25D4" w:rsidRDefault="007C3E5D" w:rsidP="00881438">
            <w:pPr>
              <w:bidi w:val="0"/>
              <w:jc w:val="both"/>
              <w:rPr>
                <w:rFonts w:asciiTheme="majorBidi" w:eastAsia="Times New Roman" w:hAnsiTheme="majorBidi" w:cstheme="majorBidi"/>
                <w:kern w:val="0"/>
                <w14:ligatures w14:val="none"/>
              </w:rPr>
            </w:pPr>
            <w:r w:rsidRPr="00D87299">
              <w:rPr>
                <w:rFonts w:asciiTheme="majorBidi" w:eastAsia="Times New Roman" w:hAnsiTheme="majorBidi" w:cstheme="majorBidi"/>
                <w:kern w:val="0"/>
                <w14:ligatures w14:val="none"/>
              </w:rPr>
              <w:t>End-of-life care and decision-making</w:t>
            </w:r>
          </w:p>
        </w:tc>
        <w:tc>
          <w:tcPr>
            <w:tcW w:w="1701" w:type="dxa"/>
            <w:vAlign w:val="center"/>
          </w:tcPr>
          <w:p w14:paraId="6D2D7F20" w14:textId="77777777" w:rsidR="007C3E5D" w:rsidRPr="001C25D4" w:rsidRDefault="007C3E5D" w:rsidP="00881438">
            <w:pPr>
              <w:bidi w:val="0"/>
              <w:jc w:val="both"/>
              <w:rPr>
                <w:rFonts w:asciiTheme="majorBidi" w:eastAsia="Times New Roman" w:hAnsiTheme="majorBidi" w:cstheme="majorBidi"/>
                <w:kern w:val="0"/>
                <w14:ligatures w14:val="none"/>
              </w:rPr>
            </w:pPr>
            <w:r w:rsidRPr="00D87299">
              <w:rPr>
                <w:rFonts w:asciiTheme="majorBidi" w:eastAsia="Times New Roman" w:hAnsiTheme="majorBidi" w:cstheme="majorBidi"/>
                <w:kern w:val="0"/>
                <w14:ligatures w14:val="none"/>
              </w:rPr>
              <w:t>Shared perspectives on end-of-life issues with differences in emphasis between professional groups and units</w:t>
            </w:r>
          </w:p>
        </w:tc>
        <w:tc>
          <w:tcPr>
            <w:tcW w:w="1453" w:type="dxa"/>
            <w:vAlign w:val="center"/>
          </w:tcPr>
          <w:p w14:paraId="0572DBE0" w14:textId="77777777" w:rsidR="007C3E5D" w:rsidRPr="001C25D4" w:rsidRDefault="007C3E5D" w:rsidP="00881438">
            <w:pPr>
              <w:bidi w:val="0"/>
              <w:jc w:val="both"/>
              <w:rPr>
                <w:rFonts w:asciiTheme="majorBidi" w:eastAsia="Times New Roman" w:hAnsiTheme="majorBidi" w:cstheme="majorBidi"/>
                <w:kern w:val="0"/>
                <w14:ligatures w14:val="none"/>
              </w:rPr>
            </w:pPr>
            <w:r w:rsidRPr="00D87299">
              <w:rPr>
                <w:rFonts w:asciiTheme="majorBidi" w:eastAsia="Times New Roman" w:hAnsiTheme="majorBidi" w:cstheme="majorBidi"/>
                <w:kern w:val="0"/>
                <w14:ligatures w14:val="none"/>
              </w:rPr>
              <w:t>End-of-life process, decision-making, procedures, emotional impacts, ICU environment</w:t>
            </w:r>
          </w:p>
        </w:tc>
        <w:tc>
          <w:tcPr>
            <w:tcW w:w="1524" w:type="dxa"/>
            <w:vAlign w:val="center"/>
          </w:tcPr>
          <w:p w14:paraId="2269CD8F" w14:textId="77777777" w:rsidR="007C3E5D" w:rsidRPr="001C25D4" w:rsidRDefault="007C3E5D" w:rsidP="00881438">
            <w:pPr>
              <w:bidi w:val="0"/>
              <w:jc w:val="both"/>
              <w:rPr>
                <w:rFonts w:asciiTheme="majorBidi" w:eastAsia="Times New Roman" w:hAnsiTheme="majorBidi" w:cstheme="majorBidi"/>
                <w:kern w:val="0"/>
                <w14:ligatures w14:val="none"/>
              </w:rPr>
            </w:pPr>
            <w:r w:rsidRPr="00D87299">
              <w:rPr>
                <w:rFonts w:asciiTheme="majorBidi" w:eastAsia="Times New Roman" w:hAnsiTheme="majorBidi" w:cstheme="majorBidi"/>
                <w:kern w:val="0"/>
                <w14:ligatures w14:val="none"/>
              </w:rPr>
              <w:t>Improved guidelines acknowledging nurses' roles and increased support</w:t>
            </w:r>
          </w:p>
        </w:tc>
        <w:tc>
          <w:tcPr>
            <w:tcW w:w="1667" w:type="dxa"/>
            <w:vAlign w:val="center"/>
          </w:tcPr>
          <w:p w14:paraId="4FFFAEBB" w14:textId="77777777" w:rsidR="007C3E5D" w:rsidRPr="001C25D4" w:rsidRDefault="007C3E5D" w:rsidP="00881438">
            <w:pPr>
              <w:bidi w:val="0"/>
              <w:jc w:val="both"/>
              <w:rPr>
                <w:rFonts w:asciiTheme="majorBidi" w:eastAsia="Times New Roman" w:hAnsiTheme="majorBidi" w:cstheme="majorBidi"/>
                <w:kern w:val="0"/>
                <w14:ligatures w14:val="none"/>
              </w:rPr>
            </w:pPr>
            <w:r w:rsidRPr="00D87299">
              <w:rPr>
                <w:rFonts w:asciiTheme="majorBidi" w:eastAsia="Times New Roman" w:hAnsiTheme="majorBidi" w:cstheme="majorBidi"/>
                <w:kern w:val="0"/>
                <w14:ligatures w14:val="none"/>
              </w:rPr>
              <w:t>More research comparing settings and exploring cultural differences</w:t>
            </w:r>
          </w:p>
        </w:tc>
      </w:tr>
      <w:tr w:rsidR="007C3E5D" w:rsidRPr="001C25D4" w14:paraId="2BDB51D2" w14:textId="77777777" w:rsidTr="00881438">
        <w:trPr>
          <w:trHeight w:val="699"/>
        </w:trPr>
        <w:tc>
          <w:tcPr>
            <w:tcW w:w="1267" w:type="dxa"/>
          </w:tcPr>
          <w:p w14:paraId="6F645DD3" w14:textId="77777777" w:rsidR="007C3E5D" w:rsidRPr="0076590E" w:rsidRDefault="007C3E5D" w:rsidP="00881438">
            <w:pPr>
              <w:bidi w:val="0"/>
              <w:jc w:val="both"/>
              <w:rPr>
                <w:rFonts w:asciiTheme="majorBidi" w:eastAsia="Times New Roman" w:hAnsiTheme="majorBidi" w:cstheme="majorBidi"/>
                <w:kern w:val="0"/>
                <w:lang w:val="de-DE"/>
                <w14:ligatures w14:val="none"/>
              </w:rPr>
            </w:pPr>
            <w:r w:rsidRPr="0076590E">
              <w:rPr>
                <w:rFonts w:asciiTheme="majorBidi" w:eastAsia="Times New Roman" w:hAnsiTheme="majorBidi" w:cstheme="majorBidi"/>
                <w:kern w:val="0"/>
                <w:lang w:val="de-DE"/>
                <w14:ligatures w14:val="none"/>
              </w:rPr>
              <w:t>Wassiem Abu Hatoum, Daniel Sperling (2022)</w:t>
            </w:r>
            <w:r w:rsidRPr="001C25D4">
              <w:rPr>
                <w:rFonts w:asciiTheme="majorBidi" w:eastAsia="Times New Roman" w:hAnsiTheme="majorBidi" w:cstheme="majorBidi"/>
                <w:kern w:val="0"/>
                <w14:ligatures w14:val="none"/>
              </w:rPr>
              <w:fldChar w:fldCharType="begin" w:fldLock="1"/>
            </w:r>
            <w:r>
              <w:rPr>
                <w:rFonts w:asciiTheme="majorBidi" w:eastAsia="Times New Roman" w:hAnsiTheme="majorBidi" w:cstheme="majorBidi"/>
                <w:kern w:val="0"/>
                <w:lang w:val="de-DE"/>
                <w14:ligatures w14:val="none"/>
              </w:rPr>
              <w:instrText>ADDIN CSL_CITATION {"citationItems":[{"id":"ITEM-1","itemData":{"DOI":"10.1177/09697330231200565","ISSN":"0969-7330","author":[{"dropping-particle":"","family":"Abu Hatoum","given":"Wassiem Bassam","non-dropping-particle":"","parse-names":false,"suffix":""},{"dropping-particle":"","family":"Sperling","given":"Daniel","non-dropping-particle":"","parse-names":false,"suffix":""}],"container-title":"Nursing Ethics","id":"ITEM-1","issued":{"date-parts":[["2023","10","4"]]},"title":"Views, attitudes, and reported practices of nephrology nurses regarding shared decision-making in end-of-life care","type":"article-journal"},"uris":["http://www.mendeley.com/documents/?uuid=da635300-a2b3-4f9d-a833-aea2e028388e"]}],"mendeley":{"formattedCitation":"[47]","plainTextFormattedCitation":"[47]","previouslyFormattedCitation":"[47]"},"properties":{"noteIndex":0},"schema":"https://github.com/citation-style-language/schema/raw/master/csl-citation.json"}</w:instrText>
            </w:r>
            <w:r w:rsidRPr="001C25D4">
              <w:rPr>
                <w:rFonts w:asciiTheme="majorBidi" w:eastAsia="Times New Roman" w:hAnsiTheme="majorBidi" w:cstheme="majorBidi"/>
                <w:kern w:val="0"/>
                <w14:ligatures w14:val="none"/>
              </w:rPr>
              <w:fldChar w:fldCharType="separate"/>
            </w:r>
            <w:r w:rsidRPr="001764F9">
              <w:rPr>
                <w:rFonts w:asciiTheme="majorBidi" w:eastAsia="Times New Roman" w:hAnsiTheme="majorBidi" w:cstheme="majorBidi"/>
                <w:noProof/>
                <w:kern w:val="0"/>
                <w:lang w:val="de-DE"/>
                <w14:ligatures w14:val="none"/>
              </w:rPr>
              <w:t>[47]</w:t>
            </w:r>
            <w:r w:rsidRPr="001C25D4">
              <w:rPr>
                <w:rFonts w:asciiTheme="majorBidi" w:eastAsia="Times New Roman" w:hAnsiTheme="majorBidi" w:cstheme="majorBidi"/>
                <w:kern w:val="0"/>
                <w14:ligatures w14:val="none"/>
              </w:rPr>
              <w:fldChar w:fldCharType="end"/>
            </w:r>
          </w:p>
        </w:tc>
        <w:tc>
          <w:tcPr>
            <w:tcW w:w="1002" w:type="dxa"/>
          </w:tcPr>
          <w:p w14:paraId="78704EAD"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Israel</w:t>
            </w:r>
          </w:p>
        </w:tc>
        <w:tc>
          <w:tcPr>
            <w:tcW w:w="1134" w:type="dxa"/>
          </w:tcPr>
          <w:p w14:paraId="078739C3"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Cross-sectional quantitative study using questionnaires</w:t>
            </w:r>
          </w:p>
        </w:tc>
        <w:tc>
          <w:tcPr>
            <w:tcW w:w="1001" w:type="dxa"/>
          </w:tcPr>
          <w:p w14:paraId="69BFAB81"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89 nephrology nurses</w:t>
            </w:r>
          </w:p>
        </w:tc>
        <w:tc>
          <w:tcPr>
            <w:tcW w:w="1566" w:type="dxa"/>
          </w:tcPr>
          <w:p w14:paraId="79236082"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Nephrology nurses working in hospitals</w:t>
            </w:r>
          </w:p>
        </w:tc>
        <w:tc>
          <w:tcPr>
            <w:tcW w:w="1402" w:type="dxa"/>
          </w:tcPr>
          <w:p w14:paraId="5D3A439A"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End-of-life decision-making in ESRD patients</w:t>
            </w:r>
          </w:p>
        </w:tc>
        <w:tc>
          <w:tcPr>
            <w:tcW w:w="1701" w:type="dxa"/>
          </w:tcPr>
          <w:p w14:paraId="1F4045D6"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Shared decision-making and educational training in end-of-life care</w:t>
            </w:r>
          </w:p>
        </w:tc>
        <w:tc>
          <w:tcPr>
            <w:tcW w:w="1701" w:type="dxa"/>
          </w:tcPr>
          <w:p w14:paraId="7FC3E2E1"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Views and practices of SDM and training in EOL care; influences of attitudes, experience and demographics</w:t>
            </w:r>
          </w:p>
        </w:tc>
        <w:tc>
          <w:tcPr>
            <w:tcW w:w="1453" w:type="dxa"/>
          </w:tcPr>
          <w:p w14:paraId="18E3BE2A"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SDM process and training; barriers and facilitators</w:t>
            </w:r>
          </w:p>
        </w:tc>
        <w:tc>
          <w:tcPr>
            <w:tcW w:w="1524" w:type="dxa"/>
          </w:tcPr>
          <w:p w14:paraId="7402FE70"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Increase interprofessional SDM and training in EOL care</w:t>
            </w:r>
          </w:p>
        </w:tc>
        <w:tc>
          <w:tcPr>
            <w:tcW w:w="1667" w:type="dxa"/>
          </w:tcPr>
          <w:p w14:paraId="31E7FCD5"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Further study of influences of experience, demographics and organizational factors; evaluation of standardized training</w:t>
            </w:r>
          </w:p>
        </w:tc>
      </w:tr>
      <w:tr w:rsidR="007C3E5D" w:rsidRPr="001C25D4" w14:paraId="7D2E05B4" w14:textId="77777777" w:rsidTr="00881438">
        <w:trPr>
          <w:trHeight w:val="699"/>
        </w:trPr>
        <w:tc>
          <w:tcPr>
            <w:tcW w:w="1267" w:type="dxa"/>
          </w:tcPr>
          <w:p w14:paraId="17DEA1FC"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 xml:space="preserve">Rajkumar </w:t>
            </w:r>
            <w:proofErr w:type="spellStart"/>
            <w:r w:rsidRPr="001C25D4">
              <w:rPr>
                <w:rFonts w:asciiTheme="majorBidi" w:eastAsia="Times New Roman" w:hAnsiTheme="majorBidi" w:cstheme="majorBidi"/>
                <w:kern w:val="0"/>
                <w14:ligatures w14:val="none"/>
              </w:rPr>
              <w:t>Cheluvappa</w:t>
            </w:r>
            <w:proofErr w:type="spellEnd"/>
            <w:r w:rsidRPr="001C25D4">
              <w:rPr>
                <w:rFonts w:asciiTheme="majorBidi" w:eastAsia="Times New Roman" w:hAnsiTheme="majorBidi" w:cstheme="majorBidi"/>
                <w:kern w:val="0"/>
                <w14:ligatures w14:val="none"/>
              </w:rPr>
              <w:t xml:space="preserve">, Selwyn Selvendran (2022) </w:t>
            </w:r>
            <w:r w:rsidRPr="001C25D4">
              <w:rPr>
                <w:rFonts w:asciiTheme="majorBidi" w:eastAsia="Times New Roman" w:hAnsiTheme="majorBidi" w:cstheme="majorBidi"/>
                <w:kern w:val="0"/>
                <w14:ligatures w14:val="none"/>
              </w:rPr>
              <w:fldChar w:fldCharType="begin" w:fldLock="1"/>
            </w:r>
            <w:r>
              <w:rPr>
                <w:rFonts w:asciiTheme="majorBidi" w:eastAsia="Times New Roman" w:hAnsiTheme="majorBidi" w:cstheme="majorBidi"/>
                <w:kern w:val="0"/>
                <w14:ligatures w14:val="none"/>
              </w:rPr>
              <w:instrText>ADDIN CSL_CITATION {"citationItems":[{"id":"ITEM-1","itemData":{"DOI":"10.3390/nursrep12030058","ISSN":"2039-4403","abstract":"The registered nurse has crucial preventative, therapeutic, sociocultural, and advocacy roles in promoting quality holistic patient-centred palliative care. This paper examines, describes, and analyses this multifaceted role from an antipodean perspective. We conducted systematic searches using PubMed, Google Scholar, government guidelines, authoritative body regulations, quality control guidelines, and government portals pertaining to palliative care nursing in Australia. This paper relies upon the information garnered from publications, reports, and guidelines resulting from these searches and analyses. The fundamental principles and guiding values of palliative care (and nursing) and the raison d’etre for palliative care as a discipline are underscored and expanded on. Australian Clinical Practice Guidelines (CPGs) pertaining to palliative end-of-life (EOL) nursing care and associated services are discussed. The relevant NMBA nursing standards that RNs need to have to administer opioids/narcotics in palliative care are summarised. The identification of patients who need EOL care, holistic person-centred care planning for them, and consultative multidisciplinary palliative clinical decision making are discussed in the palliative care context. Several components of advance care planning apropos health deterioration and conflicts are discussed. Several aspects of EOL care, especially palliative nursing care, are analysed using research evidence, established nursing and palliative care standards, and the Australian EOL CPGs.","author":[{"dropping-particle":"","family":"Cheluvappa","given":"Rajkumar","non-dropping-particle":"","parse-names":false,"suffix":""},{"dropping-particle":"","family":"Selvendran","given":"Selwyn","non-dropping-particle":"","parse-names":false,"suffix":""}],"container-title":"Nursing Reports","id":"ITEM-1","issue":"3","issued":{"date-parts":[["2022","8","12"]]},"page":"589-596","title":"Palliative Care Nursing in Australia and the Role of the Registered Nurse in Palliative Care","type":"article-journal","volume":"12"},"uris":["http://www.mendeley.com/documents/?uuid=df125319-bcd3-4774-af5b-9a0de74af6e0"]}],"mendeley":{"formattedCitation":"[53]","plainTextFormattedCitation":"[53]","previouslyFormattedCitation":"[53]"},"properties":{"noteIndex":0},"schema":"https://github.com/citation-style-language/schema/raw/master/csl-citation.json"}</w:instrText>
            </w:r>
            <w:r w:rsidRPr="001C25D4">
              <w:rPr>
                <w:rFonts w:asciiTheme="majorBidi" w:eastAsia="Times New Roman" w:hAnsiTheme="majorBidi" w:cstheme="majorBidi"/>
                <w:kern w:val="0"/>
                <w14:ligatures w14:val="none"/>
              </w:rPr>
              <w:fldChar w:fldCharType="separate"/>
            </w:r>
            <w:r w:rsidRPr="001764F9">
              <w:rPr>
                <w:rFonts w:asciiTheme="majorBidi" w:eastAsia="Times New Roman" w:hAnsiTheme="majorBidi" w:cstheme="majorBidi"/>
                <w:noProof/>
                <w:kern w:val="0"/>
                <w14:ligatures w14:val="none"/>
              </w:rPr>
              <w:t>[53]</w:t>
            </w:r>
            <w:r w:rsidRPr="001C25D4">
              <w:rPr>
                <w:rFonts w:asciiTheme="majorBidi" w:eastAsia="Times New Roman" w:hAnsiTheme="majorBidi" w:cstheme="majorBidi"/>
                <w:kern w:val="0"/>
                <w14:ligatures w14:val="none"/>
              </w:rPr>
              <w:fldChar w:fldCharType="end"/>
            </w:r>
          </w:p>
        </w:tc>
        <w:tc>
          <w:tcPr>
            <w:tcW w:w="1002" w:type="dxa"/>
          </w:tcPr>
          <w:p w14:paraId="52F8F8F8"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Australia</w:t>
            </w:r>
          </w:p>
        </w:tc>
        <w:tc>
          <w:tcPr>
            <w:tcW w:w="1134" w:type="dxa"/>
          </w:tcPr>
          <w:p w14:paraId="34741351"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Qualitative study using focus groups</w:t>
            </w:r>
          </w:p>
        </w:tc>
        <w:tc>
          <w:tcPr>
            <w:tcW w:w="1001" w:type="dxa"/>
          </w:tcPr>
          <w:p w14:paraId="6415E05E"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15 physicians, 15 nurses</w:t>
            </w:r>
          </w:p>
        </w:tc>
        <w:tc>
          <w:tcPr>
            <w:tcW w:w="1566" w:type="dxa"/>
          </w:tcPr>
          <w:p w14:paraId="364D5D1A"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Physicians and nurses working in NICUs and PICUs</w:t>
            </w:r>
          </w:p>
        </w:tc>
        <w:tc>
          <w:tcPr>
            <w:tcW w:w="1402" w:type="dxa"/>
          </w:tcPr>
          <w:p w14:paraId="50F977F3"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End-of-life decision-making</w:t>
            </w:r>
          </w:p>
        </w:tc>
        <w:tc>
          <w:tcPr>
            <w:tcW w:w="1701" w:type="dxa"/>
          </w:tcPr>
          <w:p w14:paraId="0D7B8663"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End-of-life care and decision-making</w:t>
            </w:r>
          </w:p>
        </w:tc>
        <w:tc>
          <w:tcPr>
            <w:tcW w:w="1701" w:type="dxa"/>
          </w:tcPr>
          <w:p w14:paraId="56DF4706"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Shared perspectives on end-of-life issues with differences in emphasis between professional groups and units</w:t>
            </w:r>
          </w:p>
        </w:tc>
        <w:tc>
          <w:tcPr>
            <w:tcW w:w="1453" w:type="dxa"/>
          </w:tcPr>
          <w:p w14:paraId="4EB4A0D3"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Critical illness, end-of-life procedures, spill-over, four walls of ICU</w:t>
            </w:r>
          </w:p>
        </w:tc>
        <w:tc>
          <w:tcPr>
            <w:tcW w:w="1524" w:type="dxa"/>
          </w:tcPr>
          <w:p w14:paraId="028A8ADC"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Improved guidelines acknowledging nurses' roles, increased support</w:t>
            </w:r>
          </w:p>
        </w:tc>
        <w:tc>
          <w:tcPr>
            <w:tcW w:w="1667" w:type="dxa"/>
          </w:tcPr>
          <w:p w14:paraId="17FDC2FC"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Further study of influences of experience, demographics and organizational factors; evaluation of standardized training</w:t>
            </w:r>
          </w:p>
        </w:tc>
      </w:tr>
      <w:tr w:rsidR="007C3E5D" w:rsidRPr="001C25D4" w14:paraId="74A29846" w14:textId="77777777" w:rsidTr="00881438">
        <w:trPr>
          <w:trHeight w:val="699"/>
        </w:trPr>
        <w:tc>
          <w:tcPr>
            <w:tcW w:w="1267" w:type="dxa"/>
          </w:tcPr>
          <w:p w14:paraId="699DB829" w14:textId="77777777" w:rsidR="007C3E5D" w:rsidRPr="001C25D4" w:rsidRDefault="007C3E5D" w:rsidP="00881438">
            <w:pPr>
              <w:bidi w:val="0"/>
              <w:jc w:val="both"/>
              <w:rPr>
                <w:rFonts w:asciiTheme="majorBidi" w:eastAsia="Times New Roman" w:hAnsiTheme="majorBidi" w:cstheme="majorBidi"/>
                <w:kern w:val="0"/>
                <w14:ligatures w14:val="none"/>
              </w:rPr>
            </w:pPr>
            <w:r w:rsidRPr="0076590E">
              <w:rPr>
                <w:rFonts w:asciiTheme="majorBidi" w:eastAsia="Times New Roman" w:hAnsiTheme="majorBidi" w:cstheme="majorBidi"/>
                <w:kern w:val="0"/>
                <w:lang w:val="de-DE"/>
                <w14:ligatures w14:val="none"/>
              </w:rPr>
              <w:t xml:space="preserve">Michael G. Cohen, et al., (2023) </w:t>
            </w:r>
            <w:r w:rsidRPr="001C25D4">
              <w:rPr>
                <w:rFonts w:asciiTheme="majorBidi" w:eastAsia="Times New Roman" w:hAnsiTheme="majorBidi" w:cstheme="majorBidi"/>
                <w:kern w:val="0"/>
                <w14:ligatures w14:val="none"/>
              </w:rPr>
              <w:lastRenderedPageBreak/>
              <w:fldChar w:fldCharType="begin" w:fldLock="1"/>
            </w:r>
            <w:r>
              <w:rPr>
                <w:rFonts w:asciiTheme="majorBidi" w:eastAsia="Times New Roman" w:hAnsiTheme="majorBidi" w:cstheme="majorBidi"/>
                <w:kern w:val="0"/>
                <w:lang w:val="de-DE"/>
                <w14:ligatures w14:val="none"/>
              </w:rPr>
              <w:instrText>ADDIN CSL_CITATION {"citationItems":[{"id":"ITEM-1","itemData":{"DOI":"10.6004/jnccn.2023.7002","ISSN":"1540-1405","abstract":"Background: Palliative care specialists are experts in conducting advance care planning (ACP) but are a limited resource. Oncology nurses often have special relationships with their patients and thus may be poised to provide primary palliative care. We sought to determine the impact of a nurse-led primary palliative care intervention on ACP uptake among patients with advanced cancer. Methods: We performed a secondary analysis of a cluster randomized controlled trial examining the impact of nurse-based primary palliative care. In the parent trial, patients with advanced cancer received either monthly primary palliative care visits with trained nurses within their cancer center or standard care. Nurses in the intervention arm received special training in ACP. ACP uptake was assessed at enrollment and 3 months later evaluating (1) whether an end-of-life conversation (EOLC) occurred with one’s oncologist, and (2) completion of an advance directive (AD). Multivariable logistic regression tested differences in ACP uptake by treatment arm adjusted for age, religious importance, education, time with current oncologist, and performance status. Results: Of 672 patients enrolled, 182/336 (54%) patients in the intervention arm and 196/336 (58%) in the standard care arm lacked an EOLC at baseline and completed the 3-month assessment. Of those, 82/182 (45.1%) patients in the intervention arm and 29/196 (14.8%) in the standard care arm reported having an EOLC at 3 months (adjusted odds ratio, 5.28; 95% CI, 3.10–8.97; P &lt;.001). Similarly, 111/336 (33%) patients in the intervention arm and 105/336 (31%) in the standard care arm lacked an AD at baseline and completed the 3-month assessment. Of those, 48/111 (43.2%) patients in the intervention arm and 19/105 (18.1%) in the standard care arm completed an AD over the study period (adjusted odds ratio, 3.68; 95% CI, 1.89–7.16; P &lt;.001). Conclusions: Nurse-led primary palliative care increased ACP uptake among patients with advanced cancer. Training oncology nurses embedded within community cancer centers to provide primary palliative care may help improve ACP access.","author":[{"dropping-particle":"","family":"Cohen","given":"Michael G.","non-dropping-particle":"","parse-name</w:instrText>
            </w:r>
            <w:r w:rsidRPr="00DE00C2">
              <w:rPr>
                <w:rFonts w:asciiTheme="majorBidi" w:eastAsia="Times New Roman" w:hAnsiTheme="majorBidi" w:cstheme="majorBidi"/>
                <w:kern w:val="0"/>
                <w14:ligatures w14:val="none"/>
              </w:rPr>
              <w:instrText>s":false,"suffix":""},{"dropping-particle":"","family":"Althouse","given":"Andrew D.","non-dropping-particle":"","parse-names":false,"suffix":""},{"dropping-particle":"","family":"Arnold","given":"Robert M.","non-dropping-particle":"","parse-names":false,"suffix":""},{"dropping-particle":"","family":"White","given":"Douglas","non-dropping-particle":"","parse-names":false,"suffix":""},{"dropping-particle":"","family":"Chu","given":"Edward","non-dropping-particle":"","parse-names":false,"suffix":""},{"dropping-particle":"","family":"Rosenzweig","given":"Margaret","non-dropping-particle":""</w:instrText>
            </w:r>
            <w:r w:rsidRPr="001764F9">
              <w:rPr>
                <w:rFonts w:asciiTheme="majorBidi" w:eastAsia="Times New Roman" w:hAnsiTheme="majorBidi" w:cstheme="majorBidi"/>
                <w:kern w:val="0"/>
                <w14:ligatures w14:val="none"/>
              </w:rPr>
              <w:instrText>,"parse-names":false,"suffix":""},{"dropping-particle":"","family":"Smith","given":"Kenneth J.","non-dropping-particle":"","parse-names":false,"suffix":""},{"dropping-particle":"","family":"Schenker","given":"Yael","non-dropping-particle":"","parse-names":false,"suffix":""}],"container-title":"Journal of the National Comprehensive Cancer Network","id":"ITEM-1","issue":"4","issued":{"date-parts":[["2023","4"]]},"page":"383-390","title":"Primary Palliative Care Improves Uptake of Advance Care Planning Among Patients With Advanced Cancers","type":"article-journal","volume":"21"},"uris":["http://www.mendeley.com/documents/?uuid=edc784e1-f9b7-44db-a737-56688f9833ab"]}],"mendeley":{"formattedCitation":"[59]","plainTextFormattedCitation":"[59]","previouslyFormattedCitation":"[59]"},"properties":{"noteIndex":0},"schema":"https://github.com/citation-style-language/schema/raw/master/csl-citation.json"}</w:instrText>
            </w:r>
            <w:r w:rsidRPr="001C25D4">
              <w:rPr>
                <w:rFonts w:asciiTheme="majorBidi" w:eastAsia="Times New Roman" w:hAnsiTheme="majorBidi" w:cstheme="majorBidi"/>
                <w:kern w:val="0"/>
                <w14:ligatures w14:val="none"/>
              </w:rPr>
              <w:fldChar w:fldCharType="separate"/>
            </w:r>
            <w:r w:rsidRPr="001764F9">
              <w:rPr>
                <w:rFonts w:asciiTheme="majorBidi" w:eastAsia="Times New Roman" w:hAnsiTheme="majorBidi" w:cstheme="majorBidi"/>
                <w:noProof/>
                <w:kern w:val="0"/>
                <w14:ligatures w14:val="none"/>
              </w:rPr>
              <w:t>[59]</w:t>
            </w:r>
            <w:r w:rsidRPr="001C25D4">
              <w:rPr>
                <w:rFonts w:asciiTheme="majorBidi" w:eastAsia="Times New Roman" w:hAnsiTheme="majorBidi" w:cstheme="majorBidi"/>
                <w:kern w:val="0"/>
                <w14:ligatures w14:val="none"/>
              </w:rPr>
              <w:fldChar w:fldCharType="end"/>
            </w:r>
          </w:p>
        </w:tc>
        <w:tc>
          <w:tcPr>
            <w:tcW w:w="1002" w:type="dxa"/>
          </w:tcPr>
          <w:p w14:paraId="62AEDAC7"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lastRenderedPageBreak/>
              <w:t>United States</w:t>
            </w:r>
          </w:p>
        </w:tc>
        <w:tc>
          <w:tcPr>
            <w:tcW w:w="1134" w:type="dxa"/>
          </w:tcPr>
          <w:p w14:paraId="690BF4FC"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 xml:space="preserve">Secondary analysis of </w:t>
            </w:r>
            <w:r w:rsidRPr="001C25D4">
              <w:rPr>
                <w:rFonts w:asciiTheme="majorBidi" w:eastAsia="Times New Roman" w:hAnsiTheme="majorBidi" w:cstheme="majorBidi"/>
                <w:kern w:val="0"/>
                <w14:ligatures w14:val="none"/>
              </w:rPr>
              <w:lastRenderedPageBreak/>
              <w:t>qualitative data (interviews and field notes)</w:t>
            </w:r>
          </w:p>
        </w:tc>
        <w:tc>
          <w:tcPr>
            <w:tcW w:w="1001" w:type="dxa"/>
          </w:tcPr>
          <w:p w14:paraId="0AC24895"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lastRenderedPageBreak/>
              <w:t xml:space="preserve">Four qualitative </w:t>
            </w:r>
            <w:r w:rsidRPr="001C25D4">
              <w:rPr>
                <w:rFonts w:asciiTheme="majorBidi" w:eastAsia="Times New Roman" w:hAnsiTheme="majorBidi" w:cstheme="majorBidi"/>
                <w:kern w:val="0"/>
                <w14:ligatures w14:val="none"/>
              </w:rPr>
              <w:lastRenderedPageBreak/>
              <w:t>datasets, including 44 interviews and 9 team observation field notes</w:t>
            </w:r>
          </w:p>
        </w:tc>
        <w:tc>
          <w:tcPr>
            <w:tcW w:w="1566" w:type="dxa"/>
          </w:tcPr>
          <w:p w14:paraId="5A673838"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lastRenderedPageBreak/>
              <w:t>Nephrology nurses</w:t>
            </w:r>
          </w:p>
        </w:tc>
        <w:tc>
          <w:tcPr>
            <w:tcW w:w="1402" w:type="dxa"/>
          </w:tcPr>
          <w:p w14:paraId="44E4B01C"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 xml:space="preserve">End-of-life decision-making in </w:t>
            </w:r>
            <w:r w:rsidRPr="001C25D4">
              <w:rPr>
                <w:rFonts w:asciiTheme="majorBidi" w:eastAsia="Times New Roman" w:hAnsiTheme="majorBidi" w:cstheme="majorBidi"/>
                <w:kern w:val="0"/>
                <w14:ligatures w14:val="none"/>
              </w:rPr>
              <w:lastRenderedPageBreak/>
              <w:t>ESRD patients</w:t>
            </w:r>
          </w:p>
        </w:tc>
        <w:tc>
          <w:tcPr>
            <w:tcW w:w="1701" w:type="dxa"/>
          </w:tcPr>
          <w:p w14:paraId="1444EE01"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lastRenderedPageBreak/>
              <w:t xml:space="preserve">Shared decision-making and educational </w:t>
            </w:r>
            <w:r w:rsidRPr="001C25D4">
              <w:rPr>
                <w:rFonts w:asciiTheme="majorBidi" w:eastAsia="Times New Roman" w:hAnsiTheme="majorBidi" w:cstheme="majorBidi"/>
                <w:kern w:val="0"/>
                <w14:ligatures w14:val="none"/>
              </w:rPr>
              <w:lastRenderedPageBreak/>
              <w:t>training regarding end-of-life care</w:t>
            </w:r>
          </w:p>
        </w:tc>
        <w:tc>
          <w:tcPr>
            <w:tcW w:w="1701" w:type="dxa"/>
          </w:tcPr>
          <w:p w14:paraId="336B48F2"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lastRenderedPageBreak/>
              <w:t xml:space="preserve">Identification of barriers and facilitators to </w:t>
            </w:r>
            <w:r w:rsidRPr="001C25D4">
              <w:rPr>
                <w:rFonts w:asciiTheme="majorBidi" w:eastAsia="Times New Roman" w:hAnsiTheme="majorBidi" w:cstheme="majorBidi"/>
                <w:kern w:val="0"/>
                <w14:ligatures w14:val="none"/>
              </w:rPr>
              <w:lastRenderedPageBreak/>
              <w:t>SDM in end-of-life care according to healthcare practitioners</w:t>
            </w:r>
          </w:p>
        </w:tc>
        <w:tc>
          <w:tcPr>
            <w:tcW w:w="1453" w:type="dxa"/>
          </w:tcPr>
          <w:p w14:paraId="35DA48AD"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lastRenderedPageBreak/>
              <w:t xml:space="preserve">SDM process; training; </w:t>
            </w:r>
            <w:r w:rsidRPr="001C25D4">
              <w:rPr>
                <w:rFonts w:asciiTheme="majorBidi" w:eastAsia="Times New Roman" w:hAnsiTheme="majorBidi" w:cstheme="majorBidi"/>
                <w:kern w:val="0"/>
                <w14:ligatures w14:val="none"/>
              </w:rPr>
              <w:lastRenderedPageBreak/>
              <w:t>emotional and practical support; decision-making; NICU environment</w:t>
            </w:r>
          </w:p>
        </w:tc>
        <w:tc>
          <w:tcPr>
            <w:tcW w:w="1524" w:type="dxa"/>
          </w:tcPr>
          <w:p w14:paraId="1222E9BF"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lastRenderedPageBreak/>
              <w:t xml:space="preserve">Further exploration of cultural </w:t>
            </w:r>
            <w:r w:rsidRPr="001C25D4">
              <w:rPr>
                <w:rFonts w:asciiTheme="majorBidi" w:eastAsia="Times New Roman" w:hAnsiTheme="majorBidi" w:cstheme="majorBidi"/>
                <w:kern w:val="0"/>
                <w14:ligatures w14:val="none"/>
              </w:rPr>
              <w:lastRenderedPageBreak/>
              <w:t>differences, legal frameworks, organization of care and support for healthcare professionals</w:t>
            </w:r>
          </w:p>
        </w:tc>
        <w:tc>
          <w:tcPr>
            <w:tcW w:w="1667" w:type="dxa"/>
          </w:tcPr>
          <w:p w14:paraId="606DF025"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lastRenderedPageBreak/>
              <w:t xml:space="preserve">Evaluate impact of standardized training, </w:t>
            </w:r>
            <w:r w:rsidRPr="001C25D4">
              <w:rPr>
                <w:rFonts w:asciiTheme="majorBidi" w:eastAsia="Times New Roman" w:hAnsiTheme="majorBidi" w:cstheme="majorBidi"/>
                <w:kern w:val="0"/>
                <w14:ligatures w14:val="none"/>
              </w:rPr>
              <w:lastRenderedPageBreak/>
              <w:t>organizational changes and multidisciplinary meetings</w:t>
            </w:r>
          </w:p>
        </w:tc>
      </w:tr>
      <w:tr w:rsidR="007C3E5D" w:rsidRPr="001C25D4" w14:paraId="7170CAF0" w14:textId="77777777" w:rsidTr="00881438">
        <w:trPr>
          <w:trHeight w:val="699"/>
        </w:trPr>
        <w:tc>
          <w:tcPr>
            <w:tcW w:w="1267" w:type="dxa"/>
            <w:vAlign w:val="center"/>
          </w:tcPr>
          <w:p w14:paraId="1CB8B7A8" w14:textId="77777777" w:rsidR="007C3E5D" w:rsidRPr="001C25D4" w:rsidRDefault="007C3E5D" w:rsidP="00881438">
            <w:pPr>
              <w:bidi w:val="0"/>
              <w:jc w:val="both"/>
              <w:rPr>
                <w:rFonts w:asciiTheme="majorBidi" w:hAnsiTheme="majorBidi" w:cstheme="majorBidi"/>
                <w:rtl/>
                <w:lang w:val="de-DE" w:bidi="ar-EG"/>
              </w:rPr>
            </w:pPr>
            <w:r w:rsidRPr="00642A63">
              <w:rPr>
                <w:rFonts w:asciiTheme="majorBidi" w:eastAsia="Times New Roman" w:hAnsiTheme="majorBidi" w:cstheme="majorBidi"/>
                <w:kern w:val="0"/>
                <w14:ligatures w14:val="none"/>
              </w:rPr>
              <w:lastRenderedPageBreak/>
              <w:t>Emma Lundin, Tove E. Godskesen (2021)</w:t>
            </w:r>
            <w:r w:rsidRPr="001C25D4">
              <w:rPr>
                <w:rFonts w:asciiTheme="majorBidi" w:eastAsia="Times New Roman" w:hAnsiTheme="majorBidi" w:cstheme="majorBidi"/>
                <w:kern w:val="0"/>
                <w14:ligatures w14:val="none"/>
              </w:rPr>
              <w:fldChar w:fldCharType="begin" w:fldLock="1"/>
            </w:r>
            <w:r>
              <w:rPr>
                <w:rFonts w:asciiTheme="majorBidi" w:eastAsia="Times New Roman" w:hAnsiTheme="majorBidi" w:cstheme="majorBidi"/>
                <w:kern w:val="0"/>
                <w14:ligatures w14:val="none"/>
              </w:rPr>
              <w:instrText>ADDIN CSL_CITATION {"citationItems":[{"id":"ITEM-1","itemData":{"DOI":"10.1186/s12912-021-00566-7","ISSN":"1472-6955","author":[{"dropping-particle":"","family":"Lundin","given":"Emma","non-dropping-particle":"","parse-names":false,"suffix":""},{"dropping-particle":"","family":"Godskesen","given":"Tove E.","non-dropping-particle":"","parse-names":false,"suffix":""}],"container-title":"BMC Nursing","id":"ITEM-1","issue":"1","issued":{"date-parts":[["2021","12","20"]]},"page":"48","title":"End-of-life care for people with advanced dementia and pain: a qualitative study in Swedish nursing homes","type":"article-journal","volume":"20"},"uris":["http://www.mendeley.com/documents/?uuid=6f6cc5b1-ebf9-42ea-94c3-0a0658cb8112"]}],"mendeley":{"formattedCitation":"[51]","plainTextFormattedCitation":"[51]","previouslyFormattedCitation":"[51]"},"properties":{"noteIndex":0},"schema":"https://github.com/citation-style-language/schema/raw/master/csl-citation.json"}</w:instrText>
            </w:r>
            <w:r w:rsidRPr="001C25D4">
              <w:rPr>
                <w:rFonts w:asciiTheme="majorBidi" w:eastAsia="Times New Roman" w:hAnsiTheme="majorBidi" w:cstheme="majorBidi"/>
                <w:kern w:val="0"/>
                <w14:ligatures w14:val="none"/>
              </w:rPr>
              <w:fldChar w:fldCharType="separate"/>
            </w:r>
            <w:r w:rsidRPr="001764F9">
              <w:rPr>
                <w:rFonts w:asciiTheme="majorBidi" w:eastAsia="Times New Roman" w:hAnsiTheme="majorBidi" w:cstheme="majorBidi"/>
                <w:noProof/>
                <w:kern w:val="0"/>
                <w14:ligatures w14:val="none"/>
              </w:rPr>
              <w:t>[51]</w:t>
            </w:r>
            <w:r w:rsidRPr="001C25D4">
              <w:rPr>
                <w:rFonts w:asciiTheme="majorBidi" w:eastAsia="Times New Roman" w:hAnsiTheme="majorBidi" w:cstheme="majorBidi"/>
                <w:kern w:val="0"/>
                <w14:ligatures w14:val="none"/>
              </w:rPr>
              <w:fldChar w:fldCharType="end"/>
            </w:r>
          </w:p>
        </w:tc>
        <w:tc>
          <w:tcPr>
            <w:tcW w:w="1002" w:type="dxa"/>
            <w:vAlign w:val="center"/>
          </w:tcPr>
          <w:p w14:paraId="756A762E" w14:textId="77777777" w:rsidR="007C3E5D" w:rsidRPr="001C25D4" w:rsidRDefault="007C3E5D" w:rsidP="00881438">
            <w:pPr>
              <w:bidi w:val="0"/>
              <w:jc w:val="both"/>
              <w:rPr>
                <w:rFonts w:asciiTheme="majorBidi" w:hAnsiTheme="majorBidi" w:cstheme="majorBidi"/>
              </w:rPr>
            </w:pPr>
            <w:r w:rsidRPr="00642A63">
              <w:rPr>
                <w:rFonts w:asciiTheme="majorBidi" w:eastAsia="Times New Roman" w:hAnsiTheme="majorBidi" w:cstheme="majorBidi"/>
                <w:kern w:val="0"/>
                <w14:ligatures w14:val="none"/>
              </w:rPr>
              <w:t>Sweden</w:t>
            </w:r>
          </w:p>
        </w:tc>
        <w:tc>
          <w:tcPr>
            <w:tcW w:w="1134" w:type="dxa"/>
            <w:vAlign w:val="center"/>
          </w:tcPr>
          <w:p w14:paraId="1044ADDD" w14:textId="77777777" w:rsidR="007C3E5D" w:rsidRPr="001C25D4" w:rsidRDefault="007C3E5D" w:rsidP="00881438">
            <w:pPr>
              <w:bidi w:val="0"/>
              <w:jc w:val="both"/>
              <w:rPr>
                <w:rFonts w:asciiTheme="majorBidi" w:hAnsiTheme="majorBidi" w:cstheme="majorBidi"/>
              </w:rPr>
            </w:pPr>
            <w:r w:rsidRPr="00642A63">
              <w:rPr>
                <w:rFonts w:asciiTheme="majorBidi" w:eastAsia="Times New Roman" w:hAnsiTheme="majorBidi" w:cstheme="majorBidi"/>
                <w:kern w:val="0"/>
                <w14:ligatures w14:val="none"/>
              </w:rPr>
              <w:t>Qualitative study using semi-structured interviews</w:t>
            </w:r>
          </w:p>
        </w:tc>
        <w:tc>
          <w:tcPr>
            <w:tcW w:w="1001" w:type="dxa"/>
            <w:vAlign w:val="center"/>
          </w:tcPr>
          <w:p w14:paraId="35CEA12C" w14:textId="77777777" w:rsidR="007C3E5D" w:rsidRPr="001C25D4" w:rsidRDefault="007C3E5D" w:rsidP="00881438">
            <w:pPr>
              <w:bidi w:val="0"/>
              <w:jc w:val="both"/>
              <w:rPr>
                <w:rFonts w:asciiTheme="majorBidi" w:hAnsiTheme="majorBidi" w:cstheme="majorBidi"/>
              </w:rPr>
            </w:pPr>
            <w:r w:rsidRPr="00642A63">
              <w:rPr>
                <w:rFonts w:asciiTheme="majorBidi" w:eastAsia="Times New Roman" w:hAnsiTheme="majorBidi" w:cstheme="majorBidi"/>
                <w:kern w:val="0"/>
                <w14:ligatures w14:val="none"/>
              </w:rPr>
              <w:t>13 nurses</w:t>
            </w:r>
          </w:p>
        </w:tc>
        <w:tc>
          <w:tcPr>
            <w:tcW w:w="1566" w:type="dxa"/>
            <w:vAlign w:val="center"/>
          </w:tcPr>
          <w:p w14:paraId="5309DD11" w14:textId="77777777" w:rsidR="007C3E5D" w:rsidRPr="001C25D4" w:rsidRDefault="007C3E5D" w:rsidP="00881438">
            <w:pPr>
              <w:bidi w:val="0"/>
              <w:jc w:val="both"/>
              <w:rPr>
                <w:rFonts w:asciiTheme="majorBidi" w:hAnsiTheme="majorBidi" w:cstheme="majorBidi"/>
              </w:rPr>
            </w:pPr>
            <w:r w:rsidRPr="00642A63">
              <w:rPr>
                <w:rFonts w:asciiTheme="majorBidi" w:eastAsia="Times New Roman" w:hAnsiTheme="majorBidi" w:cstheme="majorBidi"/>
                <w:kern w:val="0"/>
                <w14:ligatures w14:val="none"/>
              </w:rPr>
              <w:t>Nurses working in nursing homes</w:t>
            </w:r>
          </w:p>
        </w:tc>
        <w:tc>
          <w:tcPr>
            <w:tcW w:w="1402" w:type="dxa"/>
            <w:vAlign w:val="center"/>
          </w:tcPr>
          <w:p w14:paraId="3C72A4FA" w14:textId="77777777" w:rsidR="007C3E5D" w:rsidRPr="001C25D4" w:rsidRDefault="007C3E5D" w:rsidP="00881438">
            <w:pPr>
              <w:bidi w:val="0"/>
              <w:jc w:val="both"/>
              <w:rPr>
                <w:rFonts w:asciiTheme="majorBidi" w:hAnsiTheme="majorBidi" w:cstheme="majorBidi"/>
              </w:rPr>
            </w:pPr>
            <w:r w:rsidRPr="00642A63">
              <w:rPr>
                <w:rFonts w:asciiTheme="majorBidi" w:eastAsia="Times New Roman" w:hAnsiTheme="majorBidi" w:cstheme="majorBidi"/>
                <w:kern w:val="0"/>
                <w14:ligatures w14:val="none"/>
              </w:rPr>
              <w:t>End-of-life care for residents with advanced dementia and pain</w:t>
            </w:r>
          </w:p>
        </w:tc>
        <w:tc>
          <w:tcPr>
            <w:tcW w:w="1701" w:type="dxa"/>
            <w:vAlign w:val="center"/>
          </w:tcPr>
          <w:p w14:paraId="152FCF75" w14:textId="77777777" w:rsidR="007C3E5D" w:rsidRPr="001C25D4" w:rsidRDefault="007C3E5D" w:rsidP="00881438">
            <w:pPr>
              <w:bidi w:val="0"/>
              <w:jc w:val="both"/>
              <w:rPr>
                <w:rFonts w:asciiTheme="majorBidi" w:hAnsiTheme="majorBidi" w:cstheme="majorBidi"/>
              </w:rPr>
            </w:pPr>
            <w:r w:rsidRPr="00642A63">
              <w:rPr>
                <w:rFonts w:asciiTheme="majorBidi" w:eastAsia="Times New Roman" w:hAnsiTheme="majorBidi" w:cstheme="majorBidi"/>
                <w:kern w:val="0"/>
                <w14:ligatures w14:val="none"/>
              </w:rPr>
              <w:t>End-of-life care; communication; relational and organizational challenges</w:t>
            </w:r>
          </w:p>
        </w:tc>
        <w:tc>
          <w:tcPr>
            <w:tcW w:w="1701" w:type="dxa"/>
            <w:vAlign w:val="center"/>
          </w:tcPr>
          <w:p w14:paraId="66367DAA" w14:textId="77777777" w:rsidR="007C3E5D" w:rsidRPr="001C25D4" w:rsidRDefault="007C3E5D" w:rsidP="00881438">
            <w:pPr>
              <w:bidi w:val="0"/>
              <w:jc w:val="both"/>
              <w:rPr>
                <w:rFonts w:asciiTheme="majorBidi" w:hAnsiTheme="majorBidi" w:cstheme="majorBidi"/>
              </w:rPr>
            </w:pPr>
            <w:r w:rsidRPr="00642A63">
              <w:rPr>
                <w:rFonts w:asciiTheme="majorBidi" w:eastAsia="Times New Roman" w:hAnsiTheme="majorBidi" w:cstheme="majorBidi"/>
                <w:kern w:val="0"/>
                <w14:ligatures w14:val="none"/>
              </w:rPr>
              <w:t>Communication, decision-making and ethical issues in end-of-life care for residents with dementia</w:t>
            </w:r>
          </w:p>
        </w:tc>
        <w:tc>
          <w:tcPr>
            <w:tcW w:w="1453" w:type="dxa"/>
            <w:vAlign w:val="center"/>
          </w:tcPr>
          <w:p w14:paraId="537FCB82" w14:textId="77777777" w:rsidR="007C3E5D" w:rsidRPr="001C25D4" w:rsidRDefault="007C3E5D" w:rsidP="00881438">
            <w:pPr>
              <w:bidi w:val="0"/>
              <w:jc w:val="both"/>
              <w:rPr>
                <w:rFonts w:asciiTheme="majorBidi" w:hAnsiTheme="majorBidi" w:cstheme="majorBidi"/>
              </w:rPr>
            </w:pPr>
            <w:r w:rsidRPr="00642A63">
              <w:rPr>
                <w:rFonts w:asciiTheme="majorBidi" w:eastAsia="Times New Roman" w:hAnsiTheme="majorBidi" w:cstheme="majorBidi"/>
                <w:kern w:val="0"/>
                <w14:ligatures w14:val="none"/>
              </w:rPr>
              <w:t>Communication barriers; challenges in relational and organizational structures</w:t>
            </w:r>
          </w:p>
        </w:tc>
        <w:tc>
          <w:tcPr>
            <w:tcW w:w="1524" w:type="dxa"/>
            <w:vAlign w:val="center"/>
          </w:tcPr>
          <w:p w14:paraId="68AF1184" w14:textId="77777777" w:rsidR="007C3E5D" w:rsidRPr="001C25D4" w:rsidRDefault="007C3E5D" w:rsidP="00881438">
            <w:pPr>
              <w:bidi w:val="0"/>
              <w:jc w:val="both"/>
              <w:rPr>
                <w:rFonts w:asciiTheme="majorBidi" w:hAnsiTheme="majorBidi" w:cstheme="majorBidi"/>
              </w:rPr>
            </w:pPr>
            <w:r w:rsidRPr="00642A63">
              <w:rPr>
                <w:rFonts w:asciiTheme="majorBidi" w:eastAsia="Times New Roman" w:hAnsiTheme="majorBidi" w:cstheme="majorBidi"/>
                <w:kern w:val="0"/>
                <w14:ligatures w14:val="none"/>
              </w:rPr>
              <w:t>Improve communication training and team collaboration to enhance end-of-life care</w:t>
            </w:r>
          </w:p>
        </w:tc>
        <w:tc>
          <w:tcPr>
            <w:tcW w:w="1667" w:type="dxa"/>
            <w:vAlign w:val="center"/>
          </w:tcPr>
          <w:p w14:paraId="1F3FE63F" w14:textId="77777777" w:rsidR="007C3E5D" w:rsidRPr="001C25D4" w:rsidRDefault="007C3E5D" w:rsidP="00881438">
            <w:pPr>
              <w:bidi w:val="0"/>
              <w:jc w:val="both"/>
              <w:rPr>
                <w:rFonts w:asciiTheme="majorBidi" w:hAnsiTheme="majorBidi" w:cstheme="majorBidi"/>
              </w:rPr>
            </w:pPr>
            <w:r w:rsidRPr="00642A63">
              <w:rPr>
                <w:rFonts w:asciiTheme="majorBidi" w:eastAsia="Times New Roman" w:hAnsiTheme="majorBidi" w:cstheme="majorBidi"/>
                <w:kern w:val="0"/>
                <w14:ligatures w14:val="none"/>
              </w:rPr>
              <w:t>Explore differences in views between urban and rural areas and international comparisons</w:t>
            </w:r>
          </w:p>
        </w:tc>
      </w:tr>
      <w:tr w:rsidR="007C3E5D" w:rsidRPr="001C25D4" w14:paraId="0BB720B5" w14:textId="77777777" w:rsidTr="00881438">
        <w:trPr>
          <w:trHeight w:val="699"/>
        </w:trPr>
        <w:tc>
          <w:tcPr>
            <w:tcW w:w="1267" w:type="dxa"/>
          </w:tcPr>
          <w:p w14:paraId="0F26410B"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Elisabeth Diehl, et al.,</w:t>
            </w:r>
            <w:r w:rsidRPr="00D87299">
              <w:rPr>
                <w:rFonts w:asciiTheme="majorBidi" w:eastAsia="Times New Roman" w:hAnsiTheme="majorBidi" w:cstheme="majorBidi"/>
                <w:kern w:val="0"/>
                <w14:ligatures w14:val="none"/>
              </w:rPr>
              <w:t xml:space="preserve"> </w:t>
            </w:r>
            <w:r w:rsidRPr="001C25D4">
              <w:rPr>
                <w:rFonts w:asciiTheme="majorBidi" w:eastAsia="Times New Roman" w:hAnsiTheme="majorBidi" w:cstheme="majorBidi"/>
                <w:kern w:val="0"/>
                <w14:ligatures w14:val="none"/>
              </w:rPr>
              <w:t>(2021)</w:t>
            </w:r>
            <w:r w:rsidRPr="001C25D4">
              <w:rPr>
                <w:rFonts w:asciiTheme="majorBidi" w:eastAsia="Times New Roman" w:hAnsiTheme="majorBidi" w:cstheme="majorBidi"/>
                <w:kern w:val="0"/>
                <w14:ligatures w14:val="none"/>
              </w:rPr>
              <w:fldChar w:fldCharType="begin" w:fldLock="1"/>
            </w:r>
            <w:r>
              <w:rPr>
                <w:rFonts w:asciiTheme="majorBidi" w:eastAsia="Times New Roman" w:hAnsiTheme="majorBidi" w:cstheme="majorBidi"/>
                <w:kern w:val="0"/>
                <w14:ligatures w14:val="none"/>
              </w:rPr>
              <w:instrText>ADDIN CSL_CITATION {"citationItems":[{"id":"ITEM-1","itemData":{"DOI":"10.1186/s12912-021-00687-z","ISSN":"1472-6955","author":[{"dropping-particle":"","family":"Diehl","given":"Elisabeth","non-dropping-particle":"","parse-names":false,"suffix":""},{"dropping-particle":"","family":"Rieger","given":"Sandra","non-dropping-particle":"","parse-names":false,"suffix":""},{"dropping-particle":"","family":"Letzel","given":"Stephan","non-dropping-particle":"","parse-names":false,"suffix":""},{"dropping-particle":"","family":"Schablon","given":"Anja","non-dropping-particle":"","parse-names":false,"suffix":""},{"dropping-particle":"","family":"Nienhaus","given":"Albert","non-dropping-particle":"","parse-names":false,"suffix":""},{"dropping-particle":"","family":"Escobar Pinzon","given":"Luis Carlos","non-dropping-particle":"","parse-names":false,"suffix":""},{"dropping-particle":"","family":"Dietz","given":"Pavel","non-dropping-particle":"","parse-names":false,"suffix":""}],"container-title":"BMC Nursing","id":"ITEM-1","issue":"1","issued":{"date-parts":[["2021","12","6"]]},"page":"162","title":"Burdens, resources, health and wellbeing of nurses working in general and specialised palliative care in Germany – results of a nationwide cross-sectional survey study","type":"article-journal","volume":"20"},"uris":["http://www.mendeley.com/documents/?uuid=f892294d-2bda-4bbb-97b9-5bd6fb79ec07"]}],"mendeley":{"formattedCitation":"[54]","plainTextFormattedCitation":"[54]","previouslyFormattedCitation":"[54]"},"properties":{"noteIndex":0},"schema":"https://github.com/citation-style-language/schema/raw/master/csl-citation.json"}</w:instrText>
            </w:r>
            <w:r w:rsidRPr="001C25D4">
              <w:rPr>
                <w:rFonts w:asciiTheme="majorBidi" w:eastAsia="Times New Roman" w:hAnsiTheme="majorBidi" w:cstheme="majorBidi"/>
                <w:kern w:val="0"/>
                <w14:ligatures w14:val="none"/>
              </w:rPr>
              <w:fldChar w:fldCharType="separate"/>
            </w:r>
            <w:r w:rsidRPr="001764F9">
              <w:rPr>
                <w:rFonts w:asciiTheme="majorBidi" w:eastAsia="Times New Roman" w:hAnsiTheme="majorBidi" w:cstheme="majorBidi"/>
                <w:noProof/>
                <w:kern w:val="0"/>
                <w14:ligatures w14:val="none"/>
              </w:rPr>
              <w:t>[54]</w:t>
            </w:r>
            <w:r w:rsidRPr="001C25D4">
              <w:rPr>
                <w:rFonts w:asciiTheme="majorBidi" w:eastAsia="Times New Roman" w:hAnsiTheme="majorBidi" w:cstheme="majorBidi"/>
                <w:kern w:val="0"/>
                <w14:ligatures w14:val="none"/>
              </w:rPr>
              <w:fldChar w:fldCharType="end"/>
            </w:r>
          </w:p>
        </w:tc>
        <w:tc>
          <w:tcPr>
            <w:tcW w:w="1002" w:type="dxa"/>
          </w:tcPr>
          <w:p w14:paraId="4999ED2E"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Germany</w:t>
            </w:r>
          </w:p>
        </w:tc>
        <w:tc>
          <w:tcPr>
            <w:tcW w:w="1134" w:type="dxa"/>
          </w:tcPr>
          <w:p w14:paraId="312CE1AB"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Nationwide cross-sectional survey</w:t>
            </w:r>
          </w:p>
        </w:tc>
        <w:tc>
          <w:tcPr>
            <w:tcW w:w="1001" w:type="dxa"/>
          </w:tcPr>
          <w:p w14:paraId="21DA1C70"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437 nurses in GPC, 1316 nurses in SPC</w:t>
            </w:r>
          </w:p>
        </w:tc>
        <w:tc>
          <w:tcPr>
            <w:tcW w:w="1566" w:type="dxa"/>
          </w:tcPr>
          <w:p w14:paraId="4781BAD2"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Nurses working in GPC and SPC</w:t>
            </w:r>
          </w:p>
        </w:tc>
        <w:tc>
          <w:tcPr>
            <w:tcW w:w="1402" w:type="dxa"/>
          </w:tcPr>
          <w:p w14:paraId="56E8E4BA"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End-of-life care for residents with advanced dementia and pain</w:t>
            </w:r>
          </w:p>
        </w:tc>
        <w:tc>
          <w:tcPr>
            <w:tcW w:w="1701" w:type="dxa"/>
          </w:tcPr>
          <w:p w14:paraId="3F9B96A0"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Communication, relational and organizational challenges</w:t>
            </w:r>
          </w:p>
        </w:tc>
        <w:tc>
          <w:tcPr>
            <w:tcW w:w="1701" w:type="dxa"/>
          </w:tcPr>
          <w:p w14:paraId="4EEE56E9"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Differences in burdens, resources, health, and wellbeing between GPC and SPC nurses</w:t>
            </w:r>
          </w:p>
        </w:tc>
        <w:tc>
          <w:tcPr>
            <w:tcW w:w="1453" w:type="dxa"/>
          </w:tcPr>
          <w:p w14:paraId="2888F9DE"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Communication barriers; challenges in relational and organizational structures</w:t>
            </w:r>
          </w:p>
        </w:tc>
        <w:tc>
          <w:tcPr>
            <w:tcW w:w="1524" w:type="dxa"/>
          </w:tcPr>
          <w:p w14:paraId="29E68F98"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Develop training programs for nurses to address identified issues and implement specialist nursing roles</w:t>
            </w:r>
          </w:p>
        </w:tc>
        <w:tc>
          <w:tcPr>
            <w:tcW w:w="1667" w:type="dxa"/>
          </w:tcPr>
          <w:p w14:paraId="0D1F7ACF"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Explore influences of experience and organizational factors; longitudinal intervention studies</w:t>
            </w:r>
          </w:p>
        </w:tc>
      </w:tr>
      <w:tr w:rsidR="007C3E5D" w:rsidRPr="001C25D4" w14:paraId="0B2B7EA3" w14:textId="77777777" w:rsidTr="00881438">
        <w:trPr>
          <w:trHeight w:val="699"/>
        </w:trPr>
        <w:tc>
          <w:tcPr>
            <w:tcW w:w="1267" w:type="dxa"/>
          </w:tcPr>
          <w:p w14:paraId="0B6E7A80" w14:textId="77777777" w:rsidR="007C3E5D" w:rsidRPr="001C25D4" w:rsidRDefault="007C3E5D" w:rsidP="00881438">
            <w:pPr>
              <w:bidi w:val="0"/>
              <w:jc w:val="both"/>
              <w:rPr>
                <w:rFonts w:asciiTheme="majorBidi" w:eastAsia="Times New Roman" w:hAnsiTheme="majorBidi" w:cstheme="majorBidi"/>
                <w:kern w:val="0"/>
                <w14:ligatures w14:val="none"/>
              </w:rPr>
            </w:pPr>
            <w:proofErr w:type="spellStart"/>
            <w:r w:rsidRPr="001C25D4">
              <w:rPr>
                <w:rFonts w:asciiTheme="majorBidi" w:eastAsia="Times New Roman" w:hAnsiTheme="majorBidi" w:cstheme="majorBidi"/>
                <w:kern w:val="0"/>
                <w14:ligatures w14:val="none"/>
              </w:rPr>
              <w:t>Yuanfei</w:t>
            </w:r>
            <w:proofErr w:type="spellEnd"/>
            <w:r w:rsidRPr="001C25D4">
              <w:rPr>
                <w:rFonts w:asciiTheme="majorBidi" w:eastAsia="Times New Roman" w:hAnsiTheme="majorBidi" w:cstheme="majorBidi"/>
                <w:kern w:val="0"/>
                <w14:ligatures w14:val="none"/>
              </w:rPr>
              <w:t xml:space="preserve"> Liu, et al.,</w:t>
            </w:r>
            <w:r w:rsidRPr="00D87299">
              <w:rPr>
                <w:rFonts w:asciiTheme="majorBidi" w:eastAsia="Times New Roman" w:hAnsiTheme="majorBidi" w:cstheme="majorBidi"/>
                <w:kern w:val="0"/>
                <w14:ligatures w14:val="none"/>
              </w:rPr>
              <w:t xml:space="preserve"> </w:t>
            </w:r>
            <w:r w:rsidRPr="001C25D4">
              <w:rPr>
                <w:rFonts w:asciiTheme="majorBidi" w:eastAsia="Times New Roman" w:hAnsiTheme="majorBidi" w:cstheme="majorBidi"/>
                <w:kern w:val="0"/>
                <w14:ligatures w14:val="none"/>
              </w:rPr>
              <w:t>(2023)</w:t>
            </w:r>
            <w:r w:rsidRPr="001C25D4">
              <w:rPr>
                <w:rFonts w:asciiTheme="majorBidi" w:eastAsia="Times New Roman" w:hAnsiTheme="majorBidi" w:cstheme="majorBidi"/>
                <w:kern w:val="0"/>
                <w14:ligatures w14:val="none"/>
              </w:rPr>
              <w:fldChar w:fldCharType="begin" w:fldLock="1"/>
            </w:r>
            <w:r>
              <w:rPr>
                <w:rFonts w:asciiTheme="majorBidi" w:eastAsia="Times New Roman" w:hAnsiTheme="majorBidi" w:cstheme="majorBidi"/>
                <w:kern w:val="0"/>
                <w14:ligatures w14:val="none"/>
              </w:rPr>
              <w:instrText>ADDIN CSL_CITATION {"citationItems":[{"id":"ITEM-1","itemData":{"DOI":"10.1016/j.gerinurse.2017.03.016","ISSN":"01974572","author":[{"dropping-particle":"","family":"Carpenter","given":"Joan G.","non-dropping-particle":"","parse-names":false,"suffix":""},{"dropping-particle":"","family":"Berry","given":"Patricia H.","non-dropping-particle":"","parse-names":false,"suffix":""},{"dropping-particle":"","family":"Ersek","given":"Mary","non-dropping-particle":"","parse-names":false,"suffix":""}],"container-title":"Geriatric Nursing","id":"ITEM-1","issue":"6","issued":{"date-parts":[["2017","11"]]},"page":"531-536","title":"Nursing home care trajectories for older adults following in-hospital palliative care consultation","type":"article-journal","volume":"38"},"uris":["http://www.mendeley.com/documents/?uuid=a0e45f03-e0e6-4b16-8140-c6e306e72c38"]}],"mendeley":{"formattedCitation":"[57]","plainTextFormattedCitation":"[57]","previouslyFormattedCitation":"[57]"},"properties":{"noteIndex":0},"schema":"https://github.com/citation-style-language/schema/raw/master/csl-citation.json"}</w:instrText>
            </w:r>
            <w:r w:rsidRPr="001C25D4">
              <w:rPr>
                <w:rFonts w:asciiTheme="majorBidi" w:eastAsia="Times New Roman" w:hAnsiTheme="majorBidi" w:cstheme="majorBidi"/>
                <w:kern w:val="0"/>
                <w14:ligatures w14:val="none"/>
              </w:rPr>
              <w:fldChar w:fldCharType="separate"/>
            </w:r>
            <w:r w:rsidRPr="001764F9">
              <w:rPr>
                <w:rFonts w:asciiTheme="majorBidi" w:eastAsia="Times New Roman" w:hAnsiTheme="majorBidi" w:cstheme="majorBidi"/>
                <w:noProof/>
                <w:kern w:val="0"/>
                <w14:ligatures w14:val="none"/>
              </w:rPr>
              <w:t>[57]</w:t>
            </w:r>
            <w:r w:rsidRPr="001C25D4">
              <w:rPr>
                <w:rFonts w:asciiTheme="majorBidi" w:eastAsia="Times New Roman" w:hAnsiTheme="majorBidi" w:cstheme="majorBidi"/>
                <w:kern w:val="0"/>
                <w14:ligatures w14:val="none"/>
              </w:rPr>
              <w:fldChar w:fldCharType="end"/>
            </w:r>
          </w:p>
        </w:tc>
        <w:tc>
          <w:tcPr>
            <w:tcW w:w="1002" w:type="dxa"/>
          </w:tcPr>
          <w:p w14:paraId="285E4390"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China</w:t>
            </w:r>
          </w:p>
        </w:tc>
        <w:tc>
          <w:tcPr>
            <w:tcW w:w="1134" w:type="dxa"/>
          </w:tcPr>
          <w:p w14:paraId="4352B498"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Qualitative study using semi-structured interviews</w:t>
            </w:r>
          </w:p>
        </w:tc>
        <w:tc>
          <w:tcPr>
            <w:tcW w:w="1001" w:type="dxa"/>
          </w:tcPr>
          <w:p w14:paraId="56E6F76B"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15 intensive care nurses</w:t>
            </w:r>
          </w:p>
        </w:tc>
        <w:tc>
          <w:tcPr>
            <w:tcW w:w="1566" w:type="dxa"/>
          </w:tcPr>
          <w:p w14:paraId="75AEB9A8"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Intensive care nurses</w:t>
            </w:r>
          </w:p>
        </w:tc>
        <w:tc>
          <w:tcPr>
            <w:tcW w:w="1402" w:type="dxa"/>
          </w:tcPr>
          <w:p w14:paraId="4B15508D"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Coping with ethical conflict in clinical practice</w:t>
            </w:r>
          </w:p>
        </w:tc>
        <w:tc>
          <w:tcPr>
            <w:tcW w:w="1701" w:type="dxa"/>
          </w:tcPr>
          <w:p w14:paraId="0BC00811"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End-of-life care practices in ICU</w:t>
            </w:r>
          </w:p>
        </w:tc>
        <w:tc>
          <w:tcPr>
            <w:tcW w:w="1701" w:type="dxa"/>
          </w:tcPr>
          <w:p w14:paraId="61023BA8"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 xml:space="preserve">Detachment and engagement coping strategies including ignoring problems, seeking emotional </w:t>
            </w:r>
            <w:r w:rsidRPr="001C25D4">
              <w:rPr>
                <w:rFonts w:asciiTheme="majorBidi" w:eastAsia="Times New Roman" w:hAnsiTheme="majorBidi" w:cstheme="majorBidi"/>
                <w:kern w:val="0"/>
                <w14:ligatures w14:val="none"/>
              </w:rPr>
              <w:lastRenderedPageBreak/>
              <w:t>expression, perspective-taking, and identifying positives</w:t>
            </w:r>
          </w:p>
        </w:tc>
        <w:tc>
          <w:tcPr>
            <w:tcW w:w="1453" w:type="dxa"/>
          </w:tcPr>
          <w:p w14:paraId="2DB780D0"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lastRenderedPageBreak/>
              <w:t>Communication barriers; challenges in relational and organizational structures</w:t>
            </w:r>
          </w:p>
        </w:tc>
        <w:tc>
          <w:tcPr>
            <w:tcW w:w="1524" w:type="dxa"/>
          </w:tcPr>
          <w:p w14:paraId="73D56ACD"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Develop training programs to address identified issues</w:t>
            </w:r>
          </w:p>
        </w:tc>
        <w:tc>
          <w:tcPr>
            <w:tcW w:w="1667" w:type="dxa"/>
          </w:tcPr>
          <w:p w14:paraId="5D6F2000"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 xml:space="preserve">Explore influences of experience and organizational factors; qualitative and quantitative longitudinal </w:t>
            </w:r>
            <w:r w:rsidRPr="001C25D4">
              <w:rPr>
                <w:rFonts w:asciiTheme="majorBidi" w:eastAsia="Times New Roman" w:hAnsiTheme="majorBidi" w:cstheme="majorBidi"/>
                <w:kern w:val="0"/>
                <w14:ligatures w14:val="none"/>
              </w:rPr>
              <w:lastRenderedPageBreak/>
              <w:t>studies</w:t>
            </w:r>
          </w:p>
        </w:tc>
      </w:tr>
      <w:tr w:rsidR="007C3E5D" w:rsidRPr="001C25D4" w14:paraId="3EB00A76" w14:textId="77777777" w:rsidTr="00881438">
        <w:trPr>
          <w:trHeight w:val="699"/>
        </w:trPr>
        <w:tc>
          <w:tcPr>
            <w:tcW w:w="1267" w:type="dxa"/>
          </w:tcPr>
          <w:p w14:paraId="1EA5F681" w14:textId="77777777" w:rsidR="007C3E5D" w:rsidRPr="001C25D4" w:rsidRDefault="007C3E5D" w:rsidP="00881438">
            <w:pPr>
              <w:bidi w:val="0"/>
              <w:jc w:val="both"/>
              <w:rPr>
                <w:rFonts w:asciiTheme="majorBidi" w:eastAsia="Times New Roman" w:hAnsiTheme="majorBidi" w:cstheme="majorBidi"/>
                <w:kern w:val="0"/>
                <w:lang w:val="de-DE"/>
                <w14:ligatures w14:val="none"/>
              </w:rPr>
            </w:pPr>
            <w:r w:rsidRPr="001C25D4">
              <w:rPr>
                <w:rFonts w:asciiTheme="majorBidi" w:eastAsia="Times New Roman" w:hAnsiTheme="majorBidi" w:cstheme="majorBidi"/>
                <w:kern w:val="0"/>
                <w:lang w:val="de-DE"/>
                <w14:ligatures w14:val="none"/>
              </w:rPr>
              <w:lastRenderedPageBreak/>
              <w:t>David Kenneth Wright, et al.,</w:t>
            </w:r>
            <w:r w:rsidRPr="00D87299">
              <w:rPr>
                <w:rFonts w:asciiTheme="majorBidi" w:eastAsia="Times New Roman" w:hAnsiTheme="majorBidi" w:cstheme="majorBidi"/>
                <w:kern w:val="0"/>
                <w:lang w:val="de-DE"/>
                <w14:ligatures w14:val="none"/>
              </w:rPr>
              <w:t xml:space="preserve"> </w:t>
            </w:r>
            <w:r w:rsidRPr="001C25D4">
              <w:rPr>
                <w:rFonts w:asciiTheme="majorBidi" w:eastAsia="Times New Roman" w:hAnsiTheme="majorBidi" w:cstheme="majorBidi"/>
                <w:kern w:val="0"/>
                <w:lang w:val="de-DE"/>
                <w14:ligatures w14:val="none"/>
              </w:rPr>
              <w:t>(2021)</w:t>
            </w:r>
            <w:r w:rsidRPr="001C25D4">
              <w:rPr>
                <w:rFonts w:asciiTheme="majorBidi" w:eastAsia="Times New Roman" w:hAnsiTheme="majorBidi" w:cstheme="majorBidi"/>
                <w:kern w:val="0"/>
                <w14:ligatures w14:val="none"/>
              </w:rPr>
              <w:fldChar w:fldCharType="begin" w:fldLock="1"/>
            </w:r>
            <w:r>
              <w:rPr>
                <w:rFonts w:asciiTheme="majorBidi" w:eastAsia="Times New Roman" w:hAnsiTheme="majorBidi" w:cstheme="majorBidi"/>
                <w:kern w:val="0"/>
                <w:lang w:val="de-DE"/>
                <w14:ligatures w14:val="none"/>
              </w:rPr>
              <w:instrText>ADDIN CSL_CITATION {"citationItems":[{"id":"ITEM-1","itemData":{"DOI":"10.1016/j.socscimed.2021.114366","ISSN":"02779536","author":[{"dropping-particle":"","family":"Wright","given":"David Kenneth","non-dropping-particle":"","parse-names":false,"suffix":""},{"dropping-particle":"","family":"Chan","given":"Lisa S.","non-dropping-particle":"","parse-names":false,"suffix":""},{"dropping-particle":"","family":"Fishman","given":"Jennifer R.","non-dropping-particle":"","parse-names":false,"suffix":""},{"dropping-particle":"","family":"Macdonald","given":"Mary Ellen","non-dropping-particle":"","parse-names":false,"suffix":""}],"container-title":"Social Science &amp; Medicine","id":"ITEM-1","issued":{"date-parts":[["2021","11"]]},"page":"114366","title":"“Reflection and soul searching”: Negotiating nursing identity at the fault lines of palliative care and medical assistance in dying","type":"article-journal","volume":"289"},"uris":["http://www.mendeley.com/documents/?uuid=1882cf76-d8f3-45e8-bc1d-aafba9863c72"]}],"mendeley":{"formattedCitation":"[52]","plainTextFormattedCitation":"[52]","previouslyFormattedCitation":"[52]"},"properties":{"noteIndex":0},"schema":"https://github.com/citation-style-language/schema/raw/master/csl-citation.json"}</w:instrText>
            </w:r>
            <w:r w:rsidRPr="001C25D4">
              <w:rPr>
                <w:rFonts w:asciiTheme="majorBidi" w:eastAsia="Times New Roman" w:hAnsiTheme="majorBidi" w:cstheme="majorBidi"/>
                <w:kern w:val="0"/>
                <w14:ligatures w14:val="none"/>
              </w:rPr>
              <w:fldChar w:fldCharType="separate"/>
            </w:r>
            <w:r w:rsidRPr="001764F9">
              <w:rPr>
                <w:rFonts w:asciiTheme="majorBidi" w:eastAsia="Times New Roman" w:hAnsiTheme="majorBidi" w:cstheme="majorBidi"/>
                <w:noProof/>
                <w:kern w:val="0"/>
                <w:lang w:val="de-DE"/>
                <w14:ligatures w14:val="none"/>
              </w:rPr>
              <w:t>[52]</w:t>
            </w:r>
            <w:r w:rsidRPr="001C25D4">
              <w:rPr>
                <w:rFonts w:asciiTheme="majorBidi" w:eastAsia="Times New Roman" w:hAnsiTheme="majorBidi" w:cstheme="majorBidi"/>
                <w:kern w:val="0"/>
                <w14:ligatures w14:val="none"/>
              </w:rPr>
              <w:fldChar w:fldCharType="end"/>
            </w:r>
          </w:p>
        </w:tc>
        <w:tc>
          <w:tcPr>
            <w:tcW w:w="1002" w:type="dxa"/>
          </w:tcPr>
          <w:p w14:paraId="5FEE6AAF"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Canada</w:t>
            </w:r>
          </w:p>
        </w:tc>
        <w:tc>
          <w:tcPr>
            <w:tcW w:w="1134" w:type="dxa"/>
          </w:tcPr>
          <w:p w14:paraId="587FA1C6"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Qualitative study</w:t>
            </w:r>
          </w:p>
        </w:tc>
        <w:tc>
          <w:tcPr>
            <w:tcW w:w="1001" w:type="dxa"/>
          </w:tcPr>
          <w:p w14:paraId="336E1FD8"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22</w:t>
            </w:r>
          </w:p>
        </w:tc>
        <w:tc>
          <w:tcPr>
            <w:tcW w:w="1566" w:type="dxa"/>
          </w:tcPr>
          <w:p w14:paraId="22C85F10"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Palliative care nurses</w:t>
            </w:r>
          </w:p>
        </w:tc>
        <w:tc>
          <w:tcPr>
            <w:tcW w:w="1402" w:type="dxa"/>
          </w:tcPr>
          <w:p w14:paraId="7BF3A820"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Intersection of palliative care and medical assistance in dying (</w:t>
            </w:r>
            <w:proofErr w:type="spellStart"/>
            <w:r w:rsidRPr="001C25D4">
              <w:rPr>
                <w:rFonts w:asciiTheme="majorBidi" w:eastAsia="Times New Roman" w:hAnsiTheme="majorBidi" w:cstheme="majorBidi"/>
                <w:kern w:val="0"/>
                <w14:ligatures w14:val="none"/>
              </w:rPr>
              <w:t>MAiD</w:t>
            </w:r>
            <w:proofErr w:type="spellEnd"/>
            <w:r w:rsidRPr="001C25D4">
              <w:rPr>
                <w:rFonts w:asciiTheme="majorBidi" w:eastAsia="Times New Roman" w:hAnsiTheme="majorBidi" w:cstheme="majorBidi"/>
                <w:kern w:val="0"/>
                <w14:ligatures w14:val="none"/>
              </w:rPr>
              <w:t>)</w:t>
            </w:r>
          </w:p>
        </w:tc>
        <w:tc>
          <w:tcPr>
            <w:tcW w:w="1701" w:type="dxa"/>
          </w:tcPr>
          <w:p w14:paraId="4D85C01F"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 xml:space="preserve">Navigating the demarcation between palliative care and </w:t>
            </w:r>
            <w:proofErr w:type="spellStart"/>
            <w:r w:rsidRPr="001C25D4">
              <w:rPr>
                <w:rFonts w:asciiTheme="majorBidi" w:eastAsia="Times New Roman" w:hAnsiTheme="majorBidi" w:cstheme="majorBidi"/>
                <w:kern w:val="0"/>
                <w14:ligatures w14:val="none"/>
              </w:rPr>
              <w:t>MAiD</w:t>
            </w:r>
            <w:proofErr w:type="spellEnd"/>
            <w:r w:rsidRPr="001C25D4">
              <w:rPr>
                <w:rFonts w:asciiTheme="majorBidi" w:eastAsia="Times New Roman" w:hAnsiTheme="majorBidi" w:cstheme="majorBidi"/>
                <w:kern w:val="0"/>
                <w14:ligatures w14:val="none"/>
              </w:rPr>
              <w:t xml:space="preserve"> in everyday practice</w:t>
            </w:r>
          </w:p>
        </w:tc>
        <w:tc>
          <w:tcPr>
            <w:tcW w:w="1701" w:type="dxa"/>
          </w:tcPr>
          <w:p w14:paraId="1F283FB4"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 xml:space="preserve">Most participants engaged in an ongoing process of questioning and self-examination regarding the compatibility of </w:t>
            </w:r>
            <w:proofErr w:type="spellStart"/>
            <w:r w:rsidRPr="001C25D4">
              <w:rPr>
                <w:rFonts w:asciiTheme="majorBidi" w:eastAsia="Times New Roman" w:hAnsiTheme="majorBidi" w:cstheme="majorBidi"/>
                <w:kern w:val="0"/>
                <w14:ligatures w14:val="none"/>
              </w:rPr>
              <w:t>MAiD</w:t>
            </w:r>
            <w:proofErr w:type="spellEnd"/>
            <w:r w:rsidRPr="001C25D4">
              <w:rPr>
                <w:rFonts w:asciiTheme="majorBidi" w:eastAsia="Times New Roman" w:hAnsiTheme="majorBidi" w:cstheme="majorBidi"/>
                <w:kern w:val="0"/>
                <w14:ligatures w14:val="none"/>
              </w:rPr>
              <w:t xml:space="preserve"> with palliative care. Nurses grappled with the finality of </w:t>
            </w:r>
            <w:proofErr w:type="spellStart"/>
            <w:r w:rsidRPr="001C25D4">
              <w:rPr>
                <w:rFonts w:asciiTheme="majorBidi" w:eastAsia="Times New Roman" w:hAnsiTheme="majorBidi" w:cstheme="majorBidi"/>
                <w:kern w:val="0"/>
                <w14:ligatures w14:val="none"/>
              </w:rPr>
              <w:t>MAiD</w:t>
            </w:r>
            <w:proofErr w:type="spellEnd"/>
            <w:r w:rsidRPr="001C25D4">
              <w:rPr>
                <w:rFonts w:asciiTheme="majorBidi" w:eastAsia="Times New Roman" w:hAnsiTheme="majorBidi" w:cstheme="majorBidi"/>
                <w:kern w:val="0"/>
                <w14:ligatures w14:val="none"/>
              </w:rPr>
              <w:t>.</w:t>
            </w:r>
          </w:p>
          <w:p w14:paraId="66209915"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Balancing non-abandonment and respecting individuals' choices.</w:t>
            </w:r>
          </w:p>
        </w:tc>
        <w:tc>
          <w:tcPr>
            <w:tcW w:w="1453" w:type="dxa"/>
          </w:tcPr>
          <w:p w14:paraId="0B9D996B" w14:textId="77777777" w:rsidR="007C3E5D" w:rsidRPr="001C25D4" w:rsidRDefault="007C3E5D" w:rsidP="00881438">
            <w:pPr>
              <w:bidi w:val="0"/>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 xml:space="preserve">Nuanced ethical reflections on the compatibility of </w:t>
            </w:r>
            <w:proofErr w:type="spellStart"/>
            <w:r w:rsidRPr="001C25D4">
              <w:rPr>
                <w:rFonts w:asciiTheme="majorBidi" w:eastAsia="Times New Roman" w:hAnsiTheme="majorBidi" w:cstheme="majorBidi"/>
                <w:kern w:val="0"/>
                <w14:ligatures w14:val="none"/>
              </w:rPr>
              <w:t>MAiD</w:t>
            </w:r>
            <w:proofErr w:type="spellEnd"/>
            <w:r w:rsidRPr="001C25D4">
              <w:rPr>
                <w:rFonts w:asciiTheme="majorBidi" w:eastAsia="Times New Roman" w:hAnsiTheme="majorBidi" w:cstheme="majorBidi"/>
                <w:kern w:val="0"/>
                <w14:ligatures w14:val="none"/>
              </w:rPr>
              <w:t xml:space="preserve"> and palliative care</w:t>
            </w:r>
          </w:p>
          <w:p w14:paraId="381348BB" w14:textId="77777777" w:rsidR="007C3E5D" w:rsidRPr="001C25D4" w:rsidRDefault="007C3E5D" w:rsidP="00881438">
            <w:pPr>
              <w:bidi w:val="0"/>
              <w:rPr>
                <w:rFonts w:asciiTheme="majorBidi" w:eastAsia="Times New Roman" w:hAnsiTheme="majorBidi" w:cstheme="majorBidi"/>
                <w:kern w:val="0"/>
                <w14:ligatures w14:val="none"/>
              </w:rPr>
            </w:pPr>
          </w:p>
          <w:p w14:paraId="56DA03E0" w14:textId="77777777" w:rsidR="007C3E5D" w:rsidRPr="001C25D4" w:rsidRDefault="007C3E5D" w:rsidP="00881438">
            <w:pPr>
              <w:bidi w:val="0"/>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 xml:space="preserve">Grappling with the finality of </w:t>
            </w:r>
            <w:proofErr w:type="spellStart"/>
            <w:r w:rsidRPr="001C25D4">
              <w:rPr>
                <w:rFonts w:asciiTheme="majorBidi" w:eastAsia="Times New Roman" w:hAnsiTheme="majorBidi" w:cstheme="majorBidi"/>
                <w:kern w:val="0"/>
                <w14:ligatures w14:val="none"/>
              </w:rPr>
              <w:t>MAiD</w:t>
            </w:r>
            <w:proofErr w:type="spellEnd"/>
            <w:r w:rsidRPr="001C25D4">
              <w:rPr>
                <w:rFonts w:asciiTheme="majorBidi" w:eastAsia="Times New Roman" w:hAnsiTheme="majorBidi" w:cstheme="majorBidi"/>
                <w:kern w:val="0"/>
                <w14:ligatures w14:val="none"/>
              </w:rPr>
              <w:t>.</w:t>
            </w:r>
          </w:p>
          <w:p w14:paraId="04D38F55" w14:textId="77777777" w:rsidR="007C3E5D" w:rsidRPr="001C25D4" w:rsidRDefault="007C3E5D" w:rsidP="00881438">
            <w:pPr>
              <w:bidi w:val="0"/>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Balancing non-abandonment and respecting individuals' choices.</w:t>
            </w:r>
          </w:p>
        </w:tc>
        <w:tc>
          <w:tcPr>
            <w:tcW w:w="1524" w:type="dxa"/>
          </w:tcPr>
          <w:p w14:paraId="432E5305"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 xml:space="preserve">Support for palliative care nurses in navigating ethical tensions related to </w:t>
            </w:r>
            <w:proofErr w:type="spellStart"/>
            <w:r w:rsidRPr="001C25D4">
              <w:rPr>
                <w:rFonts w:asciiTheme="majorBidi" w:eastAsia="Times New Roman" w:hAnsiTheme="majorBidi" w:cstheme="majorBidi"/>
                <w:kern w:val="0"/>
                <w14:ligatures w14:val="none"/>
              </w:rPr>
              <w:t>MAiD</w:t>
            </w:r>
            <w:proofErr w:type="spellEnd"/>
            <w:r w:rsidRPr="001C25D4">
              <w:rPr>
                <w:rFonts w:asciiTheme="majorBidi" w:eastAsia="Times New Roman" w:hAnsiTheme="majorBidi" w:cstheme="majorBidi"/>
                <w:kern w:val="0"/>
                <w14:ligatures w14:val="none"/>
              </w:rPr>
              <w:t xml:space="preserve">. </w:t>
            </w:r>
          </w:p>
          <w:p w14:paraId="6333C7EC" w14:textId="77777777" w:rsidR="007C3E5D" w:rsidRPr="001C25D4" w:rsidRDefault="007C3E5D" w:rsidP="00881438">
            <w:pPr>
              <w:bidi w:val="0"/>
              <w:jc w:val="both"/>
              <w:rPr>
                <w:rFonts w:asciiTheme="majorBidi" w:eastAsia="Times New Roman" w:hAnsiTheme="majorBidi" w:cstheme="majorBidi"/>
                <w:kern w:val="0"/>
                <w14:ligatures w14:val="none"/>
              </w:rPr>
            </w:pPr>
          </w:p>
          <w:p w14:paraId="54899228"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 xml:space="preserve">Recognition of the moral identity work that </w:t>
            </w:r>
            <w:proofErr w:type="spellStart"/>
            <w:r w:rsidRPr="001C25D4">
              <w:rPr>
                <w:rFonts w:asciiTheme="majorBidi" w:eastAsia="Times New Roman" w:hAnsiTheme="majorBidi" w:cstheme="majorBidi"/>
                <w:kern w:val="0"/>
                <w14:ligatures w14:val="none"/>
              </w:rPr>
              <w:t>MAiD</w:t>
            </w:r>
            <w:proofErr w:type="spellEnd"/>
            <w:r w:rsidRPr="001C25D4">
              <w:rPr>
                <w:rFonts w:asciiTheme="majorBidi" w:eastAsia="Times New Roman" w:hAnsiTheme="majorBidi" w:cstheme="majorBidi"/>
                <w:kern w:val="0"/>
                <w14:ligatures w14:val="none"/>
              </w:rPr>
              <w:t xml:space="preserve"> catalyzes among palliative care nurses.</w:t>
            </w:r>
          </w:p>
        </w:tc>
        <w:tc>
          <w:tcPr>
            <w:tcW w:w="1667" w:type="dxa"/>
          </w:tcPr>
          <w:p w14:paraId="3CB8F82D"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Exploration of experiences and perspectives of other healthcare professionals in end-of-life care.</w:t>
            </w:r>
          </w:p>
          <w:p w14:paraId="1F15A28D" w14:textId="77777777" w:rsidR="007C3E5D" w:rsidRPr="001C25D4" w:rsidRDefault="007C3E5D" w:rsidP="00881438">
            <w:pPr>
              <w:bidi w:val="0"/>
              <w:jc w:val="both"/>
              <w:rPr>
                <w:rFonts w:asciiTheme="majorBidi" w:eastAsia="Times New Roman" w:hAnsiTheme="majorBidi" w:cstheme="majorBidi"/>
                <w:kern w:val="0"/>
                <w14:ligatures w14:val="none"/>
              </w:rPr>
            </w:pPr>
          </w:p>
          <w:p w14:paraId="1C09CAA6"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 xml:space="preserve">Longitudinal studies on the evolution of ethical reflections and practices in the context of </w:t>
            </w:r>
            <w:proofErr w:type="spellStart"/>
            <w:r w:rsidRPr="001C25D4">
              <w:rPr>
                <w:rFonts w:asciiTheme="majorBidi" w:eastAsia="Times New Roman" w:hAnsiTheme="majorBidi" w:cstheme="majorBidi"/>
                <w:kern w:val="0"/>
                <w14:ligatures w14:val="none"/>
              </w:rPr>
              <w:t>MAiD</w:t>
            </w:r>
            <w:proofErr w:type="spellEnd"/>
            <w:r w:rsidRPr="001C25D4">
              <w:rPr>
                <w:rFonts w:asciiTheme="majorBidi" w:eastAsia="Times New Roman" w:hAnsiTheme="majorBidi" w:cstheme="majorBidi"/>
                <w:kern w:val="0"/>
                <w14:ligatures w14:val="none"/>
              </w:rPr>
              <w:t xml:space="preserve"> and palliative care.</w:t>
            </w:r>
          </w:p>
        </w:tc>
      </w:tr>
      <w:tr w:rsidR="007C3E5D" w:rsidRPr="001C25D4" w14:paraId="304C6C70" w14:textId="77777777" w:rsidTr="00881438">
        <w:trPr>
          <w:trHeight w:val="699"/>
        </w:trPr>
        <w:tc>
          <w:tcPr>
            <w:tcW w:w="1267" w:type="dxa"/>
          </w:tcPr>
          <w:p w14:paraId="028E27A3"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Deborah HL Muldrew et al., 2018</w:t>
            </w:r>
            <w:r w:rsidRPr="001C25D4">
              <w:rPr>
                <w:rFonts w:asciiTheme="majorBidi" w:eastAsia="Times New Roman" w:hAnsiTheme="majorBidi" w:cstheme="majorBidi"/>
                <w:kern w:val="0"/>
                <w14:ligatures w14:val="none"/>
              </w:rPr>
              <w:fldChar w:fldCharType="begin" w:fldLock="1"/>
            </w:r>
            <w:r>
              <w:rPr>
                <w:rFonts w:asciiTheme="majorBidi" w:eastAsia="Times New Roman" w:hAnsiTheme="majorBidi" w:cstheme="majorBidi"/>
                <w:kern w:val="0"/>
                <w14:ligatures w14:val="none"/>
              </w:rPr>
              <w:instrText>ADDIN CSL_CITATION {"citationItems":[{"id":"ITEM-1","itemData":{"DOI":"10.1177/0969733018779218","ISSN":"0969-7330","author":[{"dropping-particle":"","family":"Muldrew (née Preshaw)","given":"Deborah HL","non-dropping-particle":"","parse-names":false,"suffix":""},{"dropping-particle":"","family":"McLaughlin","given":"Dorry","non-dropping-particle":"","parse-names":false,"suffix":""},{"dropping-particle":"","family":"Brazil","given":"Kevin","non-dropping-particle":"","parse-names":false,"suffix":""}],"container-title":"Nursing Ethics","id":"ITEM-1","issue":"6","issued":{"date-parts":[["2019","9","26"]]},"page":"1848-1860","title":"Ethical issues experienced during palliative care provision in nursing homes","type":"article-journal","volume":"26"},"uris":["http://www.mendeley.com/documents/?uuid=e9e6d57b-3fa0-434c-b213-8402a574ed05"]}],"mendeley":{"formattedCitation":"[50]","plainTextFormattedCitation":"[50]","previouslyFormattedCitation":"[50]"},"properties":{"noteIndex":0},"schema":"https://github.com/citation-style-language/schema/raw/master/csl-citation.json"}</w:instrText>
            </w:r>
            <w:r w:rsidRPr="001C25D4">
              <w:rPr>
                <w:rFonts w:asciiTheme="majorBidi" w:eastAsia="Times New Roman" w:hAnsiTheme="majorBidi" w:cstheme="majorBidi"/>
                <w:kern w:val="0"/>
                <w14:ligatures w14:val="none"/>
              </w:rPr>
              <w:fldChar w:fldCharType="separate"/>
            </w:r>
            <w:r w:rsidRPr="001764F9">
              <w:rPr>
                <w:rFonts w:asciiTheme="majorBidi" w:eastAsia="Times New Roman" w:hAnsiTheme="majorBidi" w:cstheme="majorBidi"/>
                <w:noProof/>
                <w:kern w:val="0"/>
                <w14:ligatures w14:val="none"/>
              </w:rPr>
              <w:t>[50]</w:t>
            </w:r>
            <w:r w:rsidRPr="001C25D4">
              <w:rPr>
                <w:rFonts w:asciiTheme="majorBidi" w:eastAsia="Times New Roman" w:hAnsiTheme="majorBidi" w:cstheme="majorBidi"/>
                <w:kern w:val="0"/>
                <w14:ligatures w14:val="none"/>
              </w:rPr>
              <w:fldChar w:fldCharType="end"/>
            </w:r>
          </w:p>
        </w:tc>
        <w:tc>
          <w:tcPr>
            <w:tcW w:w="1002" w:type="dxa"/>
          </w:tcPr>
          <w:p w14:paraId="229358BB"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United Kingdom</w:t>
            </w:r>
          </w:p>
        </w:tc>
        <w:tc>
          <w:tcPr>
            <w:tcW w:w="1134" w:type="dxa"/>
          </w:tcPr>
          <w:p w14:paraId="09BFC07A"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an exploratory, sequential, mixed-methods design.</w:t>
            </w:r>
          </w:p>
        </w:tc>
        <w:tc>
          <w:tcPr>
            <w:tcW w:w="1001" w:type="dxa"/>
          </w:tcPr>
          <w:p w14:paraId="1C47B7D4"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 xml:space="preserve">69 registered nurses and 129 healthcare assistants from 18 nursing </w:t>
            </w:r>
            <w:r w:rsidRPr="001C25D4">
              <w:rPr>
                <w:rFonts w:asciiTheme="majorBidi" w:eastAsia="Times New Roman" w:hAnsiTheme="majorBidi" w:cstheme="majorBidi"/>
                <w:kern w:val="0"/>
                <w14:ligatures w14:val="none"/>
              </w:rPr>
              <w:lastRenderedPageBreak/>
              <w:t>homes</w:t>
            </w:r>
          </w:p>
        </w:tc>
        <w:tc>
          <w:tcPr>
            <w:tcW w:w="1566" w:type="dxa"/>
          </w:tcPr>
          <w:p w14:paraId="0663F9A4"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lastRenderedPageBreak/>
              <w:t>The participants were registered nurses (RNs) and healthcare assistants (HCAs) working in nursing homes.</w:t>
            </w:r>
          </w:p>
        </w:tc>
        <w:tc>
          <w:tcPr>
            <w:tcW w:w="1402" w:type="dxa"/>
          </w:tcPr>
          <w:p w14:paraId="446CAFD7"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 xml:space="preserve">The study explored ethical issues in practice, relational issues, and organizational issues related to palliative </w:t>
            </w:r>
            <w:r w:rsidRPr="001C25D4">
              <w:rPr>
                <w:rFonts w:asciiTheme="majorBidi" w:eastAsia="Times New Roman" w:hAnsiTheme="majorBidi" w:cstheme="majorBidi"/>
                <w:kern w:val="0"/>
                <w14:ligatures w14:val="none"/>
              </w:rPr>
              <w:lastRenderedPageBreak/>
              <w:t>care provision in nursing homes.</w:t>
            </w:r>
          </w:p>
        </w:tc>
        <w:tc>
          <w:tcPr>
            <w:tcW w:w="1701" w:type="dxa"/>
          </w:tcPr>
          <w:p w14:paraId="18A2ABD7"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lastRenderedPageBreak/>
              <w:t>The focus of the study was on palliative care provision in nursing homes.</w:t>
            </w:r>
          </w:p>
        </w:tc>
        <w:tc>
          <w:tcPr>
            <w:tcW w:w="1701" w:type="dxa"/>
          </w:tcPr>
          <w:p w14:paraId="33A71DB0"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 xml:space="preserve">The study revealed that relational issues, particularly those involving residents and families, were the most frequent and caused the </w:t>
            </w:r>
            <w:r w:rsidRPr="001C25D4">
              <w:rPr>
                <w:rFonts w:asciiTheme="majorBidi" w:eastAsia="Times New Roman" w:hAnsiTheme="majorBidi" w:cstheme="majorBidi"/>
                <w:kern w:val="0"/>
                <w14:ligatures w14:val="none"/>
              </w:rPr>
              <w:lastRenderedPageBreak/>
              <w:t>greatest distress. Three main themes emerged from the data: ethical issues in practice, relational issues, and organizational issues. The shared environment was identified as a key factor in the experience of ethical challenges.</w:t>
            </w:r>
          </w:p>
        </w:tc>
        <w:tc>
          <w:tcPr>
            <w:tcW w:w="1453" w:type="dxa"/>
          </w:tcPr>
          <w:p w14:paraId="2D2AC6D3" w14:textId="77777777" w:rsidR="007C3E5D" w:rsidRPr="001C25D4" w:rsidRDefault="007C3E5D" w:rsidP="00881438">
            <w:pPr>
              <w:bidi w:val="0"/>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lastRenderedPageBreak/>
              <w:t xml:space="preserve">efforts should be made to improve staff knowledge and enhance service organization to address ethical challenges </w:t>
            </w:r>
            <w:r w:rsidRPr="001C25D4">
              <w:rPr>
                <w:rFonts w:asciiTheme="majorBidi" w:eastAsia="Times New Roman" w:hAnsiTheme="majorBidi" w:cstheme="majorBidi"/>
                <w:kern w:val="0"/>
                <w14:ligatures w14:val="none"/>
              </w:rPr>
              <w:lastRenderedPageBreak/>
              <w:t>effectively.</w:t>
            </w:r>
          </w:p>
        </w:tc>
        <w:tc>
          <w:tcPr>
            <w:tcW w:w="1524" w:type="dxa"/>
          </w:tcPr>
          <w:p w14:paraId="5D1A56FB"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lastRenderedPageBreak/>
              <w:t xml:space="preserve">The findings highlight the importance of providing multidisciplinary education to enhance ethical decision-making in </w:t>
            </w:r>
            <w:r w:rsidRPr="001C25D4">
              <w:rPr>
                <w:rFonts w:asciiTheme="majorBidi" w:eastAsia="Times New Roman" w:hAnsiTheme="majorBidi" w:cstheme="majorBidi"/>
                <w:kern w:val="0"/>
                <w14:ligatures w14:val="none"/>
              </w:rPr>
              <w:lastRenderedPageBreak/>
              <w:t>palliative care settings</w:t>
            </w:r>
          </w:p>
        </w:tc>
        <w:tc>
          <w:tcPr>
            <w:tcW w:w="1667" w:type="dxa"/>
          </w:tcPr>
          <w:p w14:paraId="5687BC37" w14:textId="77777777" w:rsidR="007C3E5D" w:rsidRPr="001C25D4" w:rsidRDefault="007C3E5D" w:rsidP="00881438">
            <w:pPr>
              <w:bidi w:val="0"/>
              <w:jc w:val="both"/>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lastRenderedPageBreak/>
              <w:t>Further research is needed to delve deeper into ethical issues in palliative care provision in nursing homes.</w:t>
            </w:r>
          </w:p>
        </w:tc>
      </w:tr>
      <w:tr w:rsidR="007C3E5D" w:rsidRPr="001C25D4" w14:paraId="40EFAF79" w14:textId="77777777" w:rsidTr="00881438">
        <w:trPr>
          <w:trHeight w:val="699"/>
        </w:trPr>
        <w:tc>
          <w:tcPr>
            <w:tcW w:w="1267" w:type="dxa"/>
          </w:tcPr>
          <w:p w14:paraId="7EE8D216" w14:textId="77777777" w:rsidR="007C3E5D" w:rsidRPr="001C25D4" w:rsidRDefault="007C3E5D" w:rsidP="00881438">
            <w:pPr>
              <w:bidi w:val="0"/>
              <w:rPr>
                <w:rFonts w:asciiTheme="majorBidi" w:eastAsia="Times New Roman" w:hAnsiTheme="majorBidi" w:cstheme="majorBidi"/>
                <w:kern w:val="0"/>
                <w:rtl/>
                <w:lang w:bidi="ar-EG"/>
                <w14:ligatures w14:val="none"/>
              </w:rPr>
            </w:pPr>
            <w:r w:rsidRPr="00C60218">
              <w:rPr>
                <w:rFonts w:asciiTheme="majorBidi" w:eastAsia="Times New Roman" w:hAnsiTheme="majorBidi" w:cstheme="majorBidi"/>
                <w:kern w:val="0"/>
                <w14:ligatures w14:val="none"/>
              </w:rPr>
              <w:t>Tomasz Brzostek et al. (2008)</w:t>
            </w:r>
            <w:r w:rsidRPr="001C25D4">
              <w:rPr>
                <w:rFonts w:asciiTheme="majorBidi" w:eastAsia="Times New Roman" w:hAnsiTheme="majorBidi" w:cstheme="majorBidi"/>
                <w:kern w:val="0"/>
                <w14:ligatures w14:val="none"/>
              </w:rPr>
              <w:fldChar w:fldCharType="begin" w:fldLock="1"/>
            </w:r>
            <w:r>
              <w:rPr>
                <w:rFonts w:asciiTheme="majorBidi" w:eastAsia="Times New Roman" w:hAnsiTheme="majorBidi" w:cstheme="majorBidi"/>
                <w:kern w:val="0"/>
                <w14:ligatures w14:val="none"/>
              </w:rPr>
              <w:instrText>ADDIN CSL_CITATION {"citationItems":[{"id":"ITEM-1","itemData":{"DOI":"10.1177/0969733008095386","ISSN":"0969-7330","abstract":"Palliative care and euthanasia have become the subject of ethical and political debate in Poland. However, the voice of nurses is rarely heard. The aim of this study is to explore the perception of palliative care and euthanasia among recent university bachelor degree graduates and experienced nurses in Poland. Specific objectives include: self-assessment of the understanding of these terms, recognition of clinical cases, potential acceptability of euthanasia, and an evaluation of attitudes towards palliative care and euthanasia. This is an exploratory study. A convenience sample of 206 recent graduates and 252 experienced nurse practitioners were interviewed. A structured questionnaire was used for collecting and interpreting data. Subjective perception of the terms `palliative care' and `euthanasia' was high and consistent with the recognition of clinical cases. The majority of the nurses excluded euthanasia from palliative care. They recognized personal philosophy of life as the most influential factor affecting attitudes towards euthanasia. The importance of the law was valued more highly by the experienced nurses.","author":[{"dropping-particle":"","family":"Brzostek","given":"Tomasz","non-dropping-particle":"","parse-names":false,"suffix":""},{"dropping-particle":"","family":"Dekkers","given":"Wim","non-dropping-particle":"","parse-names":false,"suffix":""},{"dropping-particle":"","family":"Zalewski","given":"Zbigniew","non-dropping-particle":"","parse-names":false,"suffix":""},{"dropping-particle":"","family":"Januszewska","given":"Anna","non-dropping-particle":"","parse-names":false,"suffix":""},{"dropping-particle":"","family":"Górkiewicz","given":"Maciej","non-dropping-particle":"","parse-names":false,"suffix":""}],"container-title":"Nursing Ethics","id":"ITEM-1","issue":"6","issued":{"date-parts":[["2008","11","1"]]},"page":"761-776","title":"Perception of Palliative Care and Euthanasia Among Recently Graduated and Experienced Nurses","type":"article-journal","volume":"15"},"uris":["http://www.mendeley.com/documents/?uuid=67a85c0a-50bb-4e9c-b221-a215d9ea7acc"]}],"mendeley":{"formattedCitation":"[48]","plainTextFormattedCitation":"[48]","previouslyFormattedCitation":"[48]"},"properties":{"noteIndex":0},"schema":"https://github.com/citation-style-language/schema/raw/master/csl-citation.json"}</w:instrText>
            </w:r>
            <w:r w:rsidRPr="001C25D4">
              <w:rPr>
                <w:rFonts w:asciiTheme="majorBidi" w:eastAsia="Times New Roman" w:hAnsiTheme="majorBidi" w:cstheme="majorBidi"/>
                <w:kern w:val="0"/>
                <w14:ligatures w14:val="none"/>
              </w:rPr>
              <w:fldChar w:fldCharType="separate"/>
            </w:r>
            <w:r w:rsidRPr="001764F9">
              <w:rPr>
                <w:rFonts w:asciiTheme="majorBidi" w:eastAsia="Times New Roman" w:hAnsiTheme="majorBidi" w:cstheme="majorBidi"/>
                <w:noProof/>
                <w:kern w:val="0"/>
                <w14:ligatures w14:val="none"/>
              </w:rPr>
              <w:t>[48]</w:t>
            </w:r>
            <w:r w:rsidRPr="001C25D4">
              <w:rPr>
                <w:rFonts w:asciiTheme="majorBidi" w:eastAsia="Times New Roman" w:hAnsiTheme="majorBidi" w:cstheme="majorBidi"/>
                <w:kern w:val="0"/>
                <w14:ligatures w14:val="none"/>
              </w:rPr>
              <w:fldChar w:fldCharType="end"/>
            </w:r>
          </w:p>
        </w:tc>
        <w:tc>
          <w:tcPr>
            <w:tcW w:w="1002" w:type="dxa"/>
          </w:tcPr>
          <w:p w14:paraId="44D0882F" w14:textId="77777777" w:rsidR="007C3E5D" w:rsidRPr="001C25D4" w:rsidRDefault="007C3E5D" w:rsidP="00881438">
            <w:pPr>
              <w:bidi w:val="0"/>
              <w:rPr>
                <w:rFonts w:asciiTheme="majorBidi" w:eastAsia="Times New Roman" w:hAnsiTheme="majorBidi" w:cstheme="majorBidi"/>
                <w:kern w:val="0"/>
                <w14:ligatures w14:val="none"/>
              </w:rPr>
            </w:pPr>
            <w:r w:rsidRPr="00C60218">
              <w:rPr>
                <w:rFonts w:asciiTheme="majorBidi" w:eastAsia="Times New Roman" w:hAnsiTheme="majorBidi" w:cstheme="majorBidi"/>
                <w:kern w:val="0"/>
                <w14:ligatures w14:val="none"/>
              </w:rPr>
              <w:t>Poland</w:t>
            </w:r>
          </w:p>
        </w:tc>
        <w:tc>
          <w:tcPr>
            <w:tcW w:w="1134" w:type="dxa"/>
          </w:tcPr>
          <w:p w14:paraId="0F054606" w14:textId="77777777" w:rsidR="007C3E5D" w:rsidRPr="001C25D4" w:rsidRDefault="007C3E5D" w:rsidP="00881438">
            <w:pPr>
              <w:bidi w:val="0"/>
              <w:rPr>
                <w:rFonts w:asciiTheme="majorBidi" w:eastAsia="Times New Roman" w:hAnsiTheme="majorBidi" w:cstheme="majorBidi"/>
                <w:kern w:val="0"/>
                <w14:ligatures w14:val="none"/>
              </w:rPr>
            </w:pPr>
            <w:r w:rsidRPr="00C60218">
              <w:rPr>
                <w:rFonts w:asciiTheme="majorBidi" w:eastAsia="Times New Roman" w:hAnsiTheme="majorBidi" w:cstheme="majorBidi"/>
                <w:kern w:val="0"/>
                <w14:ligatures w14:val="none"/>
              </w:rPr>
              <w:t>Exploratory study</w:t>
            </w:r>
          </w:p>
        </w:tc>
        <w:tc>
          <w:tcPr>
            <w:tcW w:w="1001" w:type="dxa"/>
          </w:tcPr>
          <w:p w14:paraId="585C0A94" w14:textId="77777777" w:rsidR="007C3E5D" w:rsidRPr="001C25D4" w:rsidRDefault="007C3E5D" w:rsidP="00881438">
            <w:pPr>
              <w:bidi w:val="0"/>
              <w:rPr>
                <w:rFonts w:asciiTheme="majorBidi" w:eastAsia="Times New Roman" w:hAnsiTheme="majorBidi" w:cstheme="majorBidi"/>
                <w:kern w:val="0"/>
                <w14:ligatures w14:val="none"/>
              </w:rPr>
            </w:pPr>
            <w:r w:rsidRPr="00C60218">
              <w:rPr>
                <w:rFonts w:asciiTheme="majorBidi" w:eastAsia="Times New Roman" w:hAnsiTheme="majorBidi" w:cstheme="majorBidi"/>
                <w:kern w:val="0"/>
                <w14:ligatures w14:val="none"/>
              </w:rPr>
              <w:t>206 graduates, 252 experienced nurses</w:t>
            </w:r>
          </w:p>
        </w:tc>
        <w:tc>
          <w:tcPr>
            <w:tcW w:w="1566" w:type="dxa"/>
          </w:tcPr>
          <w:p w14:paraId="5E0EA4A8" w14:textId="77777777" w:rsidR="007C3E5D" w:rsidRPr="001C25D4" w:rsidRDefault="007C3E5D" w:rsidP="00881438">
            <w:pPr>
              <w:bidi w:val="0"/>
              <w:rPr>
                <w:rFonts w:asciiTheme="majorBidi" w:eastAsia="Times New Roman" w:hAnsiTheme="majorBidi" w:cstheme="majorBidi"/>
                <w:kern w:val="0"/>
                <w14:ligatures w14:val="none"/>
              </w:rPr>
            </w:pPr>
            <w:r w:rsidRPr="00C60218">
              <w:rPr>
                <w:rFonts w:asciiTheme="majorBidi" w:eastAsia="Times New Roman" w:hAnsiTheme="majorBidi" w:cstheme="majorBidi"/>
                <w:kern w:val="0"/>
                <w14:ligatures w14:val="none"/>
              </w:rPr>
              <w:t>Recently graduated nurses with a bachelor's degree, experienced nurse practitioners</w:t>
            </w:r>
          </w:p>
        </w:tc>
        <w:tc>
          <w:tcPr>
            <w:tcW w:w="1402" w:type="dxa"/>
          </w:tcPr>
          <w:p w14:paraId="72CFB983" w14:textId="77777777" w:rsidR="007C3E5D" w:rsidRPr="001C25D4" w:rsidRDefault="007C3E5D" w:rsidP="00881438">
            <w:pPr>
              <w:bidi w:val="0"/>
              <w:rPr>
                <w:rFonts w:asciiTheme="majorBidi" w:eastAsia="Times New Roman" w:hAnsiTheme="majorBidi" w:cstheme="majorBidi"/>
                <w:kern w:val="0"/>
                <w14:ligatures w14:val="none"/>
              </w:rPr>
            </w:pPr>
            <w:r w:rsidRPr="00C60218">
              <w:rPr>
                <w:rFonts w:asciiTheme="majorBidi" w:eastAsia="Times New Roman" w:hAnsiTheme="majorBidi" w:cstheme="majorBidi"/>
                <w:kern w:val="0"/>
                <w14:ligatures w14:val="none"/>
              </w:rPr>
              <w:t>Perception and understanding of palliative care and euthanasia</w:t>
            </w:r>
          </w:p>
        </w:tc>
        <w:tc>
          <w:tcPr>
            <w:tcW w:w="1701" w:type="dxa"/>
          </w:tcPr>
          <w:p w14:paraId="260CD9CB" w14:textId="77777777" w:rsidR="007C3E5D" w:rsidRPr="001C25D4" w:rsidRDefault="007C3E5D" w:rsidP="00881438">
            <w:pPr>
              <w:bidi w:val="0"/>
              <w:rPr>
                <w:rFonts w:asciiTheme="majorBidi" w:eastAsia="Times New Roman" w:hAnsiTheme="majorBidi" w:cstheme="majorBidi"/>
                <w:kern w:val="0"/>
                <w14:ligatures w14:val="none"/>
              </w:rPr>
            </w:pPr>
            <w:r w:rsidRPr="00C60218">
              <w:rPr>
                <w:rFonts w:asciiTheme="majorBidi" w:eastAsia="Times New Roman" w:hAnsiTheme="majorBidi" w:cstheme="majorBidi"/>
                <w:kern w:val="0"/>
                <w14:ligatures w14:val="none"/>
              </w:rPr>
              <w:t>Not specifically focused</w:t>
            </w:r>
          </w:p>
        </w:tc>
        <w:tc>
          <w:tcPr>
            <w:tcW w:w="1701" w:type="dxa"/>
          </w:tcPr>
          <w:p w14:paraId="560BF652" w14:textId="77777777" w:rsidR="007C3E5D" w:rsidRPr="001C25D4" w:rsidRDefault="007C3E5D" w:rsidP="00881438">
            <w:pPr>
              <w:bidi w:val="0"/>
              <w:rPr>
                <w:rFonts w:asciiTheme="majorBidi" w:eastAsia="Times New Roman" w:hAnsiTheme="majorBidi" w:cstheme="majorBidi"/>
                <w:kern w:val="0"/>
                <w14:ligatures w14:val="none"/>
              </w:rPr>
            </w:pPr>
            <w:r w:rsidRPr="00C60218">
              <w:rPr>
                <w:rFonts w:asciiTheme="majorBidi" w:eastAsia="Times New Roman" w:hAnsiTheme="majorBidi" w:cstheme="majorBidi"/>
                <w:kern w:val="0"/>
                <w14:ligatures w14:val="none"/>
              </w:rPr>
              <w:t xml:space="preserve">- High subjective perception and understanding of palliative care and euthanasia terms. </w:t>
            </w:r>
          </w:p>
          <w:p w14:paraId="23F57CC3" w14:textId="77777777" w:rsidR="007C3E5D" w:rsidRPr="001C25D4" w:rsidRDefault="007C3E5D" w:rsidP="00881438">
            <w:pPr>
              <w:bidi w:val="0"/>
              <w:rPr>
                <w:rFonts w:asciiTheme="majorBidi" w:eastAsia="Times New Roman" w:hAnsiTheme="majorBidi" w:cstheme="majorBidi"/>
                <w:kern w:val="0"/>
                <w14:ligatures w14:val="none"/>
              </w:rPr>
            </w:pPr>
            <w:r w:rsidRPr="00C60218">
              <w:rPr>
                <w:rFonts w:asciiTheme="majorBidi" w:eastAsia="Times New Roman" w:hAnsiTheme="majorBidi" w:cstheme="majorBidi"/>
                <w:kern w:val="0"/>
                <w14:ligatures w14:val="none"/>
              </w:rPr>
              <w:t>- Exclusion of euthanasia from palliative care.</w:t>
            </w:r>
          </w:p>
          <w:p w14:paraId="1BBFF792" w14:textId="77777777" w:rsidR="007C3E5D" w:rsidRPr="001C25D4" w:rsidRDefault="007C3E5D" w:rsidP="00881438">
            <w:pPr>
              <w:bidi w:val="0"/>
              <w:rPr>
                <w:rFonts w:asciiTheme="majorBidi" w:eastAsia="Times New Roman" w:hAnsiTheme="majorBidi" w:cstheme="majorBidi"/>
                <w:kern w:val="0"/>
                <w14:ligatures w14:val="none"/>
              </w:rPr>
            </w:pPr>
            <w:r w:rsidRPr="00C60218">
              <w:rPr>
                <w:rFonts w:asciiTheme="majorBidi" w:eastAsia="Times New Roman" w:hAnsiTheme="majorBidi" w:cstheme="majorBidi"/>
                <w:kern w:val="0"/>
                <w14:ligatures w14:val="none"/>
              </w:rPr>
              <w:t xml:space="preserve"> - Influence of personal philosophy of life on attitudes towards euthanasia.</w:t>
            </w:r>
          </w:p>
          <w:p w14:paraId="2E894E64" w14:textId="77777777" w:rsidR="007C3E5D" w:rsidRPr="001C25D4" w:rsidRDefault="007C3E5D" w:rsidP="00881438">
            <w:pPr>
              <w:bidi w:val="0"/>
              <w:rPr>
                <w:rFonts w:asciiTheme="majorBidi" w:eastAsia="Times New Roman" w:hAnsiTheme="majorBidi" w:cstheme="majorBidi"/>
                <w:kern w:val="0"/>
                <w14:ligatures w14:val="none"/>
              </w:rPr>
            </w:pPr>
            <w:r w:rsidRPr="00C60218">
              <w:rPr>
                <w:rFonts w:asciiTheme="majorBidi" w:eastAsia="Times New Roman" w:hAnsiTheme="majorBidi" w:cstheme="majorBidi"/>
                <w:kern w:val="0"/>
                <w14:ligatures w14:val="none"/>
              </w:rPr>
              <w:t xml:space="preserve"> - Importance of the law in </w:t>
            </w:r>
            <w:r w:rsidRPr="00C60218">
              <w:rPr>
                <w:rFonts w:asciiTheme="majorBidi" w:eastAsia="Times New Roman" w:hAnsiTheme="majorBidi" w:cstheme="majorBidi"/>
                <w:kern w:val="0"/>
                <w14:ligatures w14:val="none"/>
              </w:rPr>
              <w:lastRenderedPageBreak/>
              <w:t>shaping attitudes towards euthanasia.</w:t>
            </w:r>
          </w:p>
        </w:tc>
        <w:tc>
          <w:tcPr>
            <w:tcW w:w="1453" w:type="dxa"/>
          </w:tcPr>
          <w:p w14:paraId="64912E90" w14:textId="77777777" w:rsidR="007C3E5D" w:rsidRPr="001C25D4" w:rsidRDefault="007C3E5D" w:rsidP="00881438">
            <w:pPr>
              <w:bidi w:val="0"/>
              <w:rPr>
                <w:rFonts w:asciiTheme="majorBidi" w:eastAsia="Times New Roman" w:hAnsiTheme="majorBidi" w:cstheme="majorBidi"/>
                <w:kern w:val="0"/>
                <w14:ligatures w14:val="none"/>
              </w:rPr>
            </w:pPr>
            <w:r w:rsidRPr="00C60218">
              <w:rPr>
                <w:rFonts w:asciiTheme="majorBidi" w:eastAsia="Times New Roman" w:hAnsiTheme="majorBidi" w:cstheme="majorBidi"/>
                <w:kern w:val="0"/>
                <w14:ligatures w14:val="none"/>
              </w:rPr>
              <w:lastRenderedPageBreak/>
              <w:t>- Perception and understanding of palliative care and euthanasia</w:t>
            </w:r>
          </w:p>
          <w:p w14:paraId="30B43B28" w14:textId="77777777" w:rsidR="007C3E5D" w:rsidRPr="001C25D4" w:rsidRDefault="007C3E5D" w:rsidP="00881438">
            <w:pPr>
              <w:bidi w:val="0"/>
              <w:rPr>
                <w:rFonts w:asciiTheme="majorBidi" w:eastAsia="Times New Roman" w:hAnsiTheme="majorBidi" w:cstheme="majorBidi"/>
                <w:kern w:val="0"/>
                <w14:ligatures w14:val="none"/>
              </w:rPr>
            </w:pPr>
            <w:r w:rsidRPr="00C60218">
              <w:rPr>
                <w:rFonts w:asciiTheme="majorBidi" w:eastAsia="Times New Roman" w:hAnsiTheme="majorBidi" w:cstheme="majorBidi"/>
                <w:kern w:val="0"/>
                <w14:ligatures w14:val="none"/>
              </w:rPr>
              <w:t xml:space="preserve"> - Exclusion of euthanasia from palliative care</w:t>
            </w:r>
          </w:p>
          <w:p w14:paraId="0D4E3624" w14:textId="77777777" w:rsidR="007C3E5D" w:rsidRPr="001C25D4" w:rsidRDefault="007C3E5D" w:rsidP="00881438">
            <w:pPr>
              <w:bidi w:val="0"/>
              <w:rPr>
                <w:rFonts w:asciiTheme="majorBidi" w:eastAsia="Times New Roman" w:hAnsiTheme="majorBidi" w:cstheme="majorBidi"/>
                <w:kern w:val="0"/>
                <w14:ligatures w14:val="none"/>
              </w:rPr>
            </w:pPr>
            <w:r w:rsidRPr="00C60218">
              <w:rPr>
                <w:rFonts w:asciiTheme="majorBidi" w:eastAsia="Times New Roman" w:hAnsiTheme="majorBidi" w:cstheme="majorBidi"/>
                <w:kern w:val="0"/>
                <w14:ligatures w14:val="none"/>
              </w:rPr>
              <w:t xml:space="preserve"> - Influence of personal philosophy of life - Importance of the law</w:t>
            </w:r>
          </w:p>
        </w:tc>
        <w:tc>
          <w:tcPr>
            <w:tcW w:w="1524" w:type="dxa"/>
          </w:tcPr>
          <w:p w14:paraId="0C7FB6EF" w14:textId="77777777" w:rsidR="007C3E5D" w:rsidRPr="001C25D4" w:rsidRDefault="007C3E5D" w:rsidP="00881438">
            <w:pPr>
              <w:bidi w:val="0"/>
              <w:rPr>
                <w:rFonts w:asciiTheme="majorBidi" w:eastAsia="Times New Roman" w:hAnsiTheme="majorBidi" w:cstheme="majorBidi"/>
                <w:kern w:val="0"/>
                <w14:ligatures w14:val="none"/>
              </w:rPr>
            </w:pPr>
            <w:r w:rsidRPr="00C60218">
              <w:rPr>
                <w:rFonts w:asciiTheme="majorBidi" w:eastAsia="Times New Roman" w:hAnsiTheme="majorBidi" w:cstheme="majorBidi"/>
                <w:kern w:val="0"/>
                <w14:ligatures w14:val="none"/>
              </w:rPr>
              <w:t>Understanding factors influencing nurses' attitudes towards euthanasia and palliative care can guide appropriate care and support.</w:t>
            </w:r>
          </w:p>
        </w:tc>
        <w:tc>
          <w:tcPr>
            <w:tcW w:w="1667" w:type="dxa"/>
          </w:tcPr>
          <w:p w14:paraId="1A99969D" w14:textId="77777777" w:rsidR="007C3E5D" w:rsidRPr="001C25D4" w:rsidRDefault="007C3E5D" w:rsidP="00881438">
            <w:pPr>
              <w:bidi w:val="0"/>
              <w:rPr>
                <w:rFonts w:asciiTheme="majorBidi" w:eastAsia="Times New Roman" w:hAnsiTheme="majorBidi" w:cstheme="majorBidi"/>
                <w:kern w:val="0"/>
                <w14:ligatures w14:val="none"/>
              </w:rPr>
            </w:pPr>
            <w:r w:rsidRPr="00C60218">
              <w:rPr>
                <w:rFonts w:asciiTheme="majorBidi" w:eastAsia="Times New Roman" w:hAnsiTheme="majorBidi" w:cstheme="majorBidi"/>
                <w:kern w:val="0"/>
                <w14:ligatures w14:val="none"/>
              </w:rPr>
              <w:t xml:space="preserve">- Explore the impact of education and training on nurses' perceptions </w:t>
            </w:r>
          </w:p>
          <w:p w14:paraId="1133C9D3" w14:textId="77777777" w:rsidR="007C3E5D" w:rsidRPr="001C25D4" w:rsidRDefault="007C3E5D" w:rsidP="00881438">
            <w:pPr>
              <w:bidi w:val="0"/>
              <w:rPr>
                <w:rFonts w:asciiTheme="majorBidi" w:eastAsia="Times New Roman" w:hAnsiTheme="majorBidi" w:cstheme="majorBidi"/>
                <w:kern w:val="0"/>
                <w14:ligatures w14:val="none"/>
              </w:rPr>
            </w:pPr>
            <w:r w:rsidRPr="00C60218">
              <w:rPr>
                <w:rFonts w:asciiTheme="majorBidi" w:eastAsia="Times New Roman" w:hAnsiTheme="majorBidi" w:cstheme="majorBidi"/>
                <w:kern w:val="0"/>
                <w14:ligatures w14:val="none"/>
              </w:rPr>
              <w:t xml:space="preserve">- Investigate the influence of cultural and religious factors on attitudes and practices. </w:t>
            </w:r>
          </w:p>
          <w:p w14:paraId="0AD24D64" w14:textId="77777777" w:rsidR="007C3E5D" w:rsidRPr="001C25D4" w:rsidRDefault="007C3E5D" w:rsidP="00881438">
            <w:pPr>
              <w:bidi w:val="0"/>
              <w:rPr>
                <w:rFonts w:asciiTheme="majorBidi" w:eastAsia="Times New Roman" w:hAnsiTheme="majorBidi" w:cstheme="majorBidi"/>
                <w:kern w:val="0"/>
                <w14:ligatures w14:val="none"/>
              </w:rPr>
            </w:pPr>
            <w:r w:rsidRPr="00C60218">
              <w:rPr>
                <w:rFonts w:asciiTheme="majorBidi" w:eastAsia="Times New Roman" w:hAnsiTheme="majorBidi" w:cstheme="majorBidi"/>
                <w:kern w:val="0"/>
                <w14:ligatures w14:val="none"/>
              </w:rPr>
              <w:t>- Investigate the experiences and perspectives of terminally ill patients and their families.</w:t>
            </w:r>
          </w:p>
        </w:tc>
      </w:tr>
      <w:tr w:rsidR="007C3E5D" w:rsidRPr="001C25D4" w14:paraId="0E9B2150" w14:textId="77777777" w:rsidTr="00881438">
        <w:trPr>
          <w:trHeight w:val="699"/>
        </w:trPr>
        <w:tc>
          <w:tcPr>
            <w:tcW w:w="1267" w:type="dxa"/>
          </w:tcPr>
          <w:p w14:paraId="462B8CFF" w14:textId="77777777" w:rsidR="007C3E5D" w:rsidRPr="001C25D4" w:rsidRDefault="007C3E5D" w:rsidP="00881438">
            <w:pPr>
              <w:bidi w:val="0"/>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Jane Elizabeth Seymour, Christine Ingleton (1999)</w:t>
            </w:r>
            <w:r w:rsidRPr="001C25D4">
              <w:rPr>
                <w:rFonts w:asciiTheme="majorBidi" w:eastAsia="Times New Roman" w:hAnsiTheme="majorBidi" w:cstheme="majorBidi"/>
                <w:kern w:val="0"/>
                <w14:ligatures w14:val="none"/>
              </w:rPr>
              <w:fldChar w:fldCharType="begin" w:fldLock="1"/>
            </w:r>
            <w:r>
              <w:rPr>
                <w:rFonts w:asciiTheme="majorBidi" w:eastAsia="Times New Roman" w:hAnsiTheme="majorBidi" w:cstheme="majorBidi"/>
                <w:kern w:val="0"/>
                <w14:ligatures w14:val="none"/>
              </w:rPr>
              <w:instrText>ADDIN CSL_CITATION {"citationItems":[{"id":"ITEM-1","itemData":{"DOI":"10.12968/ijpn.1999.5.2.9919","ISSN":"1357-6321","abstract":"This article discusses some of the ethical issues associated with the use of qualitative research methods in two doctoral studies conducted by nurses in a department of palliative medicine. These issues are of particular relevance with the increasing emphasis on evidence-based practice in palliative care. Both studies used multiple methods of data collection within a case study design. Study one (Seymour, 1997), an ethnography of death and dying in two critical care units, used participant observation, documentary analysis and semi-structured interviews to construct 14 detailed case studies. Each case consisted of the interactions and perceptions of those involved with a purposively selected series of critically ill individuals. Study two (Ingleton, 1997) was based on externally commissioned work and provided a longitudinal analysis of the evaluation of two palliative care services. Triangulated data from documentary analysis, structured and unstructured interviews, questionnaire surveys and observation were used. Specific ethical challenges which arose during the conduct of these studies are highlighted, showing how these were present at all stages of the research process. The article concludes by proposing a guide for the conduct of ethically responsible qualitative research.","author":[{"dropping-particle":"","family":"Seymour","given":"Jane Elizabeth","non-dropping-particle":"","parse-names":false,"suffix":""},{"dropping-particle":"","family":"Ingleton","given":"Christine","non-dropping-particle":"","parse-names":false,"suffix":""}],"container-title":"International Journal of Palliative Nursing","id":"ITEM-1","issue":"2","issued":{"date-parts":[["1999","2"]]},"page":"65-73","title":"Ethical issues in qualitative research at the end of life","type":"article-journal","volume":"5"},"uris":["http://www.mendeley.com/documents/?uuid=b54fe86e-d35f-4b92-9abe-9fd6544fb557"]}],"mendeley":{"formattedCitation":"[56]","plainTextFormattedCitation":"[56]","previouslyFormattedCitation":"[56]"},"properties":{"noteIndex":0},"schema":"https://github.com/citation-style-language/schema/raw/master/csl-citation.json"}</w:instrText>
            </w:r>
            <w:r w:rsidRPr="001C25D4">
              <w:rPr>
                <w:rFonts w:asciiTheme="majorBidi" w:eastAsia="Times New Roman" w:hAnsiTheme="majorBidi" w:cstheme="majorBidi"/>
                <w:kern w:val="0"/>
                <w14:ligatures w14:val="none"/>
              </w:rPr>
              <w:fldChar w:fldCharType="separate"/>
            </w:r>
            <w:r w:rsidRPr="001764F9">
              <w:rPr>
                <w:rFonts w:asciiTheme="majorBidi" w:eastAsia="Times New Roman" w:hAnsiTheme="majorBidi" w:cstheme="majorBidi"/>
                <w:noProof/>
                <w:kern w:val="0"/>
                <w14:ligatures w14:val="none"/>
              </w:rPr>
              <w:t>[56]</w:t>
            </w:r>
            <w:r w:rsidRPr="001C25D4">
              <w:rPr>
                <w:rFonts w:asciiTheme="majorBidi" w:eastAsia="Times New Roman" w:hAnsiTheme="majorBidi" w:cstheme="majorBidi"/>
                <w:kern w:val="0"/>
                <w14:ligatures w14:val="none"/>
              </w:rPr>
              <w:fldChar w:fldCharType="end"/>
            </w:r>
          </w:p>
        </w:tc>
        <w:tc>
          <w:tcPr>
            <w:tcW w:w="1002" w:type="dxa"/>
          </w:tcPr>
          <w:p w14:paraId="0FCCFCE3" w14:textId="77777777" w:rsidR="007C3E5D" w:rsidRPr="001C25D4" w:rsidRDefault="007C3E5D" w:rsidP="00881438">
            <w:pPr>
              <w:bidi w:val="0"/>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Not specified</w:t>
            </w:r>
          </w:p>
        </w:tc>
        <w:tc>
          <w:tcPr>
            <w:tcW w:w="1134" w:type="dxa"/>
          </w:tcPr>
          <w:p w14:paraId="460E59AB" w14:textId="77777777" w:rsidR="007C3E5D" w:rsidRPr="001C25D4" w:rsidRDefault="007C3E5D" w:rsidP="00881438">
            <w:pPr>
              <w:bidi w:val="0"/>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Qualitative research</w:t>
            </w:r>
          </w:p>
        </w:tc>
        <w:tc>
          <w:tcPr>
            <w:tcW w:w="1001" w:type="dxa"/>
          </w:tcPr>
          <w:p w14:paraId="2F92E0B8" w14:textId="77777777" w:rsidR="007C3E5D" w:rsidRPr="001C25D4" w:rsidRDefault="007C3E5D" w:rsidP="00881438">
            <w:pPr>
              <w:bidi w:val="0"/>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Not specified</w:t>
            </w:r>
          </w:p>
        </w:tc>
        <w:tc>
          <w:tcPr>
            <w:tcW w:w="1566" w:type="dxa"/>
          </w:tcPr>
          <w:p w14:paraId="30C3C664" w14:textId="77777777" w:rsidR="007C3E5D" w:rsidRPr="001C25D4" w:rsidRDefault="007C3E5D" w:rsidP="00881438">
            <w:pPr>
              <w:bidi w:val="0"/>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Critically ill individuals, informal carers, healthcare staff</w:t>
            </w:r>
          </w:p>
        </w:tc>
        <w:tc>
          <w:tcPr>
            <w:tcW w:w="1402" w:type="dxa"/>
          </w:tcPr>
          <w:p w14:paraId="619EB21C" w14:textId="77777777" w:rsidR="007C3E5D" w:rsidRPr="001C25D4" w:rsidRDefault="007C3E5D" w:rsidP="00881438">
            <w:pPr>
              <w:bidi w:val="0"/>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 xml:space="preserve">- Ensuring autonomous choice and informed consent </w:t>
            </w:r>
          </w:p>
          <w:p w14:paraId="2023B676" w14:textId="77777777" w:rsidR="007C3E5D" w:rsidRPr="001C25D4" w:rsidRDefault="007C3E5D" w:rsidP="00881438">
            <w:pPr>
              <w:bidi w:val="0"/>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 xml:space="preserve">- Avoiding harm to participants </w:t>
            </w:r>
          </w:p>
          <w:p w14:paraId="151BA1FD" w14:textId="77777777" w:rsidR="007C3E5D" w:rsidRPr="001C25D4" w:rsidRDefault="007C3E5D" w:rsidP="00881438">
            <w:pPr>
              <w:bidi w:val="0"/>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 xml:space="preserve">-Maintaining confidentiality and anonymity </w:t>
            </w:r>
          </w:p>
          <w:p w14:paraId="60222792" w14:textId="77777777" w:rsidR="007C3E5D" w:rsidRPr="001C25D4" w:rsidRDefault="007C3E5D" w:rsidP="00881438">
            <w:pPr>
              <w:bidi w:val="0"/>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 Respecting and preserving dignity of participants</w:t>
            </w:r>
          </w:p>
        </w:tc>
        <w:tc>
          <w:tcPr>
            <w:tcW w:w="1701" w:type="dxa"/>
          </w:tcPr>
          <w:p w14:paraId="195502E1" w14:textId="77777777" w:rsidR="007C3E5D" w:rsidRPr="001C25D4" w:rsidRDefault="007C3E5D" w:rsidP="00881438">
            <w:pPr>
              <w:bidi w:val="0"/>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Exploring and evaluating palliative care services</w:t>
            </w:r>
          </w:p>
        </w:tc>
        <w:tc>
          <w:tcPr>
            <w:tcW w:w="1701" w:type="dxa"/>
          </w:tcPr>
          <w:p w14:paraId="6D5C285C" w14:textId="77777777" w:rsidR="007C3E5D" w:rsidRPr="001C25D4" w:rsidRDefault="007C3E5D" w:rsidP="00881438">
            <w:pPr>
              <w:bidi w:val="0"/>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 xml:space="preserve">- Qualitative research in palliative care presents unique ethical challenges </w:t>
            </w:r>
          </w:p>
          <w:p w14:paraId="03853B3A" w14:textId="77777777" w:rsidR="007C3E5D" w:rsidRPr="001C25D4" w:rsidRDefault="007C3E5D" w:rsidP="00881438">
            <w:pPr>
              <w:bidi w:val="0"/>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 xml:space="preserve">- Ethical implications should be considered throughout the research process </w:t>
            </w:r>
          </w:p>
          <w:p w14:paraId="293DBF78" w14:textId="77777777" w:rsidR="007C3E5D" w:rsidRPr="001C25D4" w:rsidRDefault="007C3E5D" w:rsidP="00881438">
            <w:pPr>
              <w:bidi w:val="0"/>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 Challenges related to gaining access and consent</w:t>
            </w:r>
          </w:p>
          <w:p w14:paraId="40E71631" w14:textId="77777777" w:rsidR="007C3E5D" w:rsidRPr="001C25D4" w:rsidRDefault="007C3E5D" w:rsidP="00881438">
            <w:pPr>
              <w:bidi w:val="0"/>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 xml:space="preserve"> - Dilemmas associated with preserving anonymity</w:t>
            </w:r>
          </w:p>
        </w:tc>
        <w:tc>
          <w:tcPr>
            <w:tcW w:w="1453" w:type="dxa"/>
          </w:tcPr>
          <w:p w14:paraId="7C4B2718" w14:textId="77777777" w:rsidR="007C3E5D" w:rsidRPr="001C25D4" w:rsidRDefault="007C3E5D" w:rsidP="00881438">
            <w:pPr>
              <w:bidi w:val="0"/>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 xml:space="preserve">- Ethical complexities in research with dying individuals and their carers </w:t>
            </w:r>
          </w:p>
          <w:p w14:paraId="6A27C6FE" w14:textId="77777777" w:rsidR="007C3E5D" w:rsidRPr="001C25D4" w:rsidRDefault="007C3E5D" w:rsidP="00881438">
            <w:pPr>
              <w:bidi w:val="0"/>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 Importance of research design in establishing an ethical framework</w:t>
            </w:r>
          </w:p>
          <w:p w14:paraId="1309E11B" w14:textId="77777777" w:rsidR="007C3E5D" w:rsidRPr="001C25D4" w:rsidRDefault="007C3E5D" w:rsidP="00881438">
            <w:pPr>
              <w:bidi w:val="0"/>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 xml:space="preserve"> - Managing the researcher's role during fieldwork </w:t>
            </w:r>
          </w:p>
          <w:p w14:paraId="7D0D92AF" w14:textId="77777777" w:rsidR="007C3E5D" w:rsidRPr="001C25D4" w:rsidRDefault="007C3E5D" w:rsidP="00881438">
            <w:pPr>
              <w:bidi w:val="0"/>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 Preserving anonymity in research reporting</w:t>
            </w:r>
          </w:p>
        </w:tc>
        <w:tc>
          <w:tcPr>
            <w:tcW w:w="1524" w:type="dxa"/>
          </w:tcPr>
          <w:p w14:paraId="0CC14787" w14:textId="77777777" w:rsidR="007C3E5D" w:rsidRPr="001C25D4" w:rsidRDefault="007C3E5D" w:rsidP="00881438">
            <w:pPr>
              <w:bidi w:val="0"/>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 xml:space="preserve">- Adopt a holistic and context-based approach in studying individuals and groups in palliative care settings </w:t>
            </w:r>
          </w:p>
          <w:p w14:paraId="6DE1B492" w14:textId="77777777" w:rsidR="007C3E5D" w:rsidRPr="001C25D4" w:rsidRDefault="007C3E5D" w:rsidP="00881438">
            <w:pPr>
              <w:bidi w:val="0"/>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 Emphasize the importance of research process in addition to findings</w:t>
            </w:r>
          </w:p>
          <w:p w14:paraId="06D93D87" w14:textId="77777777" w:rsidR="007C3E5D" w:rsidRPr="001C25D4" w:rsidRDefault="007C3E5D" w:rsidP="00881438">
            <w:pPr>
              <w:bidi w:val="0"/>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 xml:space="preserve"> - Maintain a non-judgmental attitude and respect participants' rights and perspectives</w:t>
            </w:r>
          </w:p>
          <w:p w14:paraId="571A1A84" w14:textId="77777777" w:rsidR="007C3E5D" w:rsidRPr="001C25D4" w:rsidRDefault="007C3E5D" w:rsidP="00881438">
            <w:pPr>
              <w:bidi w:val="0"/>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 xml:space="preserve"> - Practice transparent and honest communication about the research</w:t>
            </w:r>
          </w:p>
          <w:p w14:paraId="1F7815D1" w14:textId="77777777" w:rsidR="007C3E5D" w:rsidRPr="001C25D4" w:rsidRDefault="007C3E5D" w:rsidP="00881438">
            <w:pPr>
              <w:bidi w:val="0"/>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t xml:space="preserve"> - Foster collaboration </w:t>
            </w:r>
            <w:r w:rsidRPr="001C25D4">
              <w:rPr>
                <w:rFonts w:asciiTheme="majorBidi" w:eastAsia="Times New Roman" w:hAnsiTheme="majorBidi" w:cstheme="majorBidi"/>
                <w:kern w:val="0"/>
                <w14:ligatures w14:val="none"/>
              </w:rPr>
              <w:lastRenderedPageBreak/>
              <w:t>between researchers and participants</w:t>
            </w:r>
          </w:p>
        </w:tc>
        <w:tc>
          <w:tcPr>
            <w:tcW w:w="1667" w:type="dxa"/>
          </w:tcPr>
          <w:p w14:paraId="5CE9C0ED" w14:textId="77777777" w:rsidR="007C3E5D" w:rsidRPr="001C25D4" w:rsidRDefault="007C3E5D" w:rsidP="00881438">
            <w:pPr>
              <w:bidi w:val="0"/>
              <w:rPr>
                <w:rFonts w:asciiTheme="majorBidi" w:eastAsia="Times New Roman" w:hAnsiTheme="majorBidi" w:cstheme="majorBidi"/>
                <w:kern w:val="0"/>
                <w14:ligatures w14:val="none"/>
              </w:rPr>
            </w:pPr>
            <w:r w:rsidRPr="001C25D4">
              <w:rPr>
                <w:rFonts w:asciiTheme="majorBidi" w:eastAsia="Times New Roman" w:hAnsiTheme="majorBidi" w:cstheme="majorBidi"/>
                <w:kern w:val="0"/>
                <w14:ligatures w14:val="none"/>
              </w:rPr>
              <w:lastRenderedPageBreak/>
              <w:t>- Further exploration of ethical challenges in qualitative research in palliative care - Additional strategies and guidelines for addressing ethical concerns - Longitudinal studies on the impact of qualitative research - Comparative studies on cultural variations in ethical considerations - Research on experiences and perspectives of healthcare staff in palliative care research</w:t>
            </w:r>
          </w:p>
        </w:tc>
      </w:tr>
    </w:tbl>
    <w:p w14:paraId="3B29DB64" w14:textId="77777777" w:rsidR="007C3E5D" w:rsidRDefault="007C3E5D" w:rsidP="007C3E5D">
      <w:pPr>
        <w:bidi w:val="0"/>
        <w:rPr>
          <w:rFonts w:asciiTheme="majorBidi" w:hAnsiTheme="majorBidi" w:cstheme="majorBidi"/>
          <w:sz w:val="24"/>
          <w:szCs w:val="24"/>
        </w:rPr>
        <w:sectPr w:rsidR="007C3E5D" w:rsidSect="00BE6852">
          <w:pgSz w:w="16838" w:h="11906" w:orient="landscape"/>
          <w:pgMar w:top="1440" w:right="1440" w:bottom="1440" w:left="1440" w:header="709" w:footer="709" w:gutter="0"/>
          <w:cols w:space="708"/>
          <w:bidi/>
          <w:rtlGutter/>
          <w:docGrid w:linePitch="360"/>
        </w:sectPr>
      </w:pPr>
    </w:p>
    <w:p w14:paraId="341818F6" w14:textId="77777777" w:rsidR="009952A7" w:rsidRPr="007C3E5D" w:rsidRDefault="009952A7"/>
    <w:sectPr w:rsidR="009952A7" w:rsidRPr="007C3E5D" w:rsidSect="00BE6852">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276A8"/>
    <w:rsid w:val="001846D7"/>
    <w:rsid w:val="00466801"/>
    <w:rsid w:val="007C3E5D"/>
    <w:rsid w:val="008276A8"/>
    <w:rsid w:val="008A22CD"/>
    <w:rsid w:val="009952A7"/>
    <w:rsid w:val="00B65310"/>
    <w:rsid w:val="00BE6852"/>
    <w:rsid w:val="00C346AC"/>
    <w:rsid w:val="00DE00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982C4"/>
  <w15:chartTrackingRefBased/>
  <w15:docId w15:val="{FA426C67-361A-49CC-8111-AA0208358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3E5D"/>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C3E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7C3E5D"/>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7803</Words>
  <Characters>44479</Characters>
  <Application>Microsoft Office Word</Application>
  <DocSecurity>0</DocSecurity>
  <Lines>370</Lines>
  <Paragraphs>104</Paragraphs>
  <ScaleCrop>false</ScaleCrop>
  <Company/>
  <LinksUpToDate>false</LinksUpToDate>
  <CharactersWithSpaces>52178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user</dc:creator>
  <cp:keywords/>
  <dc:description/>
  <cp:lastModifiedBy>office user</cp:lastModifiedBy>
  <cp:revision>3</cp:revision>
  <dcterms:created xsi:type="dcterms:W3CDTF">2024-02-18T21:13:00Z</dcterms:created>
  <dcterms:modified xsi:type="dcterms:W3CDTF">2024-06-05T21:03:00Z</dcterms:modified>
</cp:coreProperties>
</file>