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7FD35">
      <w:pPr>
        <w:pStyle w:val="31"/>
        <w:numPr>
          <w:ilvl w:val="0"/>
          <w:numId w:val="1"/>
        </w:numPr>
        <w:rPr>
          <w:rFonts w:ascii="Arial" w:hAnsi="Arial" w:cs="Arial"/>
          <w:sz w:val="20"/>
          <w:szCs w:val="20"/>
        </w:rPr>
      </w:pPr>
      <w:r>
        <w:rPr>
          <w:rFonts w:ascii="Arial" w:hAnsi="Arial" w:cs="Arial"/>
          <w:sz w:val="20"/>
          <w:szCs w:val="20"/>
        </w:rPr>
        <w:t>Background to the formation of the interview outline</w:t>
      </w:r>
    </w:p>
    <w:p w14:paraId="1A6BED49">
      <w:pPr>
        <w:rPr>
          <w:rFonts w:ascii="Arial" w:hAnsi="Arial" w:cs="Arial"/>
          <w:sz w:val="20"/>
          <w:szCs w:val="20"/>
        </w:rPr>
      </w:pPr>
      <w:r>
        <w:rPr>
          <w:rFonts w:hint="eastAsia" w:ascii="Arial" w:hAnsi="Arial" w:cs="Arial"/>
          <w:sz w:val="20"/>
          <w:szCs w:val="20"/>
        </w:rPr>
        <w:t>The primary objective of this study was to understand the experience and needs of new nurse anesthetists on training, to explore the suggestions of training implementers on the conduct of training, and to analyse the problems in the process of training, with a view to providing reference for the further construction and optimisation of the training curriculum system for new nurse anesthetists</w:t>
      </w:r>
      <w:r>
        <w:rPr>
          <w:rFonts w:hint="eastAsia" w:ascii="Arial" w:hAnsi="Arial" w:cs="Arial"/>
          <w:sz w:val="20"/>
          <w:szCs w:val="20"/>
          <w:lang w:val="en-US" w:eastAsia="zh-CN"/>
        </w:rPr>
        <w:t xml:space="preserve"> </w:t>
      </w:r>
      <w:r>
        <w:rPr>
          <w:rFonts w:hint="eastAsia" w:ascii="Arial" w:hAnsi="Arial" w:cs="Arial"/>
          <w:sz w:val="20"/>
          <w:szCs w:val="20"/>
        </w:rPr>
        <w:t>in mainland China.</w:t>
      </w:r>
    </w:p>
    <w:p w14:paraId="565DD86E">
      <w:pPr>
        <w:rPr>
          <w:rFonts w:hint="eastAsia"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lang w:val="en-US" w:eastAsia="zh-CN"/>
          <w14:textFill>
            <w14:solidFill>
              <w14:schemeClr w14:val="tx1"/>
            </w14:solidFill>
          </w14:textFill>
        </w:rPr>
        <w:t>Spencer et al. proposed the iceberg model of competency, which describes competency as a floating iceberg, with the part above the level representing superficial characteristics such as knowledge and skills; and the part below the level representing deeper competency characteristics such as social roles, self-image, attitudes, personality traits and motivation</w:t>
      </w:r>
      <w:r>
        <w:rPr>
          <w:rFonts w:hint="eastAsia" w:ascii="Arial" w:hAnsi="Arial" w:cs="Arial"/>
          <w:color w:val="000000" w:themeColor="text1"/>
          <w:sz w:val="20"/>
          <w:szCs w:val="20"/>
          <w:vertAlign w:val="superscript"/>
          <w:lang w:val="en-US" w:eastAsia="zh-CN"/>
          <w14:textFill>
            <w14:solidFill>
              <w14:schemeClr w14:val="tx1"/>
            </w14:solidFill>
          </w14:textFill>
        </w:rPr>
        <w:t>[1]</w:t>
      </w:r>
      <w:r>
        <w:rPr>
          <w:rFonts w:hint="eastAsia" w:ascii="Arial" w:hAnsi="Arial" w:cs="Arial"/>
          <w:color w:val="000000" w:themeColor="text1"/>
          <w:sz w:val="20"/>
          <w:szCs w:val="20"/>
          <w:lang w:val="en-US" w:eastAsia="zh-CN"/>
          <w14:textFill>
            <w14:solidFill>
              <w14:schemeClr w14:val="tx1"/>
            </w14:solidFill>
          </w14:textFill>
        </w:rPr>
        <w:t>. O'Shea defines nursing competence as the set of knowledge, skills, abilities and behaviours that an individual possesses in order to perform nursing tasks correctly and effectively</w:t>
      </w:r>
      <w:r>
        <w:rPr>
          <w:rFonts w:hint="eastAsia" w:ascii="Arial" w:hAnsi="Arial" w:cs="Arial"/>
          <w:color w:val="000000" w:themeColor="text1"/>
          <w:sz w:val="20"/>
          <w:szCs w:val="20"/>
          <w:vertAlign w:val="superscript"/>
          <w:lang w:val="en-US" w:eastAsia="zh-CN"/>
          <w14:textFill>
            <w14:solidFill>
              <w14:schemeClr w14:val="tx1"/>
            </w14:solidFill>
          </w14:textFill>
        </w:rPr>
        <w:t>[2]</w:t>
      </w:r>
      <w:r>
        <w:rPr>
          <w:rFonts w:hint="eastAsia" w:ascii="Arial" w:hAnsi="Arial" w:cs="Arial"/>
          <w:color w:val="000000" w:themeColor="text1"/>
          <w:sz w:val="20"/>
          <w:szCs w:val="20"/>
          <w:lang w:val="en-US" w:eastAsia="zh-CN"/>
          <w14:textFill>
            <w14:solidFill>
              <w14:schemeClr w14:val="tx1"/>
            </w14:solidFill>
          </w14:textFill>
        </w:rPr>
        <w:t>.The Training Outline for New Nurses (for Trial Implementation) issued by the General Office of the National Health and Family Planning Commission of China states that new nurses should be trained in three areas, including knowledge, skills and competencies, so as to equip them with the ability to perform their jobs competently</w:t>
      </w:r>
      <w:r>
        <w:rPr>
          <w:rFonts w:hint="eastAsia" w:ascii="Arial" w:hAnsi="Arial" w:cs="Arial"/>
          <w:color w:val="000000" w:themeColor="text1"/>
          <w:sz w:val="20"/>
          <w:szCs w:val="20"/>
          <w:vertAlign w:val="superscript"/>
          <w:lang w:val="en-US" w:eastAsia="zh-CN"/>
          <w14:textFill>
            <w14:solidFill>
              <w14:schemeClr w14:val="tx1"/>
            </w14:solidFill>
          </w14:textFill>
        </w:rPr>
        <w:t>[3]</w:t>
      </w:r>
      <w:r>
        <w:rPr>
          <w:rFonts w:hint="eastAsia" w:ascii="Arial" w:hAnsi="Arial" w:cs="Arial"/>
          <w:color w:val="000000" w:themeColor="text1"/>
          <w:sz w:val="20"/>
          <w:szCs w:val="20"/>
          <w:lang w:val="en-US" w:eastAsia="zh-CN"/>
          <w14:textFill>
            <w14:solidFill>
              <w14:schemeClr w14:val="tx1"/>
            </w14:solidFill>
          </w14:textFill>
        </w:rPr>
        <w:t xml:space="preserve">. Starting from the Competency Iceberg Model and Nursing Competency Theory, this study collects respondents' experiences in training and their suggestions for training content setting, taking into account the requirements of China's training policy for new nurses. </w:t>
      </w:r>
      <w:r>
        <w:rPr>
          <w:rFonts w:ascii="Arial" w:hAnsi="Arial" w:cs="Arial"/>
          <w:color w:val="000000" w:themeColor="text1"/>
          <w:sz w:val="20"/>
          <w:szCs w:val="20"/>
          <w14:textFill>
            <w14:solidFill>
              <w14:schemeClr w14:val="tx1"/>
            </w14:solidFill>
          </w14:textFill>
        </w:rPr>
        <w:t>A comprehensive training program should incorporate the essential components of theoretical knowledge acquisition, practical skill development, and professional competency enhancement.</w:t>
      </w:r>
    </w:p>
    <w:p w14:paraId="277626E5">
      <w:pPr>
        <w:pStyle w:val="31"/>
        <w:numPr>
          <w:ilvl w:val="0"/>
          <w:numId w:val="1"/>
        </w:numP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 xml:space="preserve">Through an iterative process of research team deliberations and consensus-building, a </w:t>
      </w:r>
      <w:r>
        <w:rPr>
          <w:rFonts w:hint="eastAsia" w:ascii="Arial" w:hAnsi="Arial" w:cs="Arial"/>
          <w:color w:val="000000" w:themeColor="text1"/>
          <w:sz w:val="20"/>
          <w:szCs w:val="20"/>
          <w14:textFill>
            <w14:solidFill>
              <w14:schemeClr w14:val="tx1"/>
            </w14:solidFill>
          </w14:textFill>
        </w:rPr>
        <w:t>semi-structured interview outline</w:t>
      </w:r>
      <w:r>
        <w:rPr>
          <w:rFonts w:ascii="Arial" w:hAnsi="Arial" w:cs="Arial"/>
          <w:color w:val="000000" w:themeColor="text1"/>
          <w:sz w:val="20"/>
          <w:szCs w:val="20"/>
          <w14:textFill>
            <w14:solidFill>
              <w14:schemeClr w14:val="tx1"/>
            </w14:solidFill>
          </w14:textFill>
        </w:rPr>
        <w:t xml:space="preserve"> was systematically developed to ensure methodological rigor and content validity.</w:t>
      </w:r>
    </w:p>
    <w:tbl>
      <w:tblPr>
        <w:tblStyle w:val="16"/>
        <w:tblW w:w="8018"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13"/>
        <w:gridCol w:w="6505"/>
      </w:tblGrid>
      <w:tr w14:paraId="2A550A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513" w:type="dxa"/>
            <w:tcBorders>
              <w:top w:val="single" w:color="auto" w:sz="4" w:space="0"/>
              <w:left w:val="nil"/>
              <w:bottom w:val="single" w:color="auto" w:sz="4" w:space="0"/>
              <w:right w:val="nil"/>
            </w:tcBorders>
          </w:tcPr>
          <w:p w14:paraId="4A2040CB">
            <w:pP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S</w:t>
            </w:r>
            <w:r>
              <w:rPr>
                <w:rFonts w:hint="eastAsia" w:ascii="Arial" w:hAnsi="Arial" w:cs="Arial"/>
                <w:color w:val="000000" w:themeColor="text1"/>
                <w:sz w:val="20"/>
                <w:szCs w:val="20"/>
                <w14:textFill>
                  <w14:solidFill>
                    <w14:schemeClr w14:val="tx1"/>
                  </w14:solidFill>
                </w14:textFill>
              </w:rPr>
              <w:t>erial</w:t>
            </w:r>
            <w:r>
              <w:rPr>
                <w:rFonts w:hint="eastAsia" w:ascii="Arial" w:hAnsi="Arial" w:cs="Arial"/>
                <w:color w:val="000000" w:themeColor="text1"/>
                <w:sz w:val="20"/>
                <w:szCs w:val="20"/>
                <w:lang w:val="en-US" w:eastAsia="zh-CN"/>
                <w14:textFill>
                  <w14:solidFill>
                    <w14:schemeClr w14:val="tx1"/>
                  </w14:solidFill>
                </w14:textFill>
              </w:rPr>
              <w:t xml:space="preserve"> </w:t>
            </w:r>
            <w:r>
              <w:rPr>
                <w:rFonts w:hint="eastAsia" w:ascii="Arial" w:hAnsi="Arial" w:cs="Arial"/>
                <w:color w:val="000000" w:themeColor="text1"/>
                <w:sz w:val="20"/>
                <w:szCs w:val="20"/>
                <w14:textFill>
                  <w14:solidFill>
                    <w14:schemeClr w14:val="tx1"/>
                  </w14:solidFill>
                </w14:textFill>
              </w:rPr>
              <w:t>number</w:t>
            </w:r>
          </w:p>
        </w:tc>
        <w:tc>
          <w:tcPr>
            <w:tcW w:w="6505" w:type="dxa"/>
            <w:tcBorders>
              <w:top w:val="single" w:color="auto" w:sz="4" w:space="0"/>
              <w:left w:val="nil"/>
              <w:bottom w:val="single" w:color="auto" w:sz="4" w:space="0"/>
              <w:right w:val="nil"/>
            </w:tcBorders>
            <w:vAlign w:val="center"/>
          </w:tcPr>
          <w:p w14:paraId="526290AC">
            <w:pPr>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lang w:eastAsia="zh-CN"/>
                <w14:textFill>
                  <w14:solidFill>
                    <w14:schemeClr w14:val="tx1"/>
                  </w14:solidFill>
                </w14:textFill>
              </w:rPr>
              <w:t>Questions</w:t>
            </w:r>
          </w:p>
        </w:tc>
      </w:tr>
      <w:tr w14:paraId="693F3AC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513" w:type="dxa"/>
            <w:tcBorders>
              <w:top w:val="single" w:color="auto" w:sz="4" w:space="0"/>
              <w:left w:val="nil"/>
              <w:bottom w:val="nil"/>
              <w:right w:val="nil"/>
            </w:tcBorders>
          </w:tcPr>
          <w:p w14:paraId="1B6E6578">
            <w:pPr>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1</w:t>
            </w:r>
          </w:p>
        </w:tc>
        <w:tc>
          <w:tcPr>
            <w:tcW w:w="6505" w:type="dxa"/>
            <w:tcBorders>
              <w:top w:val="single" w:color="auto" w:sz="4" w:space="0"/>
              <w:left w:val="nil"/>
              <w:bottom w:val="nil"/>
              <w:right w:val="nil"/>
            </w:tcBorders>
            <w:vAlign w:val="top"/>
          </w:tcPr>
          <w:p w14:paraId="75376589">
            <w:pPr>
              <w:pStyle w:val="38"/>
              <w:spacing w:line="480" w:lineRule="auto"/>
              <w:jc w:val="both"/>
              <w:rPr>
                <w:rFonts w:hint="eastAsia" w:ascii="Arial" w:hAnsi="Arial" w:cs="Arial" w:eastAsiaTheme="minorEastAsia"/>
                <w:snapToGrid/>
                <w:color w:val="000000" w:themeColor="text1"/>
                <w:kern w:val="2"/>
                <w:sz w:val="20"/>
                <w:szCs w:val="20"/>
                <w:lang w:val="en-US" w:eastAsia="zh-CN" w:bidi="ar-SA"/>
                <w14:textFill>
                  <w14:solidFill>
                    <w14:schemeClr w14:val="tx1"/>
                  </w14:solidFill>
                </w14:textFill>
              </w:rPr>
            </w:pPr>
            <w:r>
              <w:rPr>
                <w:rFonts w:hint="eastAsia" w:ascii="Arial" w:hAnsi="Arial" w:cs="Arial" w:eastAsiaTheme="minorEastAsia"/>
                <w:snapToGrid/>
                <w:color w:val="000000" w:themeColor="text1"/>
                <w:kern w:val="2"/>
                <w:sz w:val="20"/>
                <w:szCs w:val="20"/>
                <w:lang w:val="en-US" w:eastAsia="zh-CN" w:bidi="ar-SA"/>
                <w14:textFill>
                  <w14:solidFill>
                    <w14:schemeClr w14:val="tx1"/>
                  </w14:solidFill>
                </w14:textFill>
              </w:rPr>
              <w:t>What is your definition of a new nurse anesthetist (role)?</w:t>
            </w:r>
          </w:p>
        </w:tc>
      </w:tr>
      <w:tr w14:paraId="2794CF3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513" w:type="dxa"/>
            <w:tcBorders>
              <w:top w:val="nil"/>
              <w:left w:val="nil"/>
              <w:bottom w:val="nil"/>
              <w:right w:val="nil"/>
            </w:tcBorders>
          </w:tcPr>
          <w:p w14:paraId="39BE771A">
            <w:pPr>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2</w:t>
            </w:r>
          </w:p>
        </w:tc>
        <w:tc>
          <w:tcPr>
            <w:tcW w:w="6505" w:type="dxa"/>
            <w:tcBorders>
              <w:top w:val="nil"/>
              <w:left w:val="nil"/>
              <w:bottom w:val="nil"/>
              <w:right w:val="nil"/>
            </w:tcBorders>
            <w:vAlign w:val="top"/>
          </w:tcPr>
          <w:p w14:paraId="5AEBEA9F">
            <w:pPr>
              <w:rPr>
                <w:rFonts w:hint="eastAsia" w:ascii="Arial" w:hAnsi="Arial" w:cs="Arial" w:eastAsiaTheme="minorEastAsia"/>
                <w:snapToGrid/>
                <w:color w:val="000000" w:themeColor="text1"/>
                <w:kern w:val="2"/>
                <w:sz w:val="20"/>
                <w:szCs w:val="20"/>
                <w:lang w:val="en-US" w:eastAsia="zh-CN" w:bidi="ar-SA"/>
                <w14:textFill>
                  <w14:solidFill>
                    <w14:schemeClr w14:val="tx1"/>
                  </w14:solidFill>
                </w14:textFill>
              </w:rPr>
            </w:pPr>
            <w:r>
              <w:rPr>
                <w:rFonts w:hint="eastAsia" w:ascii="Arial" w:hAnsi="Arial" w:cs="Arial" w:eastAsiaTheme="minorEastAsia"/>
                <w:snapToGrid/>
                <w:color w:val="000000" w:themeColor="text1"/>
                <w:kern w:val="2"/>
                <w:sz w:val="20"/>
                <w:szCs w:val="20"/>
                <w:lang w:val="en-US" w:eastAsia="zh-CN" w:bidi="ar-SA"/>
                <w14:textFill>
                  <w14:solidFill>
                    <w14:schemeClr w14:val="tx1"/>
                  </w14:solidFill>
                </w14:textFill>
              </w:rPr>
              <w:t>What specific domains of theoretical knowledge should be incorporated into the training curriculum for new nurse anesthetists, and what instructional methodologies would you recommend for effective knowledge transfer?</w:t>
            </w:r>
          </w:p>
        </w:tc>
      </w:tr>
      <w:tr w14:paraId="28FF2F2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513" w:type="dxa"/>
            <w:tcBorders>
              <w:top w:val="nil"/>
              <w:left w:val="nil"/>
              <w:bottom w:val="nil"/>
              <w:right w:val="nil"/>
            </w:tcBorders>
          </w:tcPr>
          <w:p w14:paraId="12DE820B">
            <w:pPr>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3</w:t>
            </w:r>
          </w:p>
        </w:tc>
        <w:tc>
          <w:tcPr>
            <w:tcW w:w="6505" w:type="dxa"/>
            <w:tcBorders>
              <w:top w:val="nil"/>
              <w:left w:val="nil"/>
              <w:bottom w:val="nil"/>
              <w:right w:val="nil"/>
            </w:tcBorders>
            <w:vAlign w:val="top"/>
          </w:tcPr>
          <w:p w14:paraId="7D2FACA5">
            <w:pPr>
              <w:rPr>
                <w:rFonts w:hint="eastAsia" w:ascii="Arial" w:hAnsi="Arial" w:cs="Arial" w:eastAsiaTheme="minorEastAsia"/>
                <w:snapToGrid/>
                <w:color w:val="000000" w:themeColor="text1"/>
                <w:kern w:val="2"/>
                <w:sz w:val="20"/>
                <w:szCs w:val="20"/>
                <w:lang w:val="en-US" w:eastAsia="zh-CN" w:bidi="ar-SA"/>
                <w14:textFill>
                  <w14:solidFill>
                    <w14:schemeClr w14:val="tx1"/>
                  </w14:solidFill>
                </w14:textFill>
              </w:rPr>
            </w:pPr>
            <w:r>
              <w:rPr>
                <w:rFonts w:hint="eastAsia" w:ascii="Arial" w:hAnsi="Arial" w:cs="Arial" w:eastAsiaTheme="minorEastAsia"/>
                <w:snapToGrid/>
                <w:color w:val="000000" w:themeColor="text1"/>
                <w:kern w:val="2"/>
                <w:sz w:val="20"/>
                <w:szCs w:val="20"/>
                <w:lang w:val="en-US" w:eastAsia="zh-CN" w:bidi="ar-SA"/>
                <w14:textFill>
                  <w14:solidFill>
                    <w14:schemeClr w14:val="tx1"/>
                  </w14:solidFill>
                </w14:textFill>
              </w:rPr>
              <w:t>What essential technical skill sets should be prioritized in the competency-based training program for new nurse anesthetists, and through what pedagogical approaches would you recommend these skills to be effectively developed and assessed?</w:t>
            </w:r>
          </w:p>
        </w:tc>
      </w:tr>
      <w:tr w14:paraId="0BC8E34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513" w:type="dxa"/>
            <w:tcBorders>
              <w:top w:val="nil"/>
              <w:left w:val="nil"/>
              <w:bottom w:val="nil"/>
              <w:right w:val="nil"/>
            </w:tcBorders>
          </w:tcPr>
          <w:p w14:paraId="60C1A74A">
            <w:pPr>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4</w:t>
            </w:r>
          </w:p>
        </w:tc>
        <w:tc>
          <w:tcPr>
            <w:tcW w:w="6505" w:type="dxa"/>
            <w:tcBorders>
              <w:top w:val="nil"/>
              <w:left w:val="nil"/>
              <w:bottom w:val="nil"/>
              <w:right w:val="nil"/>
            </w:tcBorders>
            <w:vAlign w:val="top"/>
          </w:tcPr>
          <w:p w14:paraId="003BA8D7">
            <w:pPr>
              <w:rPr>
                <w:rFonts w:hint="eastAsia" w:ascii="Arial" w:hAnsi="Arial" w:cs="Arial" w:eastAsiaTheme="minorEastAsia"/>
                <w:snapToGrid/>
                <w:color w:val="000000" w:themeColor="text1"/>
                <w:kern w:val="2"/>
                <w:sz w:val="20"/>
                <w:szCs w:val="20"/>
                <w:lang w:val="en-US" w:eastAsia="zh-CN" w:bidi="ar-SA"/>
                <w14:textFill>
                  <w14:solidFill>
                    <w14:schemeClr w14:val="tx1"/>
                  </w14:solidFill>
                </w14:textFill>
              </w:rPr>
            </w:pPr>
            <w:r>
              <w:rPr>
                <w:rFonts w:hint="eastAsia" w:ascii="Arial" w:hAnsi="Arial" w:cs="Arial" w:eastAsiaTheme="minorEastAsia"/>
                <w:snapToGrid/>
                <w:color w:val="000000" w:themeColor="text1"/>
                <w:kern w:val="2"/>
                <w:sz w:val="20"/>
                <w:szCs w:val="20"/>
                <w:lang w:val="en-US" w:eastAsia="zh-CN" w:bidi="ar-SA"/>
                <w14:textFill>
                  <w14:solidFill>
                    <w14:schemeClr w14:val="tx1"/>
                  </w14:solidFill>
                </w14:textFill>
              </w:rPr>
              <w:t>Which core non-technical skills (NTS) should be emphasized in the professional development of new nurse anesthetists, and what evidence-based training strategies would you recommend for cultivating these essential cognitive and behavioral skills in clinical practice?</w:t>
            </w:r>
          </w:p>
        </w:tc>
      </w:tr>
      <w:tr w14:paraId="0260A4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 w:hRule="atLeast"/>
          <w:jc w:val="center"/>
        </w:trPr>
        <w:tc>
          <w:tcPr>
            <w:tcW w:w="1513" w:type="dxa"/>
            <w:tcBorders>
              <w:top w:val="nil"/>
              <w:left w:val="nil"/>
              <w:bottom w:val="single" w:color="auto" w:sz="4" w:space="0"/>
              <w:right w:val="nil"/>
            </w:tcBorders>
          </w:tcPr>
          <w:p w14:paraId="34C2C8FF">
            <w:pPr>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5</w:t>
            </w:r>
          </w:p>
        </w:tc>
        <w:tc>
          <w:tcPr>
            <w:tcW w:w="6505" w:type="dxa"/>
            <w:tcBorders>
              <w:top w:val="nil"/>
              <w:left w:val="nil"/>
              <w:bottom w:val="single" w:color="auto" w:sz="4" w:space="0"/>
              <w:right w:val="nil"/>
            </w:tcBorders>
            <w:vAlign w:val="top"/>
          </w:tcPr>
          <w:p w14:paraId="2FA5B013">
            <w:pPr>
              <w:rPr>
                <w:rFonts w:hint="eastAsia" w:ascii="Arial" w:hAnsi="Arial" w:cs="Arial" w:eastAsiaTheme="minorEastAsia"/>
                <w:snapToGrid/>
                <w:color w:val="000000" w:themeColor="text1"/>
                <w:kern w:val="2"/>
                <w:sz w:val="20"/>
                <w:szCs w:val="20"/>
                <w:lang w:val="en-US" w:eastAsia="zh-CN" w:bidi="ar-SA"/>
                <w14:textFill>
                  <w14:solidFill>
                    <w14:schemeClr w14:val="tx1"/>
                  </w14:solidFill>
                </w14:textFill>
              </w:rPr>
            </w:pPr>
            <w:r>
              <w:rPr>
                <w:rFonts w:hint="eastAsia" w:ascii="Arial" w:hAnsi="Arial" w:cs="Arial" w:eastAsiaTheme="minorEastAsia"/>
                <w:snapToGrid/>
                <w:color w:val="000000" w:themeColor="text1"/>
                <w:kern w:val="2"/>
                <w:sz w:val="20"/>
                <w:szCs w:val="20"/>
                <w:lang w:val="en-US" w:eastAsia="zh-CN" w:bidi="ar-SA"/>
                <w14:textFill>
                  <w14:solidFill>
                    <w14:schemeClr w14:val="tx1"/>
                  </w14:solidFill>
                </w14:textFill>
              </w:rPr>
              <w:t>Could you elaborate on the current training paradigm implemented in your institution for new nurse anesthetists, specifically addressing the curricular framework, instructional modalities, and competency assessment mechanisms employed throughout the training process?</w:t>
            </w:r>
          </w:p>
        </w:tc>
      </w:tr>
    </w:tbl>
    <w:p w14:paraId="1E7F0FCF">
      <w:pPr>
        <w:rPr>
          <w:color w:val="000000" w:themeColor="text1"/>
          <w14:textFill>
            <w14:solidFill>
              <w14:schemeClr w14:val="tx1"/>
            </w14:solidFill>
          </w14:textFill>
        </w:rPr>
      </w:pPr>
    </w:p>
    <w:tbl>
      <w:tblPr>
        <w:tblStyle w:val="16"/>
        <w:tblW w:w="8018"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13"/>
        <w:gridCol w:w="6505"/>
      </w:tblGrid>
      <w:tr w14:paraId="33BFEF6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 w:hRule="atLeast"/>
          <w:jc w:val="center"/>
        </w:trPr>
        <w:tc>
          <w:tcPr>
            <w:tcW w:w="1513" w:type="dxa"/>
            <w:tcBorders>
              <w:top w:val="single" w:color="auto" w:sz="4" w:space="0"/>
              <w:left w:val="nil"/>
              <w:bottom w:val="single" w:color="auto" w:sz="4" w:space="0"/>
              <w:right w:val="nil"/>
            </w:tcBorders>
            <w:vAlign w:val="top"/>
          </w:tcPr>
          <w:p w14:paraId="4F82E309">
            <w:pP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S</w:t>
            </w:r>
            <w:r>
              <w:rPr>
                <w:rFonts w:hint="eastAsia" w:ascii="Arial" w:hAnsi="Arial" w:cs="Arial"/>
                <w:color w:val="000000" w:themeColor="text1"/>
                <w:sz w:val="20"/>
                <w:szCs w:val="20"/>
                <w14:textFill>
                  <w14:solidFill>
                    <w14:schemeClr w14:val="tx1"/>
                  </w14:solidFill>
                </w14:textFill>
              </w:rPr>
              <w:t>erial</w:t>
            </w:r>
          </w:p>
          <w:p w14:paraId="650F07CA">
            <w:pP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number</w:t>
            </w:r>
          </w:p>
        </w:tc>
        <w:tc>
          <w:tcPr>
            <w:tcW w:w="6505" w:type="dxa"/>
            <w:tcBorders>
              <w:top w:val="single" w:color="auto" w:sz="4" w:space="0"/>
              <w:left w:val="nil"/>
              <w:bottom w:val="single" w:color="auto" w:sz="4" w:space="0"/>
              <w:right w:val="nil"/>
            </w:tcBorders>
            <w:vAlign w:val="center"/>
          </w:tcPr>
          <w:p w14:paraId="17992926">
            <w:pPr>
              <w:jc w:val="center"/>
              <w:rPr>
                <w:rFonts w:hint="eastAsia" w:ascii="Arial" w:hAnsi="Arial" w:cs="Arial" w:eastAsiaTheme="minorEastAsia"/>
                <w:snapToGrid/>
                <w:color w:val="000000" w:themeColor="text1"/>
                <w:kern w:val="2"/>
                <w:sz w:val="20"/>
                <w:szCs w:val="20"/>
                <w:lang w:val="en-US" w:eastAsia="zh-CN" w:bidi="ar-SA"/>
                <w14:textFill>
                  <w14:solidFill>
                    <w14:schemeClr w14:val="tx1"/>
                  </w14:solidFill>
                </w14:textFill>
              </w:rPr>
            </w:pPr>
            <w:r>
              <w:rPr>
                <w:rFonts w:hint="eastAsia" w:ascii="Arial" w:hAnsi="Arial" w:cs="Arial"/>
                <w:color w:val="000000" w:themeColor="text1"/>
                <w:sz w:val="20"/>
                <w:szCs w:val="20"/>
                <w:lang w:eastAsia="zh-CN"/>
                <w14:textFill>
                  <w14:solidFill>
                    <w14:schemeClr w14:val="tx1"/>
                  </w14:solidFill>
                </w14:textFill>
              </w:rPr>
              <w:t>Questions</w:t>
            </w:r>
          </w:p>
        </w:tc>
      </w:tr>
      <w:tr w14:paraId="79504D0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513" w:type="dxa"/>
            <w:tcBorders>
              <w:top w:val="single" w:color="auto" w:sz="4" w:space="0"/>
              <w:left w:val="nil"/>
              <w:bottom w:val="single" w:color="auto" w:sz="4" w:space="0"/>
              <w:right w:val="nil"/>
            </w:tcBorders>
          </w:tcPr>
          <w:p w14:paraId="5093B1A8">
            <w:pPr>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6</w:t>
            </w:r>
          </w:p>
        </w:tc>
        <w:tc>
          <w:tcPr>
            <w:tcW w:w="6505" w:type="dxa"/>
            <w:tcBorders>
              <w:top w:val="single" w:color="auto" w:sz="4" w:space="0"/>
              <w:left w:val="nil"/>
              <w:bottom w:val="single" w:color="auto" w:sz="4" w:space="0"/>
              <w:right w:val="nil"/>
            </w:tcBorders>
            <w:vAlign w:val="top"/>
          </w:tcPr>
          <w:p w14:paraId="4D13527C">
            <w:pPr>
              <w:rPr>
                <w:rFonts w:hint="eastAsia" w:ascii="Arial" w:hAnsi="Arial" w:cs="Arial" w:eastAsiaTheme="minorEastAsia"/>
                <w:snapToGrid/>
                <w:color w:val="000000" w:themeColor="text1"/>
                <w:kern w:val="2"/>
                <w:sz w:val="20"/>
                <w:szCs w:val="20"/>
                <w:lang w:val="en-US" w:eastAsia="zh-CN" w:bidi="ar-SA"/>
                <w14:textFill>
                  <w14:solidFill>
                    <w14:schemeClr w14:val="tx1"/>
                  </w14:solidFill>
                </w14:textFill>
              </w:rPr>
            </w:pPr>
            <w:r>
              <w:rPr>
                <w:rFonts w:hint="eastAsia" w:ascii="Arial" w:hAnsi="Arial" w:cs="Arial" w:eastAsiaTheme="minorEastAsia"/>
                <w:snapToGrid/>
                <w:color w:val="000000" w:themeColor="text1"/>
                <w:kern w:val="2"/>
                <w:sz w:val="20"/>
                <w:szCs w:val="20"/>
                <w:lang w:val="en-US" w:eastAsia="zh-CN" w:bidi="ar-SA"/>
                <w14:textFill>
                  <w14:solidFill>
                    <w14:schemeClr w14:val="tx1"/>
                  </w14:solidFill>
                </w14:textFill>
              </w:rPr>
              <w:t>What additional elements or innovative components would you recommend incorporating into the systematic development of a competency-based training curriculum for new nurse anesthetists to optimize their clinical preparedness and professional development?</w:t>
            </w:r>
          </w:p>
        </w:tc>
      </w:tr>
    </w:tbl>
    <w:p w14:paraId="3E81D83F">
      <w:pPr>
        <w:bidi w:val="0"/>
        <w:jc w:val="left"/>
        <w:rPr>
          <w:rFonts w:hint="eastAsia"/>
          <w:color w:val="000000" w:themeColor="text1"/>
          <w:lang w:val="en-US" w:eastAsia="zh-CN"/>
          <w14:textFill>
            <w14:solidFill>
              <w14:schemeClr w14:val="tx1"/>
            </w14:solidFill>
          </w14:textFill>
        </w:rPr>
      </w:pPr>
    </w:p>
    <w:p w14:paraId="17EEF0B7">
      <w:pPr>
        <w:pStyle w:val="11"/>
        <w:spacing w:before="46" w:line="190" w:lineRule="auto"/>
        <w:jc w:val="both"/>
        <w:rPr>
          <w:rFonts w:hint="eastAsia"/>
          <w:color w:val="000000" w:themeColor="text1"/>
          <w:lang w:val="en-US" w:eastAsia="zh-CN"/>
          <w14:textFill>
            <w14:solidFill>
              <w14:schemeClr w14:val="tx1"/>
            </w14:solidFill>
          </w14:textFill>
        </w:rPr>
      </w:pPr>
      <w:r>
        <w:rPr>
          <w:rFonts w:hint="default" w:ascii="Arial" w:hAnsi="Arial" w:cs="Arial"/>
          <w:b/>
          <w:bCs/>
          <w:color w:val="000000" w:themeColor="text1"/>
          <w:spacing w:val="-5"/>
          <w:sz w:val="28"/>
          <w:szCs w:val="28"/>
          <w14:textFill>
            <w14:solidFill>
              <w14:schemeClr w14:val="tx1"/>
            </w14:solidFill>
          </w14:textFill>
        </w:rPr>
        <w:t>References</w:t>
      </w:r>
    </w:p>
    <w:p w14:paraId="737CDB6B">
      <w:pPr>
        <w:numPr>
          <w:ilvl w:val="0"/>
          <w:numId w:val="2"/>
        </w:numPr>
        <w:rPr>
          <w:rFonts w:hint="eastAsia" w:ascii="Arial" w:hAnsi="Arial" w:cs="Arial"/>
          <w:color w:val="000000" w:themeColor="text1"/>
          <w:sz w:val="20"/>
          <w:szCs w:val="20"/>
          <w:lang w:val="en-US" w:eastAsia="zh-CN"/>
          <w14:textFill>
            <w14:solidFill>
              <w14:schemeClr w14:val="tx1"/>
            </w14:solidFill>
          </w14:textFill>
        </w:rPr>
      </w:pPr>
      <w:r>
        <w:rPr>
          <w:rFonts w:hint="eastAsia" w:ascii="Arial" w:hAnsi="Arial" w:cs="Arial"/>
          <w:color w:val="000000" w:themeColor="text1"/>
          <w:sz w:val="20"/>
          <w:szCs w:val="20"/>
          <w:lang w:val="en-US" w:eastAsia="zh-CN"/>
          <w14:textFill>
            <w14:solidFill>
              <w14:schemeClr w14:val="tx1"/>
            </w14:solidFill>
          </w14:textFill>
        </w:rPr>
        <w:t>Spencer LM &amp; Spencer SM.competence at work:Models for superior performance[M].New York: John wiley &amp; Sons,Ine.,1993:222-226.</w:t>
      </w:r>
    </w:p>
    <w:p w14:paraId="4A4E742E">
      <w:pPr>
        <w:numPr>
          <w:ilvl w:val="0"/>
          <w:numId w:val="2"/>
        </w:numPr>
        <w:rPr>
          <w:rFonts w:hint="default" w:ascii="Arial" w:hAnsi="Arial" w:cs="Arial"/>
          <w:color w:val="000000" w:themeColor="text1"/>
          <w:sz w:val="20"/>
          <w:szCs w:val="20"/>
          <w:lang w:val="en-US" w:eastAsia="zh-CN"/>
          <w14:textFill>
            <w14:solidFill>
              <w14:schemeClr w14:val="tx1"/>
            </w14:solidFill>
          </w14:textFill>
        </w:rPr>
      </w:pPr>
      <w:r>
        <w:rPr>
          <w:rFonts w:hint="default" w:ascii="Arial" w:hAnsi="Arial" w:cs="Arial"/>
          <w:color w:val="000000" w:themeColor="text1"/>
          <w:sz w:val="20"/>
          <w:szCs w:val="20"/>
          <w:lang w:val="en-US" w:eastAsia="zh-CN"/>
          <w14:textFill>
            <w14:solidFill>
              <w14:schemeClr w14:val="tx1"/>
            </w14:solidFill>
          </w14:textFill>
        </w:rPr>
        <w:t>O’Shea K. Staff development nursing secrets[M</w:t>
      </w:r>
      <w:bookmarkStart w:id="0" w:name="_GoBack"/>
      <w:bookmarkEnd w:id="0"/>
      <w:r>
        <w:rPr>
          <w:rFonts w:hint="default" w:ascii="Arial" w:hAnsi="Arial" w:cs="Arial"/>
          <w:color w:val="000000" w:themeColor="text1"/>
          <w:sz w:val="20"/>
          <w:szCs w:val="20"/>
          <w:lang w:val="en-US" w:eastAsia="zh-CN"/>
          <w14:textFill>
            <w14:solidFill>
              <w14:schemeClr w14:val="tx1"/>
            </w14:solidFill>
          </w14:textFill>
        </w:rPr>
        <w:t>]. Philadelphia, PA:Hanley &amp; Belfus, 2002:175.</w:t>
      </w:r>
    </w:p>
    <w:p w14:paraId="778AD278">
      <w:pPr>
        <w:numPr>
          <w:ilvl w:val="0"/>
          <w:numId w:val="2"/>
        </w:numPr>
        <w:rPr>
          <w:rFonts w:hint="default" w:ascii="Arial" w:hAnsi="Arial" w:cs="Arial"/>
          <w:color w:val="000000" w:themeColor="text1"/>
          <w:sz w:val="20"/>
          <w:szCs w:val="20"/>
          <w:lang w:val="en-US" w:eastAsia="zh-CN"/>
          <w14:textFill>
            <w14:solidFill>
              <w14:schemeClr w14:val="tx1"/>
            </w14:solidFill>
          </w14:textFill>
        </w:rPr>
      </w:pPr>
      <w:r>
        <w:rPr>
          <w:rFonts w:hint="default" w:ascii="Arial" w:hAnsi="Arial" w:cs="Arial"/>
          <w:color w:val="000000" w:themeColor="text1"/>
          <w:sz w:val="20"/>
          <w:szCs w:val="20"/>
          <w:lang w:val="en-US" w:eastAsia="zh-CN"/>
          <w14:textFill>
            <w14:solidFill>
              <w14:schemeClr w14:val="tx1"/>
            </w14:solidFill>
          </w14:textFill>
        </w:rPr>
        <w:t>National Health and Family Planning Commission . Circular of the General Office of the National Health and Family Planning Commission on the Issuance of the Training Outline for New Nurses (for Trial Implementation) [EB/OL].</w:t>
      </w:r>
      <w:r>
        <w:rPr>
          <w:rFonts w:hint="eastAsia" w:ascii="Arial" w:hAnsi="Arial" w:cs="Arial"/>
          <w:color w:val="000000" w:themeColor="text1"/>
          <w:sz w:val="20"/>
          <w:szCs w:val="20"/>
          <w:lang w:val="en-US" w:eastAsia="zh-CN"/>
          <w14:textFill>
            <w14:solidFill>
              <w14:schemeClr w14:val="tx1"/>
            </w14:solidFill>
          </w14:textFill>
        </w:rPr>
        <w:t xml:space="preserve"> </w:t>
      </w:r>
      <w:r>
        <w:rPr>
          <w:rFonts w:hint="default" w:ascii="Arial" w:hAnsi="Arial" w:cs="Arial"/>
          <w:color w:val="000000" w:themeColor="text1"/>
          <w:sz w:val="20"/>
          <w:szCs w:val="20"/>
          <w:lang w:val="en-US" w:eastAsia="zh-CN"/>
          <w14:textFill>
            <w14:solidFill>
              <w14:schemeClr w14:val="tx1"/>
            </w14:solidFill>
          </w14:textFill>
        </w:rPr>
        <w:t>(2016-02-16) http://www.nhc.gov.cn/yzygj/s3593/201602/91b5a8fa3c9a45859b036558a5073875.sht</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Palatino Linotype">
    <w:panose1 w:val="02040502050505030304"/>
    <w:charset w:val="A2"/>
    <w:family w:val="roman"/>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4403B">
    <w:pPr>
      <w:pStyle w:val="12"/>
      <w:spacing w:line="480" w:lineRule="auto"/>
      <w:jc w:val="center"/>
      <w:rPr>
        <w:rFonts w:hint="eastAsia"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posOffset>2656840</wp:posOffset>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02CF8B">
                          <w:pPr>
                            <w:pStyle w:val="12"/>
                            <w:jc w:val="cen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9.2pt;margin-top:-1pt;height:144pt;width:144pt;mso-position-horizontal-relative:margin;mso-wrap-style:none;z-index:251659264;mso-width-relative:page;mso-height-relative:page;" filled="f" stroked="f" coordsize="21600,21600" o:gfxdata="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gIkEx1wAAAAoBAAAPAAAAAAAAAAEAIAAAACIAAABkcnMvZG93bnJldi54bWxQ&#10;SwECFAAUAAAACACHTuJAa4X5+zECAABhBAAADgAAAAAAAAABACAAAAAmAQAAZHJzL2Uyb0RvYy54&#10;bWxQSwUGAAAAAAYABgBZAQAAyQUAAAAA&#10;">
              <v:fill on="f" focussize="0,0"/>
              <v:stroke on="f" weight="0.5pt"/>
              <v:imagedata o:title=""/>
              <o:lock v:ext="edit" aspectratio="f"/>
              <v:textbox inset="0mm,0mm,0mm,0mm" style="mso-fit-shape-to-text:t;">
                <w:txbxContent>
                  <w:p w14:paraId="0D02CF8B">
                    <w:pPr>
                      <w:pStyle w:val="12"/>
                      <w:jc w:val="center"/>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1979EB"/>
    <w:multiLevelType w:val="singleLevel"/>
    <w:tmpl w:val="B31979EB"/>
    <w:lvl w:ilvl="0" w:tentative="0">
      <w:start w:val="1"/>
      <w:numFmt w:val="decimal"/>
      <w:lvlText w:val="[%1]"/>
      <w:lvlJc w:val="left"/>
      <w:pPr>
        <w:tabs>
          <w:tab w:val="left" w:pos="312"/>
        </w:tabs>
      </w:pPr>
    </w:lvl>
  </w:abstractNum>
  <w:abstractNum w:abstractNumId="1">
    <w:nsid w:val="50424BF8"/>
    <w:multiLevelType w:val="multilevel"/>
    <w:tmpl w:val="50424BF8"/>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B93"/>
    <w:rsid w:val="00065C7F"/>
    <w:rsid w:val="003622AC"/>
    <w:rsid w:val="005A5CB0"/>
    <w:rsid w:val="005F037B"/>
    <w:rsid w:val="005F7642"/>
    <w:rsid w:val="006251AD"/>
    <w:rsid w:val="00832548"/>
    <w:rsid w:val="00A61D32"/>
    <w:rsid w:val="00A833B8"/>
    <w:rsid w:val="00B57298"/>
    <w:rsid w:val="00DB4032"/>
    <w:rsid w:val="00E878A8"/>
    <w:rsid w:val="00E96B93"/>
    <w:rsid w:val="082876BC"/>
    <w:rsid w:val="0FD50659"/>
    <w:rsid w:val="133B6A25"/>
    <w:rsid w:val="17315BB6"/>
    <w:rsid w:val="43C76B41"/>
    <w:rsid w:val="46860BE4"/>
    <w:rsid w:val="481F08CC"/>
    <w:rsid w:val="4BE331DB"/>
    <w:rsid w:val="4F443F90"/>
    <w:rsid w:val="5C4C16DB"/>
    <w:rsid w:val="686E34D1"/>
    <w:rsid w:val="6D3864DF"/>
    <w:rsid w:val="7A3525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ody Text"/>
    <w:basedOn w:val="1"/>
    <w:semiHidden/>
    <w:qFormat/>
    <w:uiPriority w:val="0"/>
    <w:rPr>
      <w:rFonts w:eastAsia="Arial"/>
      <w:sz w:val="19"/>
      <w:szCs w:val="19"/>
    </w:rPr>
  </w:style>
  <w:style w:type="paragraph" w:styleId="12">
    <w:name w:val="footer"/>
    <w:basedOn w:val="1"/>
    <w:link w:val="37"/>
    <w:unhideWhenUsed/>
    <w:qFormat/>
    <w:uiPriority w:val="99"/>
    <w:pPr>
      <w:tabs>
        <w:tab w:val="center" w:pos="4153"/>
        <w:tab w:val="right" w:pos="8306"/>
      </w:tabs>
      <w:snapToGrid w:val="0"/>
      <w:jc w:val="left"/>
    </w:pPr>
    <w:rPr>
      <w:sz w:val="18"/>
      <w:szCs w:val="18"/>
    </w:rPr>
  </w:style>
  <w:style w:type="paragraph" w:styleId="13">
    <w:name w:val="header"/>
    <w:basedOn w:val="1"/>
    <w:link w:val="36"/>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szCs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3"/>
    <w:qFormat/>
    <w:uiPriority w:val="99"/>
    <w:rPr>
      <w:sz w:val="18"/>
      <w:szCs w:val="18"/>
    </w:rPr>
  </w:style>
  <w:style w:type="character" w:customStyle="1" w:styleId="37">
    <w:name w:val="页脚 字符"/>
    <w:basedOn w:val="17"/>
    <w:link w:val="12"/>
    <w:qFormat/>
    <w:uiPriority w:val="99"/>
    <w:rPr>
      <w:sz w:val="18"/>
      <w:szCs w:val="18"/>
    </w:rPr>
  </w:style>
  <w:style w:type="paragraph" w:customStyle="1" w:styleId="38">
    <w:name w:val="MDPI_4.2_table_body"/>
    <w:qFormat/>
    <w:uiPriority w:val="0"/>
    <w:pPr>
      <w:adjustRightInd w:val="0"/>
      <w:snapToGrid w:val="0"/>
      <w:spacing w:after="0" w:line="260" w:lineRule="atLeast"/>
      <w:jc w:val="center"/>
    </w:pPr>
    <w:rPr>
      <w:rFonts w:ascii="Palatino Linotype" w:hAnsi="Palatino Linotype" w:eastAsia="Times New Roman" w:cs="Times New Roman"/>
      <w:snapToGrid w:val="0"/>
      <w:color w:val="000000"/>
      <w:sz w:val="20"/>
      <w:szCs w:val="20"/>
      <w:lang w:val="en-US" w:eastAsia="de-DE" w:bidi="en-US"/>
    </w:rPr>
  </w:style>
  <w:style w:type="table" w:customStyle="1" w:styleId="3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524</Words>
  <Characters>3392</Characters>
  <Lines>21</Lines>
  <Paragraphs>5</Paragraphs>
  <TotalTime>1</TotalTime>
  <ScaleCrop>false</ScaleCrop>
  <LinksUpToDate>false</LinksUpToDate>
  <CharactersWithSpaces>3891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2025-03-18T12:58:00Z</dcterms:created>
  <dc:creator>样 小</dc:creator>
  <cp:lastModifiedBy>suk</cp:lastModifiedBy>
  <dcterms:modified xsi:type="dcterms:W3CDTF">2025-05-07T08:00:39Z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eyJoZGlkIjoiZDdiMWNiMGNkMjY2MDAxMGU4OWEwMzQzNTJjOGM3MWMiLCJ1c2VySWQiOiIxMjk0OTIyMjQ3In0=</vt:lpwstr>
  </property>
  <property fmtid="{D5CDD505-2E9C-101B-9397-08002B2CF9AE}" pid="3" name="KSOProductBuildVer">
    <vt:lpwstr>2052-12.1.0.20305</vt:lpwstr>
  </property>
  <property fmtid="{D5CDD505-2E9C-101B-9397-08002B2CF9AE}" pid="4" name="ICV">
    <vt:lpwstr>3D21064948674604847BAA90AA45F3D9_12</vt:lpwstr>
  </property>
</Properties>
</file>