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0E382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bookmarkStart w:id="1" w:name="_GoBack"/>
      <w:bookmarkEnd w:id="1"/>
      <w:bookmarkStart w:id="0" w:name="_Toc284859884"/>
      <w:r>
        <w:rPr>
          <w:rFonts w:hint="eastAsia" w:ascii="Times New Roman Bold" w:hAnsi="Times New Roman Bold" w:cs="Times New Roman Bold"/>
          <w:b/>
          <w:bCs/>
          <w:iCs/>
          <w:color w:val="000000"/>
          <w:lang w:bidi="ar"/>
        </w:rPr>
        <w:t xml:space="preserve">Table S1. </w:t>
      </w:r>
      <w:r>
        <w:rPr>
          <w:rFonts w:ascii="Times New Roman Bold" w:hAnsi="Times New Roman Bold" w:eastAsia="ArialMT" w:cs="Times New Roman Bold"/>
          <w:b/>
          <w:bCs/>
          <w:iCs/>
          <w:color w:val="000000"/>
          <w:lang w:bidi="ar"/>
        </w:rPr>
        <w:t>Search Strategies</w:t>
      </w:r>
      <w:bookmarkEnd w:id="0"/>
    </w:p>
    <w:tbl>
      <w:tblPr>
        <w:tblStyle w:val="7"/>
        <w:tblpPr w:leftFromText="180" w:rightFromText="180" w:vertAnchor="text" w:tblpXSpec="center" w:tblpY="1"/>
        <w:tblOverlap w:val="never"/>
        <w:tblW w:w="467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0" w:type="dxa"/>
          <w:right w:w="15" w:type="dxa"/>
        </w:tblCellMar>
      </w:tblPr>
      <w:tblGrid>
        <w:gridCol w:w="1735"/>
        <w:gridCol w:w="1213"/>
        <w:gridCol w:w="10120"/>
      </w:tblGrid>
      <w:tr w14:paraId="14E6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6" w:hRule="atLeast"/>
          <w:tblHeader/>
        </w:trPr>
        <w:tc>
          <w:tcPr>
            <w:tcW w:w="664" w:type="pct"/>
            <w:shd w:val="clear" w:color="000000" w:fill="FFFCF0"/>
            <w:vAlign w:val="center"/>
          </w:tcPr>
          <w:p w14:paraId="5636FA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Search Item</w:t>
            </w:r>
          </w:p>
        </w:tc>
        <w:tc>
          <w:tcPr>
            <w:tcW w:w="464" w:type="pct"/>
            <w:shd w:val="clear" w:color="000000" w:fill="FFFCF0"/>
            <w:vAlign w:val="center"/>
          </w:tcPr>
          <w:p w14:paraId="19383F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Category</w:t>
            </w:r>
          </w:p>
        </w:tc>
        <w:tc>
          <w:tcPr>
            <w:tcW w:w="3870" w:type="pct"/>
            <w:shd w:val="clear" w:color="000000" w:fill="FFFCF0"/>
            <w:vAlign w:val="center"/>
          </w:tcPr>
          <w:p w14:paraId="4ED451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Search Strategy</w:t>
            </w:r>
          </w:p>
        </w:tc>
      </w:tr>
      <w:tr w14:paraId="219CC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792" w:hRule="atLeast"/>
        </w:trPr>
        <w:tc>
          <w:tcPr>
            <w:tcW w:w="664" w:type="pct"/>
            <w:shd w:val="clear" w:color="auto" w:fill="auto"/>
            <w:vAlign w:val="center"/>
          </w:tcPr>
          <w:p w14:paraId="4145F57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Cancer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F25DC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#1</w:t>
            </w:r>
          </w:p>
        </w:tc>
        <w:tc>
          <w:tcPr>
            <w:tcW w:w="3870" w:type="pct"/>
            <w:shd w:val="clear" w:color="auto" w:fill="auto"/>
            <w:vAlign w:val="center"/>
          </w:tcPr>
          <w:p w14:paraId="44D2D7C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"neoplasms"[MeSH Terms] OR "neoplas*"[Title/Abstract] OR "cancer*"[Title/Abstract] OR "carcinoma*"[Title/Abstract] OR "tumo*"[Title/Abstract] OR "malignan*"[Title/Abstract]</w:t>
            </w:r>
          </w:p>
        </w:tc>
      </w:tr>
      <w:tr w14:paraId="220A4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168" w:hRule="atLeast"/>
        </w:trPr>
        <w:tc>
          <w:tcPr>
            <w:tcW w:w="664" w:type="pct"/>
            <w:shd w:val="clear" w:color="auto" w:fill="auto"/>
            <w:vAlign w:val="center"/>
          </w:tcPr>
          <w:p w14:paraId="450F1AF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Symptom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2BDB16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#2</w:t>
            </w:r>
          </w:p>
        </w:tc>
        <w:tc>
          <w:tcPr>
            <w:tcW w:w="3870" w:type="pct"/>
            <w:shd w:val="clear" w:color="auto" w:fill="auto"/>
            <w:vAlign w:val="center"/>
          </w:tcPr>
          <w:p w14:paraId="75C975A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"syndrome"[MeSH Terms]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OR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"sy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mptom*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OR "symptom cluster*"[Title/Abstract] OR "multiple symptom*"[Title/Abstract] OR "symptom constellation*"[Title/Abstract] OR "concurrent symptom*"[Title/Abstract] OR "co-occurring symptom*"[Title/Abstract]</w:t>
            </w:r>
          </w:p>
        </w:tc>
      </w:tr>
      <w:tr w14:paraId="3B595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142" w:hRule="atLeast"/>
        </w:trPr>
        <w:tc>
          <w:tcPr>
            <w:tcW w:w="664" w:type="pct"/>
            <w:vMerge w:val="restart"/>
            <w:shd w:val="clear" w:color="auto" w:fill="auto"/>
            <w:vAlign w:val="center"/>
          </w:tcPr>
          <w:p w14:paraId="11C305A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Mobile health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16EDBA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#3</w:t>
            </w:r>
          </w:p>
        </w:tc>
        <w:tc>
          <w:tcPr>
            <w:tcW w:w="3870" w:type="pct"/>
            <w:shd w:val="clear" w:color="auto" w:fill="auto"/>
            <w:vAlign w:val="center"/>
          </w:tcPr>
          <w:p w14:paraId="6B41794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telemedicine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"[MeSH Terms]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OR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telecare*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mobile health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mhealth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m-health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ehealth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e-health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telehealth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mcare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m-care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</w:t>
            </w:r>
          </w:p>
        </w:tc>
      </w:tr>
      <w:tr w14:paraId="73497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179" w:hRule="atLeast"/>
        </w:trPr>
        <w:tc>
          <w:tcPr>
            <w:tcW w:w="664" w:type="pct"/>
            <w:vMerge w:val="continue"/>
            <w:shd w:val="clear" w:color="auto" w:fill="auto"/>
            <w:vAlign w:val="center"/>
          </w:tcPr>
          <w:p w14:paraId="0EC2421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2C73E5A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#4</w:t>
            </w:r>
          </w:p>
        </w:tc>
        <w:tc>
          <w:tcPr>
            <w:tcW w:w="3870" w:type="pct"/>
            <w:shd w:val="clear" w:color="auto" w:fill="auto"/>
            <w:vAlign w:val="center"/>
          </w:tcPr>
          <w:p w14:paraId="137CEA2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"mobile applications"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[MeSH Terms]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OR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mobile app*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mobile technology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app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apps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portable electronic app*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portable software app*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smartphone app*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</w:t>
            </w:r>
          </w:p>
        </w:tc>
      </w:tr>
      <w:tr w14:paraId="61AD9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830" w:hRule="atLeast"/>
        </w:trPr>
        <w:tc>
          <w:tcPr>
            <w:tcW w:w="664" w:type="pct"/>
            <w:vMerge w:val="continue"/>
            <w:shd w:val="clear" w:color="auto" w:fill="auto"/>
            <w:vAlign w:val="center"/>
          </w:tcPr>
          <w:p w14:paraId="78FDD3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7CBC2976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#5</w:t>
            </w:r>
          </w:p>
        </w:tc>
        <w:tc>
          <w:tcPr>
            <w:tcW w:w="3870" w:type="pct"/>
            <w:shd w:val="clear" w:color="auto" w:fill="auto"/>
            <w:vAlign w:val="center"/>
          </w:tcPr>
          <w:p w14:paraId="1A0676C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"cell Phone"[MeSH Terms] OR "cell* phone*"[Title/Abstract] OR "smart phone*"[Title/Abstract] OR "mobile phone*"[Title/Abstract]</w:t>
            </w:r>
          </w:p>
        </w:tc>
      </w:tr>
      <w:tr w14:paraId="1FB9E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830" w:hRule="atLeast"/>
        </w:trPr>
        <w:tc>
          <w:tcPr>
            <w:tcW w:w="664" w:type="pct"/>
            <w:vMerge w:val="continue"/>
            <w:shd w:val="clear" w:color="auto" w:fill="auto"/>
            <w:vAlign w:val="center"/>
          </w:tcPr>
          <w:p w14:paraId="46E48A9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6049131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#6</w:t>
            </w:r>
          </w:p>
        </w:tc>
        <w:tc>
          <w:tcPr>
            <w:tcW w:w="3870" w:type="pct"/>
            <w:shd w:val="clear" w:color="auto" w:fill="auto"/>
            <w:vAlign w:val="center"/>
          </w:tcPr>
          <w:p w14:paraId="6061D50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"wearable electronic devices"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[MeSH Terms]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OR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wearable devices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wearable technology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</w:t>
            </w:r>
          </w:p>
        </w:tc>
      </w:tr>
      <w:tr w14:paraId="2EEB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66" w:hRule="atLeast"/>
        </w:trPr>
        <w:tc>
          <w:tcPr>
            <w:tcW w:w="664" w:type="pct"/>
            <w:vMerge w:val="continue"/>
            <w:shd w:val="clear" w:color="auto" w:fill="auto"/>
            <w:vAlign w:val="center"/>
          </w:tcPr>
          <w:p w14:paraId="0E3A167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7AF09A7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#7</w:t>
            </w:r>
          </w:p>
        </w:tc>
        <w:tc>
          <w:tcPr>
            <w:tcW w:w="3870" w:type="pct"/>
            <w:shd w:val="clear" w:color="auto" w:fill="auto"/>
            <w:vAlign w:val="center"/>
          </w:tcPr>
          <w:p w14:paraId="750CE7C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"software"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[MeSH Terms]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OR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wechat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small program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mini program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 OR "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applet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"[Title/Abstract]</w:t>
            </w:r>
          </w:p>
        </w:tc>
      </w:tr>
      <w:tr w14:paraId="1A47C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72" w:hRule="atLeast"/>
        </w:trPr>
        <w:tc>
          <w:tcPr>
            <w:tcW w:w="664" w:type="pct"/>
            <w:vMerge w:val="continue"/>
            <w:shd w:val="clear" w:color="auto" w:fill="auto"/>
            <w:vAlign w:val="center"/>
          </w:tcPr>
          <w:p w14:paraId="1AF1D6F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6E1BD47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#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3870" w:type="pct"/>
            <w:shd w:val="clear" w:color="auto" w:fill="auto"/>
            <w:vAlign w:val="center"/>
          </w:tcPr>
          <w:p w14:paraId="574B5665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#3 OR #4 OR #5 OR #6 OR #7</w:t>
            </w:r>
          </w:p>
        </w:tc>
      </w:tr>
      <w:tr w14:paraId="77042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67" w:hRule="atLeast"/>
        </w:trPr>
        <w:tc>
          <w:tcPr>
            <w:tcW w:w="664" w:type="pct"/>
            <w:shd w:val="clear" w:color="auto" w:fill="auto"/>
            <w:vAlign w:val="center"/>
          </w:tcPr>
          <w:p w14:paraId="0301F726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1E19E40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#9</w:t>
            </w:r>
          </w:p>
        </w:tc>
        <w:tc>
          <w:tcPr>
            <w:tcW w:w="3870" w:type="pct"/>
            <w:shd w:val="clear" w:color="auto" w:fill="auto"/>
            <w:vAlign w:val="center"/>
          </w:tcPr>
          <w:p w14:paraId="3970BC0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#1 AND #2 AND#8</w:t>
            </w:r>
          </w:p>
        </w:tc>
      </w:tr>
    </w:tbl>
    <w:p w14:paraId="1EFB72D0">
      <w:pPr>
        <w:rPr>
          <w:rFonts w:ascii="Times New Roman Bold" w:hAnsi="Times New Roman Bold" w:eastAsia="ArialMT" w:cs="Times New Roman Bold"/>
          <w:b/>
          <w:bCs/>
          <w:iCs/>
          <w:color w:val="000000"/>
          <w:kern w:val="0"/>
          <w:szCs w:val="21"/>
          <w:lang w:val="en-GB" w:eastAsia="en-GB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</w:rPr>
        <w:br w:type="page"/>
      </w:r>
    </w:p>
    <w:p w14:paraId="10A91FB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 Bold" w:hAnsi="Times New Roman Bold" w:eastAsia="ArialMT" w:cs="Times New Roman Bold"/>
          <w:b/>
          <w:bCs/>
          <w:iCs/>
          <w:color w:val="000000"/>
          <w:kern w:val="0"/>
          <w:szCs w:val="21"/>
          <w:lang w:val="en-GB" w:eastAsia="en-GB" w:bidi="ar"/>
        </w:rPr>
        <w:t xml:space="preserve">Table </w:t>
      </w:r>
      <w:r>
        <w:rPr>
          <w:rFonts w:hint="eastAsia" w:ascii="Times New Roman Bold" w:hAnsi="Times New Roman Bold" w:eastAsia="宋体" w:cs="Times New Roman Bold"/>
          <w:b/>
          <w:bCs/>
          <w:iCs/>
          <w:color w:val="000000"/>
          <w:kern w:val="0"/>
          <w:szCs w:val="21"/>
          <w:lang w:bidi="ar"/>
        </w:rPr>
        <w:t>S2</w:t>
      </w:r>
      <w:r>
        <w:rPr>
          <w:rFonts w:ascii="Times New Roman Bold" w:hAnsi="Times New Roman Bold" w:eastAsia="ArialMT" w:cs="Times New Roman Bold"/>
          <w:b/>
          <w:bCs/>
          <w:iCs/>
          <w:color w:val="000000"/>
          <w:kern w:val="0"/>
          <w:szCs w:val="21"/>
          <w:lang w:val="en-GB" w:eastAsia="en-GB" w:bidi="ar"/>
        </w:rPr>
        <w:t xml:space="preserve">. Summary of Functional Elements, Design </w:t>
      </w:r>
      <w:r>
        <w:rPr>
          <w:rFonts w:hint="eastAsia" w:ascii="Times New Roman Bold" w:hAnsi="Times New Roman Bold" w:eastAsia="宋体" w:cs="Times New Roman Bold"/>
          <w:b/>
          <w:bCs/>
          <w:iCs/>
          <w:color w:val="000000"/>
          <w:kern w:val="0"/>
          <w:szCs w:val="21"/>
          <w:lang w:bidi="ar"/>
        </w:rPr>
        <w:t xml:space="preserve">and Use </w:t>
      </w:r>
      <w:r>
        <w:rPr>
          <w:rFonts w:ascii="Times New Roman Bold" w:hAnsi="Times New Roman Bold" w:eastAsia="ArialMT" w:cs="Times New Roman Bold"/>
          <w:b/>
          <w:bCs/>
          <w:iCs/>
          <w:color w:val="000000"/>
          <w:kern w:val="0"/>
          <w:szCs w:val="21"/>
          <w:lang w:val="en-GB" w:eastAsia="en-GB" w:bidi="ar"/>
        </w:rPr>
        <w:t>Strategies, and Evaluation in mHealth Interventions</w:t>
      </w:r>
    </w:p>
    <w:tbl>
      <w:tblPr>
        <w:tblStyle w:val="8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9"/>
        <w:gridCol w:w="1926"/>
        <w:gridCol w:w="2131"/>
        <w:gridCol w:w="1543"/>
        <w:gridCol w:w="1698"/>
        <w:gridCol w:w="1197"/>
      </w:tblGrid>
      <w:tr w14:paraId="74347A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0F8ADD6E">
            <w:pPr>
              <w:jc w:val="center"/>
              <w:rPr>
                <w:rFonts w:ascii="Times New Roman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 xml:space="preserve">Name of </w:t>
            </w:r>
            <w:r>
              <w:rPr>
                <w:rFonts w:ascii="Times New Roman" w:hAnsi="Times New Roman" w:eastAsia="宋体" w:cs="宋体"/>
                <w:b/>
                <w:bCs/>
                <w:szCs w:val="21"/>
              </w:rPr>
              <w:t>Study or I</w:t>
            </w: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ntervention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65385B50">
            <w:pPr>
              <w:jc w:val="center"/>
              <w:rPr>
                <w:rFonts w:ascii="Times New Roman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Author, Year, Country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7E3E4">
            <w:pPr>
              <w:jc w:val="center"/>
              <w:rPr>
                <w:rFonts w:ascii="Times New Roman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 xml:space="preserve">Functional </w:t>
            </w:r>
            <w:r>
              <w:rPr>
                <w:rFonts w:ascii="Times New Roman" w:hAnsi="Times New Roman" w:eastAsia="宋体" w:cs="宋体"/>
                <w:b/>
                <w:bCs/>
                <w:szCs w:val="21"/>
              </w:rPr>
              <w:t>E</w:t>
            </w: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lement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5AB3A">
            <w:pPr>
              <w:jc w:val="center"/>
              <w:rPr>
                <w:rFonts w:ascii="Times New Roman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 xml:space="preserve">Design </w:t>
            </w:r>
            <w:r>
              <w:rPr>
                <w:rFonts w:ascii="Times New Roman" w:hAnsi="Times New Roman" w:eastAsia="宋体" w:cs="宋体"/>
                <w:b/>
                <w:bCs/>
                <w:szCs w:val="21"/>
              </w:rPr>
              <w:t>S</w:t>
            </w: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trateg</w:t>
            </w:r>
            <w:r>
              <w:rPr>
                <w:rFonts w:ascii="Times New Roman" w:hAnsi="Times New Roman" w:eastAsia="宋体" w:cs="宋体"/>
                <w:b/>
                <w:bCs/>
                <w:szCs w:val="21"/>
              </w:rPr>
              <w:t>y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9D8DA">
            <w:pPr>
              <w:jc w:val="center"/>
              <w:rPr>
                <w:rFonts w:ascii="Times New Roman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 xml:space="preserve">Use </w:t>
            </w:r>
            <w:r>
              <w:rPr>
                <w:rFonts w:ascii="Times New Roman" w:hAnsi="Times New Roman" w:eastAsia="宋体" w:cs="宋体"/>
                <w:b/>
                <w:bCs/>
                <w:szCs w:val="21"/>
              </w:rPr>
              <w:t>S</w:t>
            </w: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trateg</w:t>
            </w:r>
            <w:r>
              <w:rPr>
                <w:rFonts w:ascii="Times New Roman" w:hAnsi="Times New Roman" w:eastAsia="宋体" w:cs="宋体"/>
                <w:b/>
                <w:bCs/>
                <w:szCs w:val="21"/>
              </w:rPr>
              <w:t>y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6D3FC5DB">
            <w:pPr>
              <w:jc w:val="center"/>
              <w:rPr>
                <w:rFonts w:ascii="Times New Roman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Evaluation</w:t>
            </w:r>
          </w:p>
        </w:tc>
      </w:tr>
      <w:tr w14:paraId="252099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1F028EB0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宋体" w:cs="宋体"/>
                <w:szCs w:val="21"/>
              </w:rPr>
              <w:t>Indiana Cancer Pain and Depression (INCPAD) trial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013106BF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Kroenke K et al., 2010, USA 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4CE25FCB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(1); (2); (3); (6)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4DBD6569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24DDE5EA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(2)a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4F901ED0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</w:tr>
      <w:tr w14:paraId="31E4E7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7E9C4145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宋体" w:cs="宋体"/>
                <w:szCs w:val="21"/>
              </w:rPr>
              <w:t>WRITE Symptoms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5D65ACBF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Donovan HS et al., 2014, </w:t>
            </w:r>
            <w:r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42AF2842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(1); (3); (6)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29E83795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073CF96E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(1)b; (2)a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743794B3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(2)a; (3)</w:t>
            </w:r>
          </w:p>
        </w:tc>
      </w:tr>
      <w:tr w14:paraId="50F257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19E4C829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Breast Cancer Support zone (BCS</w:t>
            </w:r>
            <w:r>
              <w:rPr>
                <w:rFonts w:ascii="Times New Roman" w:hAnsi="Times New Roman" w:eastAsia="宋体" w:cs="宋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Cs w:val="21"/>
              </w:rPr>
              <w:t>zone)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44FFB536"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Ghanbari E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 xml:space="preserve"> et al.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 xml:space="preserve">, 2021, </w:t>
            </w:r>
            <w:r>
              <w:rPr>
                <w:rFonts w:hint="eastAsia" w:ascii="Times New Roman Regular" w:hAnsi="Times New Roman Regular" w:cs="Times New Roman Regular"/>
                <w:szCs w:val="21"/>
              </w:rPr>
              <w:t>Iran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31387A9A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(3);(7)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0DD8153B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(1); (2)b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3A89A8CB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 xml:space="preserve">(1)b; </w:t>
            </w:r>
            <w:r>
              <w:rPr>
                <w:rFonts w:ascii="Times New Roman" w:hAnsi="Times New Roman" w:eastAsia="宋体" w:cs="宋体"/>
                <w:szCs w:val="21"/>
              </w:rPr>
              <w:t>(</w:t>
            </w:r>
            <w:r>
              <w:rPr>
                <w:rFonts w:hint="eastAsia" w:ascii="Times New Roman" w:hAnsi="Times New Roman" w:eastAsia="宋体" w:cs="宋体"/>
                <w:szCs w:val="21"/>
              </w:rPr>
              <w:t>2</w:t>
            </w:r>
            <w:r>
              <w:rPr>
                <w:rFonts w:ascii="Times New Roman" w:hAnsi="Times New Roman" w:eastAsia="宋体" w:cs="宋体"/>
                <w:szCs w:val="21"/>
              </w:rPr>
              <w:t>)</w:t>
            </w:r>
            <w:r>
              <w:rPr>
                <w:rFonts w:hint="eastAsia" w:ascii="Times New Roman" w:hAnsi="Times New Roman" w:eastAsia="宋体" w:cs="宋体"/>
                <w:szCs w:val="21"/>
              </w:rPr>
              <w:t>b; (3)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05D95D1F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(3)</w:t>
            </w:r>
          </w:p>
        </w:tc>
      </w:tr>
      <w:tr w14:paraId="641943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68A49C65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The-Optimal-Lymph-Flow health IT system (TOLF)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34F5B0B1"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Fu MR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et al., 2022, </w:t>
            </w:r>
            <w:r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6B0F0CF9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(1); (3); (4); (7)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751074CC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(1); (2)b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26F21CDD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4B23BACD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(2)a b c;</w:t>
            </w:r>
          </w:p>
        </w:tc>
      </w:tr>
      <w:tr w14:paraId="557D1D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416ACEF1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WeChat-</w:t>
            </w:r>
            <w:r>
              <w:rPr>
                <w:rFonts w:ascii="Times New Roman" w:hAnsi="Times New Roman" w:eastAsia="宋体" w:cs="宋体"/>
                <w:szCs w:val="21"/>
              </w:rPr>
              <w:t>B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ased </w:t>
            </w:r>
            <w:r>
              <w:rPr>
                <w:rFonts w:ascii="Times New Roman" w:hAnsi="Times New Roman" w:eastAsia="宋体" w:cs="宋体"/>
                <w:szCs w:val="21"/>
              </w:rPr>
              <w:t>C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ognitive </w:t>
            </w:r>
            <w:r>
              <w:rPr>
                <w:rFonts w:ascii="Times New Roman" w:hAnsi="Times New Roman" w:eastAsia="宋体" w:cs="宋体"/>
                <w:szCs w:val="21"/>
              </w:rPr>
              <w:t>B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ehavioural </w:t>
            </w:r>
            <w:r>
              <w:rPr>
                <w:rFonts w:ascii="Times New Roman" w:hAnsi="Times New Roman" w:eastAsia="宋体" w:cs="宋体"/>
                <w:szCs w:val="21"/>
              </w:rPr>
              <w:t>S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tress </w:t>
            </w:r>
            <w:r>
              <w:rPr>
                <w:rFonts w:ascii="Times New Roman" w:hAnsi="Times New Roman" w:eastAsia="宋体" w:cs="宋体"/>
                <w:szCs w:val="21"/>
              </w:rPr>
              <w:t>M</w:t>
            </w:r>
            <w:r>
              <w:rPr>
                <w:rFonts w:hint="eastAsia" w:ascii="Times New Roman" w:hAnsi="Times New Roman" w:eastAsia="宋体" w:cs="宋体"/>
                <w:szCs w:val="21"/>
              </w:rPr>
              <w:t>anagement (WB-CBSM)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7C147EA3"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Hao Q et al., 2024, China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4C437730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(3); (5); (6)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1AB801D6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(2)c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7EDB2693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16811473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</w:tr>
      <w:tr w14:paraId="0B3ABD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0C78BD3A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App-Based Physical Activity Program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61357802"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Hwang YJ et al., 202</w:t>
            </w:r>
            <w:r>
              <w:rPr>
                <w:rFonts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>5</w:t>
            </w: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, South Korea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3ADC676E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(3); (4); (5)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060F7ABE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(1); (2)a c;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6FC0B11A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(1)a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7C8CE653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(1)b;</w:t>
            </w:r>
          </w:p>
        </w:tc>
      </w:tr>
      <w:tr w14:paraId="284D44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64EA8043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WeChat</w:t>
            </w:r>
            <w:r>
              <w:rPr>
                <w:rFonts w:ascii="Times New Roman" w:hAnsi="Times New Roman" w:eastAsia="宋体" w:cs="宋体"/>
                <w:szCs w:val="21"/>
              </w:rPr>
              <w:t>-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based </w:t>
            </w:r>
            <w:r>
              <w:rPr>
                <w:rFonts w:ascii="Times New Roman" w:hAnsi="Times New Roman" w:eastAsia="宋体" w:cs="宋体"/>
                <w:szCs w:val="21"/>
              </w:rPr>
              <w:t>E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ducation </w:t>
            </w:r>
            <w:r>
              <w:rPr>
                <w:rFonts w:ascii="Times New Roman" w:hAnsi="Times New Roman" w:eastAsia="宋体" w:cs="宋体"/>
                <w:szCs w:val="21"/>
              </w:rPr>
              <w:t>R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ehabilitation </w:t>
            </w:r>
            <w:r>
              <w:rPr>
                <w:rFonts w:ascii="Times New Roman" w:hAnsi="Times New Roman" w:eastAsia="宋体" w:cs="宋体"/>
                <w:szCs w:val="21"/>
              </w:rPr>
              <w:t>P</w:t>
            </w:r>
            <w:r>
              <w:rPr>
                <w:rFonts w:hint="eastAsia" w:ascii="Times New Roman" w:hAnsi="Times New Roman" w:eastAsia="宋体" w:cs="宋体"/>
                <w:szCs w:val="21"/>
              </w:rPr>
              <w:t>rogram (WERP)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3857B5FD"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Sui Y et al., 202</w:t>
            </w:r>
            <w:r>
              <w:rPr>
                <w:rFonts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>0</w:t>
            </w: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, China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33616341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(3); (4); (5); (6)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2FC99DD6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(2)b;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0CFA3ECD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(1)b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373B2B2C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</w:tr>
      <w:tr w14:paraId="62DCAC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05A86155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ChemoFreeBot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500EFE3A"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Tawfik E et al., 202</w:t>
            </w:r>
            <w:r>
              <w:rPr>
                <w:rFonts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>3</w:t>
            </w: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, Egypt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2A533E8D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(3); (6)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0C388350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743AB658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60C3E32A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(2)a</w:t>
            </w:r>
          </w:p>
        </w:tc>
      </w:tr>
      <w:tr w14:paraId="5714C1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758FEA21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宋体" w:cs="宋体"/>
                <w:szCs w:val="21"/>
              </w:rPr>
              <w:t>i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nternet-delivered </w:t>
            </w:r>
            <w:r>
              <w:rPr>
                <w:rFonts w:ascii="Times New Roman" w:hAnsi="Times New Roman" w:eastAsia="宋体" w:cs="宋体"/>
                <w:szCs w:val="21"/>
              </w:rPr>
              <w:t>M</w:t>
            </w:r>
            <w:r>
              <w:rPr>
                <w:rFonts w:hint="eastAsia" w:ascii="Times New Roman" w:hAnsi="Times New Roman" w:eastAsia="宋体" w:cs="宋体"/>
                <w:szCs w:val="21"/>
              </w:rPr>
              <w:t>indfulness-</w:t>
            </w:r>
            <w:r>
              <w:rPr>
                <w:rFonts w:ascii="Times New Roman" w:hAnsi="Times New Roman" w:eastAsia="宋体" w:cs="宋体"/>
                <w:szCs w:val="21"/>
              </w:rPr>
              <w:t>B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ased </w:t>
            </w:r>
            <w:r>
              <w:rPr>
                <w:rFonts w:ascii="Times New Roman" w:hAnsi="Times New Roman" w:eastAsia="宋体" w:cs="宋体"/>
                <w:szCs w:val="21"/>
              </w:rPr>
              <w:t>C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ancer </w:t>
            </w:r>
            <w:r>
              <w:rPr>
                <w:rFonts w:ascii="Times New Roman" w:hAnsi="Times New Roman" w:eastAsia="宋体" w:cs="宋体"/>
                <w:szCs w:val="21"/>
              </w:rPr>
              <w:t>R</w:t>
            </w:r>
            <w:r>
              <w:rPr>
                <w:rFonts w:hint="eastAsia" w:ascii="Times New Roman" w:hAnsi="Times New Roman" w:eastAsia="宋体" w:cs="宋体"/>
                <w:szCs w:val="21"/>
              </w:rPr>
              <w:t>ecovery (iMBCR) program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37A148C7"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Wang L et al., 202</w:t>
            </w:r>
            <w:r>
              <w:rPr>
                <w:rFonts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, China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7089CD6D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(7)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467C2E62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5039B4AF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(1)a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3FD4BEC5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(1)b</w:t>
            </w:r>
          </w:p>
        </w:tc>
      </w:tr>
      <w:tr w14:paraId="025A25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10E7FC02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 xml:space="preserve">WeChat-based </w:t>
            </w:r>
            <w:r>
              <w:rPr>
                <w:rFonts w:ascii="Times New Roman" w:hAnsi="Times New Roman" w:eastAsia="宋体" w:cs="宋体"/>
                <w:szCs w:val="21"/>
              </w:rPr>
              <w:t>L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ife </w:t>
            </w:r>
            <w:r>
              <w:rPr>
                <w:rFonts w:ascii="Times New Roman" w:hAnsi="Times New Roman" w:eastAsia="宋体" w:cs="宋体"/>
                <w:szCs w:val="21"/>
              </w:rPr>
              <w:t>R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eview </w:t>
            </w:r>
            <w:r>
              <w:rPr>
                <w:rFonts w:ascii="Times New Roman" w:hAnsi="Times New Roman" w:eastAsia="宋体" w:cs="宋体"/>
                <w:szCs w:val="21"/>
              </w:rPr>
              <w:t>P</w:t>
            </w:r>
            <w:r>
              <w:rPr>
                <w:rFonts w:hint="eastAsia" w:ascii="Times New Roman" w:hAnsi="Times New Roman" w:eastAsia="宋体" w:cs="宋体"/>
                <w:szCs w:val="21"/>
              </w:rPr>
              <w:t>rogram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74302E94"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Zheng M et al., 202</w:t>
            </w:r>
            <w:r>
              <w:rPr>
                <w:rFonts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, China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325E7B4E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(6); (10)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4A4F425C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(1); (2)b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54E0CCB9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(1)b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54B9A1DA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</w:tr>
      <w:tr w14:paraId="517D50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6692B4B0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The-Optimal-Lymph-Flow</w:t>
            </w:r>
            <w:r>
              <w:rPr>
                <w:rFonts w:ascii="Times New Roman" w:hAnsi="Times New Roman" w:eastAsia="宋体" w:cs="宋体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szCs w:val="21"/>
              </w:rPr>
              <w:t>TOLF</w:t>
            </w:r>
            <w:r>
              <w:rPr>
                <w:rFonts w:ascii="Times New Roman" w:hAnsi="Times New Roman" w:eastAsia="宋体" w:cs="宋体"/>
                <w:szCs w:val="21"/>
              </w:rPr>
              <w:t>)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1FF1BC69"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Du X</w:t>
            </w:r>
            <w:r>
              <w:rPr>
                <w:rFonts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 xml:space="preserve"> et al., 2025, </w:t>
            </w: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China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6FCE3D53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(3); (5); (7)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7B2F3D12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(1); (2)b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7E6C85EC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(1)a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0F816CF1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</w:tr>
      <w:tr w14:paraId="632007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147988D6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宋体" w:cs="宋体"/>
                <w:szCs w:val="21"/>
              </w:rPr>
              <w:t>e</w:t>
            </w:r>
            <w:r>
              <w:rPr>
                <w:rFonts w:hint="eastAsia" w:ascii="Times New Roman" w:hAnsi="Times New Roman" w:eastAsia="宋体" w:cs="宋体"/>
                <w:szCs w:val="21"/>
              </w:rPr>
              <w:t>lectronic Patient Activation in Treatment at Home (ePATH)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01336EC6"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Wennerberg C</w:t>
            </w:r>
            <w:r>
              <w:rPr>
                <w:rFonts w:hint="eastAsia"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 xml:space="preserve"> et al., 2023, Sweden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79AFBC2E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(3); (4); (5); (6)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08C73AB2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(1);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31E7778E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28DB80EB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(1)c; (2)c</w:t>
            </w:r>
          </w:p>
        </w:tc>
      </w:tr>
      <w:tr w14:paraId="345F70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031E7B6E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Cancer-Related Fatigue Management Program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3839A1D1"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Zhang S</w:t>
            </w:r>
            <w:r>
              <w:rPr>
                <w:rFonts w:hint="eastAsia"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 xml:space="preserve"> et al., 2025, China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3C7858E1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(3); (5); (6); (7)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10759A5C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1AC71EE9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58754334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NM</w:t>
            </w:r>
          </w:p>
        </w:tc>
      </w:tr>
      <w:tr w14:paraId="66946F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6" w:type="dxa"/>
            <w:tcBorders>
              <w:tl2br w:val="nil"/>
              <w:tr2bl w:val="nil"/>
            </w:tcBorders>
            <w:vAlign w:val="center"/>
          </w:tcPr>
          <w:p w14:paraId="4FB0BEA3">
            <w:pPr>
              <w:jc w:val="left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Interaktor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 w14:paraId="0DFC088E"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Fjell M</w:t>
            </w:r>
            <w:r>
              <w:rPr>
                <w:rFonts w:hint="eastAsia"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 xml:space="preserve"> et al., 2020, Sweden</w:t>
            </w:r>
          </w:p>
        </w:tc>
        <w:tc>
          <w:tcPr>
            <w:tcW w:w="2142" w:type="dxa"/>
            <w:tcBorders>
              <w:tl2br w:val="nil"/>
              <w:tr2bl w:val="nil"/>
            </w:tcBorders>
            <w:vAlign w:val="center"/>
          </w:tcPr>
          <w:p w14:paraId="700AC810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(1); (2); (3); (4)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center"/>
          </w:tcPr>
          <w:p w14:paraId="1F929D09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(2)b</w:t>
            </w:r>
          </w:p>
        </w:tc>
        <w:tc>
          <w:tcPr>
            <w:tcW w:w="1706" w:type="dxa"/>
            <w:tcBorders>
              <w:tl2br w:val="nil"/>
              <w:tr2bl w:val="nil"/>
            </w:tcBorders>
            <w:vAlign w:val="center"/>
          </w:tcPr>
          <w:p w14:paraId="6FDD3123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(1)b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74A4AD76"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(1)c</w:t>
            </w:r>
          </w:p>
        </w:tc>
      </w:tr>
    </w:tbl>
    <w:p w14:paraId="530759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NM, Not Mentioned.</w:t>
      </w:r>
    </w:p>
    <w:p w14:paraId="65F99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Functional elements: </w:t>
      </w:r>
      <w:r>
        <w:rPr>
          <w:rFonts w:hint="eastAsia" w:ascii="Times New Roman" w:hAnsi="Times New Roman" w:cs="Times New Roman"/>
        </w:rPr>
        <w:t>(1) Symptom assessment</w:t>
      </w:r>
      <w:r>
        <w:rPr>
          <w:rFonts w:ascii="Times New Roman" w:hAnsi="Times New Roman" w:cs="Times New Roman"/>
        </w:rPr>
        <w:t>;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 Monitoring and early warning; (</w:t>
      </w:r>
      <w:r>
        <w:rPr>
          <w:rFonts w:hint="eastAsia"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 Health education; (</w:t>
      </w:r>
      <w:r>
        <w:rPr>
          <w:rFonts w:hint="eastAsia"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 Remind; (</w:t>
      </w:r>
      <w:r>
        <w:rPr>
          <w:rFonts w:hint="eastAsia"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 Consultation and guidance; (</w:t>
      </w:r>
      <w:r>
        <w:rPr>
          <w:rFonts w:hint="eastAsia"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) Individualized intervention; and </w:t>
      </w:r>
      <w:r>
        <w:rPr>
          <w:rFonts w:hint="eastAsia" w:ascii="Times New Roman" w:hAnsi="Times New Roman" w:cs="Times New Roman"/>
        </w:rPr>
        <w:t>(7) Non-i</w:t>
      </w:r>
      <w:r>
        <w:rPr>
          <w:rFonts w:ascii="Times New Roman" w:hAnsi="Times New Roman" w:cs="Times New Roman"/>
        </w:rPr>
        <w:t>ndividualized intervention.</w:t>
      </w:r>
    </w:p>
    <w:p w14:paraId="1F9EB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Design strategies: (1) Theoretical guidance frameworks; and (2) Human-centered interface design: a. U</w:t>
      </w:r>
      <w:r>
        <w:rPr>
          <w:rFonts w:hint="eastAsia" w:ascii="Times New Roman" w:hAnsi="Times New Roman" w:cs="Times New Roman"/>
        </w:rPr>
        <w:t>ser-friendly</w:t>
      </w:r>
      <w:r>
        <w:rPr>
          <w:rFonts w:ascii="Times New Roman" w:hAnsi="Times New Roman" w:cs="Times New Roman"/>
        </w:rPr>
        <w:t xml:space="preserve"> interface design, b.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>
        <w:rPr>
          <w:rFonts w:hint="eastAsia" w:ascii="Times New Roman" w:hAnsi="Times New Roman" w:cs="Times New Roman"/>
        </w:rPr>
        <w:t xml:space="preserve">isualization, c. </w:t>
      </w:r>
      <w:r>
        <w:rPr>
          <w:rFonts w:ascii="Times New Roman" w:hAnsi="Times New Roman" w:cs="Times New Roman"/>
        </w:rPr>
        <w:t>H</w:t>
      </w:r>
      <w:r>
        <w:rPr>
          <w:rFonts w:hint="eastAsia" w:ascii="Times New Roman" w:hAnsi="Times New Roman" w:cs="Times New Roman"/>
        </w:rPr>
        <w:t>ealth literacy-based design.</w:t>
      </w:r>
    </w:p>
    <w:p w14:paraId="26AAAC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strategies: (1) Improving the ability of people with cancer: a. Use training, b. Instruction manuals; (2)</w:t>
      </w:r>
      <w:r>
        <w:rPr>
          <w:rFonts w:hint="eastAsia" w:ascii="Times New Roman" w:hAnsi="Times New Roman" w:cs="Times New Roman"/>
        </w:rPr>
        <w:t xml:space="preserve"> Professional support: a. </w:t>
      </w:r>
      <w:r>
        <w:rPr>
          <w:rFonts w:ascii="Times New Roman" w:hAnsi="Times New Roman" w:cs="Times New Roman"/>
        </w:rPr>
        <w:t>M</w:t>
      </w:r>
      <w:r>
        <w:rPr>
          <w:rFonts w:hint="eastAsia" w:ascii="Times New Roman" w:hAnsi="Times New Roman" w:cs="Times New Roman"/>
        </w:rPr>
        <w:t xml:space="preserve">ultidisciplinary cooperation, b. </w:t>
      </w:r>
      <w:r>
        <w:rPr>
          <w:rFonts w:ascii="Times New Roman" w:hAnsi="Times New Roman" w:cs="Times New Roman"/>
        </w:rPr>
        <w:t>T</w:t>
      </w:r>
      <w:r>
        <w:rPr>
          <w:rFonts w:hint="eastAsia" w:ascii="Times New Roman" w:hAnsi="Times New Roman" w:cs="Times New Roman"/>
        </w:rPr>
        <w:t>echnical professional support</w:t>
      </w:r>
      <w:r>
        <w:rPr>
          <w:rFonts w:ascii="Times New Roman" w:hAnsi="Times New Roman" w:cs="Times New Roman"/>
        </w:rPr>
        <w:t>; and</w:t>
      </w:r>
      <w:r>
        <w:rPr>
          <w:rFonts w:hint="eastAsia" w:ascii="Times New Roman" w:hAnsi="Times New Roman" w:cs="Times New Roman"/>
        </w:rPr>
        <w:t xml:space="preserve"> (3) </w:t>
      </w:r>
      <w:r>
        <w:rPr>
          <w:rFonts w:ascii="Times New Roman" w:hAnsi="Times New Roman" w:cs="Times New Roman"/>
        </w:rPr>
        <w:t>P</w:t>
      </w:r>
      <w:r>
        <w:rPr>
          <w:rFonts w:hint="eastAsia" w:ascii="Times New Roman" w:hAnsi="Times New Roman" w:cs="Times New Roman"/>
        </w:rPr>
        <w:t>ackage of free mobile data.</w:t>
      </w:r>
    </w:p>
    <w:p w14:paraId="1550CA02">
      <w:pPr>
        <w:rPr>
          <w:rFonts w:ascii="Times New Roman" w:hAnsi="Times New Roman" w:cs="Times New Roma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</w:rPr>
        <w:t>Evaluation: (1) Feasibility: a. Use data, b. Compliance, c. Interviews; (2) Usability: a. Scale, b. Interviews, c.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Think</w:t>
      </w:r>
      <w:r>
        <w:rPr>
          <w:rFonts w:hint="eastAsia" w:ascii="Times New Roman" w:hAnsi="Times New Roman" w:cs="Times New Roman"/>
        </w:rPr>
        <w:t xml:space="preserve"> aloud technique</w:t>
      </w:r>
      <w:r>
        <w:rPr>
          <w:rFonts w:ascii="Times New Roman" w:hAnsi="Times New Roman" w:cs="Times New Roman"/>
        </w:rPr>
        <w:t>; and</w:t>
      </w:r>
      <w:r>
        <w:rPr>
          <w:rFonts w:hint="eastAsia" w:ascii="Times New Roman" w:hAnsi="Times New Roman" w:cs="Times New Roman"/>
        </w:rPr>
        <w:t xml:space="preserve"> (3) Satisfaction: questionnaire.</w:t>
      </w:r>
    </w:p>
    <w:p w14:paraId="66896926">
      <w:pPr>
        <w:widowControl/>
        <w:autoSpaceDE w:val="0"/>
        <w:adjustRightInd w:val="0"/>
        <w:snapToGrid w:val="0"/>
        <w:spacing w:line="360" w:lineRule="auto"/>
        <w:jc w:val="center"/>
        <w:rPr>
          <w:rFonts w:ascii="Times New Roman Bold" w:hAnsi="Times New Roman Bold" w:eastAsia="ArialMT" w:cs="Times New Roman Bold"/>
          <w:b/>
          <w:bCs/>
          <w:iCs/>
          <w:color w:val="000000"/>
          <w:kern w:val="0"/>
          <w:szCs w:val="21"/>
          <w:lang w:val="en-GB" w:eastAsia="en-GB" w:bidi="ar"/>
        </w:rPr>
      </w:pPr>
      <w:r>
        <w:rPr>
          <w:rFonts w:ascii="Times New Roman Bold" w:hAnsi="Times New Roman Bold" w:eastAsia="ArialMT" w:cs="Times New Roman Bold"/>
          <w:b/>
          <w:bCs/>
          <w:iCs/>
          <w:color w:val="000000"/>
          <w:kern w:val="0"/>
          <w:szCs w:val="21"/>
          <w:lang w:val="en-GB" w:eastAsia="en-GB" w:bidi="ar"/>
        </w:rPr>
        <w:t xml:space="preserve">Table </w:t>
      </w:r>
      <w:r>
        <w:rPr>
          <w:rFonts w:hint="eastAsia" w:ascii="Times New Roman Bold" w:hAnsi="Times New Roman Bold" w:eastAsia="宋体" w:cs="Times New Roman Bold"/>
          <w:b/>
          <w:bCs/>
          <w:iCs/>
          <w:color w:val="000000"/>
          <w:kern w:val="0"/>
          <w:szCs w:val="21"/>
          <w:lang w:bidi="ar"/>
        </w:rPr>
        <w:t>S3</w:t>
      </w:r>
      <w:r>
        <w:rPr>
          <w:rFonts w:ascii="Times New Roman Bold" w:hAnsi="Times New Roman Bold" w:eastAsia="ArialMT" w:cs="Times New Roman Bold"/>
          <w:b/>
          <w:bCs/>
          <w:iCs/>
          <w:color w:val="000000"/>
          <w:kern w:val="0"/>
          <w:szCs w:val="21"/>
          <w:lang w:val="en-GB" w:eastAsia="en-GB" w:bidi="ar"/>
        </w:rPr>
        <w:t>. Grading of Recommendations Assessment, Development, and Evaluation (GRADE) Evidence Profile</w:t>
      </w:r>
    </w:p>
    <w:tbl>
      <w:tblPr>
        <w:tblStyle w:val="8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855"/>
        <w:gridCol w:w="1442"/>
        <w:gridCol w:w="1297"/>
        <w:gridCol w:w="1294"/>
        <w:gridCol w:w="1181"/>
        <w:gridCol w:w="1144"/>
      </w:tblGrid>
      <w:tr w14:paraId="32334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99967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Outcome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BDA43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Risk of Bias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E721A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Inconsistency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vertAlign w:val="superscript"/>
                <w:lang w:bidi="ar"/>
              </w:rPr>
              <w:t>b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08D86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Indirectness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vertAlign w:val="superscript"/>
                <w:lang w:bidi="ar"/>
              </w:rPr>
              <w:t>c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A2290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Imprecision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vertAlign w:val="superscript"/>
                <w:lang w:bidi="ar"/>
              </w:rPr>
              <w:t>d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66E41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Publication Bias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vertAlign w:val="superscript"/>
                <w:lang w:bidi="ar"/>
              </w:rPr>
              <w:t>e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51E70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Certainty of the</w:t>
            </w:r>
          </w:p>
          <w:p w14:paraId="257272E0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Evidence (GRADE)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vertAlign w:val="superscript"/>
                <w:lang w:bidi="ar"/>
              </w:rPr>
              <w:t>f</w:t>
            </w:r>
          </w:p>
        </w:tc>
      </w:tr>
      <w:tr w14:paraId="53BB8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3F77E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Depression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E7D62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EC495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EB343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2CC36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84820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</w:rPr>
              <w:t>Undetected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6E78A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⨁⨁⨁⨁</w:t>
            </w:r>
          </w:p>
          <w:p w14:paraId="7E8E4469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High</w:t>
            </w:r>
          </w:p>
        </w:tc>
      </w:tr>
      <w:tr w14:paraId="6FC12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97DEF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Anxiety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251A6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30C6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Very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 xml:space="preserve"> serious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DE00B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6940B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erious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62B2A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</w:rPr>
              <w:t>Undetected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2B1E0">
            <w:pPr>
              <w:pStyle w:val="5"/>
              <w:widowControl/>
              <w:shd w:val="clear" w:color="auto" w:fill="FFFFFF"/>
              <w:spacing w:after="216" w:line="336" w:lineRule="atLeast"/>
              <w:jc w:val="both"/>
              <w:rPr>
                <w:rFonts w:hint="default" w:ascii="Times New Roman" w:hAnsi="Times New Roman"/>
                <w:color w:val="0D0D0D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D0D0D"/>
                <w:sz w:val="21"/>
                <w:szCs w:val="21"/>
                <w:lang w:bidi="ar"/>
              </w:rPr>
              <w:t>⨁</w:t>
            </w:r>
            <w:r>
              <w:rPr>
                <w:rFonts w:hint="default" w:ascii="Times New Roman" w:hAnsi="Times New Roman"/>
                <w:color w:val="0D0D0D"/>
                <w:sz w:val="18"/>
                <w:szCs w:val="18"/>
                <w:lang w:bidi="ar"/>
              </w:rPr>
              <w:t>㊀㊀㊀</w:t>
            </w:r>
          </w:p>
          <w:p w14:paraId="2DC59EC4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Very low</w:t>
            </w:r>
          </w:p>
        </w:tc>
      </w:tr>
      <w:tr w14:paraId="25A72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FF2AF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Quality of life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0258C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40989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Very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 xml:space="preserve"> serious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048E5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58149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F1B57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</w:rPr>
              <w:t>Undetected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225BF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⨁⨁</w:t>
            </w:r>
            <w:r>
              <w:rPr>
                <w:rFonts w:ascii="Times New Roman" w:hAnsi="Times New Roman" w:eastAsia="宋体" w:cs="Times New Roman"/>
                <w:color w:val="0D0D0D"/>
                <w:sz w:val="18"/>
                <w:szCs w:val="18"/>
                <w:lang w:bidi="ar"/>
              </w:rPr>
              <w:t>㊀㊀</w:t>
            </w:r>
          </w:p>
          <w:p w14:paraId="768CF68D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ow</w:t>
            </w:r>
          </w:p>
        </w:tc>
      </w:tr>
      <w:tr w14:paraId="7736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4905A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Symptom severity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3D17C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erious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E78A1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Very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 xml:space="preserve"> serious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A8447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2D555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AFD4A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</w:rPr>
              <w:t>Undetected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E1047">
            <w:pPr>
              <w:pStyle w:val="5"/>
              <w:widowControl/>
              <w:shd w:val="clear" w:color="auto" w:fill="FFFFFF"/>
              <w:spacing w:after="216" w:line="336" w:lineRule="atLeast"/>
              <w:jc w:val="both"/>
              <w:rPr>
                <w:rFonts w:hint="default" w:ascii="Times New Roman" w:hAnsi="Times New Roman"/>
                <w:color w:val="0D0D0D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D0D0D"/>
                <w:sz w:val="21"/>
                <w:szCs w:val="21"/>
                <w:lang w:bidi="ar"/>
              </w:rPr>
              <w:t>⨁</w:t>
            </w:r>
            <w:r>
              <w:rPr>
                <w:rFonts w:hint="default" w:ascii="Times New Roman" w:hAnsi="Times New Roman"/>
                <w:color w:val="0D0D0D"/>
                <w:sz w:val="18"/>
                <w:szCs w:val="18"/>
                <w:lang w:bidi="ar"/>
              </w:rPr>
              <w:t>㊀㊀㊀</w:t>
            </w:r>
          </w:p>
          <w:p w14:paraId="1388CE42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Very low</w:t>
            </w:r>
          </w:p>
        </w:tc>
      </w:tr>
      <w:tr w14:paraId="1089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9DCA3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Physical health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27CC8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74A9B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Very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 xml:space="preserve"> serious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519FD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C450D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erious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09646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</w:rPr>
              <w:t>Undetected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E07AC">
            <w:pPr>
              <w:pStyle w:val="5"/>
              <w:widowControl/>
              <w:shd w:val="clear" w:color="auto" w:fill="FFFFFF"/>
              <w:spacing w:after="216" w:line="336" w:lineRule="atLeast"/>
              <w:jc w:val="both"/>
              <w:rPr>
                <w:rFonts w:hint="default" w:ascii="Times New Roman" w:hAnsi="Times New Roman"/>
                <w:color w:val="0D0D0D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D0D0D"/>
                <w:sz w:val="21"/>
                <w:szCs w:val="21"/>
                <w:lang w:bidi="ar"/>
              </w:rPr>
              <w:t>⨁</w:t>
            </w:r>
            <w:r>
              <w:rPr>
                <w:rFonts w:hint="default" w:ascii="Times New Roman" w:hAnsi="Times New Roman"/>
                <w:color w:val="0D0D0D"/>
                <w:sz w:val="18"/>
                <w:szCs w:val="18"/>
                <w:lang w:bidi="ar"/>
              </w:rPr>
              <w:t>㊀㊀㊀</w:t>
            </w:r>
          </w:p>
          <w:p w14:paraId="1890E805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Very low</w:t>
            </w:r>
          </w:p>
        </w:tc>
      </w:tr>
      <w:tr w14:paraId="62FC0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4A34D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Mental health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A34E1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erious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92F2D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Very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 xml:space="preserve"> serious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C1481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0B628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erious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99B18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</w:rPr>
              <w:t>Undetected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5F800">
            <w:pPr>
              <w:pStyle w:val="5"/>
              <w:widowControl/>
              <w:shd w:val="clear" w:color="auto" w:fill="FFFFFF"/>
              <w:spacing w:after="216" w:line="336" w:lineRule="atLeast"/>
              <w:jc w:val="both"/>
              <w:rPr>
                <w:rFonts w:hint="default" w:ascii="Times New Roman" w:hAnsi="Times New Roman"/>
                <w:color w:val="0D0D0D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D0D0D"/>
                <w:sz w:val="21"/>
                <w:szCs w:val="21"/>
                <w:lang w:bidi="ar"/>
              </w:rPr>
              <w:t>⨁</w:t>
            </w:r>
            <w:r>
              <w:rPr>
                <w:rFonts w:hint="default" w:ascii="Times New Roman" w:hAnsi="Times New Roman"/>
                <w:color w:val="0D0D0D"/>
                <w:sz w:val="18"/>
                <w:szCs w:val="18"/>
                <w:lang w:bidi="ar"/>
              </w:rPr>
              <w:t>㊀㊀㊀</w:t>
            </w:r>
          </w:p>
          <w:p w14:paraId="494C9161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Very low</w:t>
            </w:r>
          </w:p>
        </w:tc>
      </w:tr>
      <w:tr w14:paraId="419A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C8286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Pain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A299F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5002E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Very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 xml:space="preserve"> serious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689DF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Not serious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1E5CF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  <w:lang w:bidi="ar"/>
              </w:rPr>
              <w:t>Very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 xml:space="preserve"> serious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B4F4C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szCs w:val="21"/>
              </w:rPr>
              <w:t>Undetected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7E9D9">
            <w:pPr>
              <w:pStyle w:val="5"/>
              <w:widowControl/>
              <w:shd w:val="clear" w:color="auto" w:fill="FFFFFF"/>
              <w:spacing w:after="216" w:line="336" w:lineRule="atLeast"/>
              <w:jc w:val="both"/>
              <w:rPr>
                <w:rFonts w:hint="default" w:ascii="Times New Roman" w:hAnsi="Times New Roman"/>
                <w:color w:val="0D0D0D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D0D0D"/>
                <w:sz w:val="21"/>
                <w:szCs w:val="21"/>
                <w:lang w:bidi="ar"/>
              </w:rPr>
              <w:t>⨁</w:t>
            </w:r>
            <w:r>
              <w:rPr>
                <w:rFonts w:hint="default" w:ascii="Times New Roman" w:hAnsi="Times New Roman"/>
                <w:color w:val="0D0D0D"/>
                <w:sz w:val="18"/>
                <w:szCs w:val="18"/>
                <w:lang w:bidi="ar"/>
              </w:rPr>
              <w:t>㊀㊀㊀</w:t>
            </w:r>
          </w:p>
          <w:p w14:paraId="59436A00">
            <w:pPr>
              <w:widowControl/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D0D0D"/>
                <w:szCs w:val="21"/>
                <w:lang w:bidi="ar"/>
              </w:rPr>
              <w:t>Very low</w:t>
            </w:r>
          </w:p>
        </w:tc>
      </w:tr>
    </w:tbl>
    <w:p w14:paraId="32113C12">
      <w:pPr>
        <w:widowControl/>
        <w:autoSpaceDE w:val="0"/>
        <w:adjustRightInd w:val="0"/>
        <w:snapToGrid w:val="0"/>
        <w:spacing w:line="360" w:lineRule="auto"/>
        <w:jc w:val="left"/>
        <w:rPr>
          <w:rFonts w:ascii="Times New Roman" w:hAnsi="Times New Roman" w:eastAsia="宋体" w:cs="Times New Roman"/>
          <w:color w:val="0D0D0D"/>
          <w:szCs w:val="21"/>
          <w:vertAlign w:val="superscript"/>
          <w:lang w:bidi="ar"/>
        </w:rPr>
      </w:pPr>
      <w:r>
        <w:rPr>
          <w:rFonts w:ascii="Times New Roman" w:hAnsi="Times New Roman" w:eastAsia="宋体" w:cs="Times New Roman"/>
          <w:color w:val="0D0D0D"/>
          <w:szCs w:val="21"/>
          <w:lang w:bidi="ar"/>
        </w:rPr>
        <w:t>Note.</w:t>
      </w:r>
      <w:r>
        <w:rPr>
          <w:rFonts w:ascii="Times New Roman" w:hAnsi="Times New Roman" w:eastAsia="宋体" w:cs="Times New Roman"/>
          <w:color w:val="0D0D0D"/>
          <w:szCs w:val="21"/>
          <w:vertAlign w:val="superscript"/>
          <w:lang w:bidi="ar"/>
        </w:rPr>
        <w:t xml:space="preserve"> </w:t>
      </w:r>
    </w:p>
    <w:p w14:paraId="2F6AEC44">
      <w:pPr>
        <w:widowControl/>
        <w:autoSpaceDE w:val="0"/>
        <w:adjustRightInd w:val="0"/>
        <w:snapToGrid w:val="0"/>
        <w:spacing w:line="360" w:lineRule="auto"/>
        <w:jc w:val="left"/>
        <w:rPr>
          <w:rFonts w:ascii="Times New Roman" w:hAnsi="Times New Roman" w:eastAsia="宋体" w:cs="Times New Roman"/>
          <w:color w:val="0D0D0D"/>
          <w:szCs w:val="21"/>
          <w:lang w:bidi="ar"/>
        </w:rPr>
      </w:pPr>
      <w:r>
        <w:rPr>
          <w:rFonts w:ascii="Times New Roman" w:hAnsi="Times New Roman" w:eastAsia="宋体" w:cs="Times New Roman"/>
          <w:color w:val="0D0D0D"/>
          <w:szCs w:val="21"/>
          <w:vertAlign w:val="superscript"/>
          <w:lang w:bidi="ar"/>
        </w:rPr>
        <w:t>a</w:t>
      </w:r>
      <w:r>
        <w:rPr>
          <w:rFonts w:ascii="Times New Roman" w:hAnsi="Times New Roman" w:eastAsia="宋体" w:cs="Times New Roman"/>
          <w:color w:val="0D0D0D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D0D0D"/>
          <w:szCs w:val="21"/>
          <w:lang w:bidi="ar"/>
        </w:rPr>
        <w:t>Risk of Bias: when more than two-thirds of included RCTs in each outcome came from studies</w:t>
      </w:r>
      <w:r>
        <w:rPr>
          <w:rFonts w:ascii="Times New Roman" w:hAnsi="Times New Roman" w:eastAsia="宋体" w:cs="Times New Roman"/>
          <w:color w:val="0D0D0D"/>
          <w:szCs w:val="21"/>
          <w:lang w:bidi="ar"/>
        </w:rPr>
        <w:t xml:space="preserve"> with some concern</w:t>
      </w:r>
      <w:r>
        <w:rPr>
          <w:rFonts w:hint="eastAsia" w:ascii="Times New Roman" w:hAnsi="Times New Roman" w:eastAsia="宋体" w:cs="Times New Roman"/>
          <w:color w:val="0D0D0D"/>
          <w:szCs w:val="21"/>
          <w:lang w:bidi="ar"/>
        </w:rPr>
        <w:t xml:space="preserve">, the certainty of evidence was downgraded by one level (-1). When more than two-thirds came from </w:t>
      </w:r>
      <w:r>
        <w:rPr>
          <w:rFonts w:ascii="Times New Roman" w:hAnsi="Times New Roman" w:eastAsia="宋体" w:cs="Times New Roman"/>
          <w:color w:val="0D0D0D"/>
          <w:szCs w:val="21"/>
          <w:lang w:bidi="ar"/>
        </w:rPr>
        <w:t>high-risk studies</w:t>
      </w:r>
      <w:r>
        <w:rPr>
          <w:rFonts w:hint="eastAsia" w:ascii="Times New Roman" w:hAnsi="Times New Roman" w:eastAsia="宋体" w:cs="Times New Roman"/>
          <w:color w:val="0D0D0D"/>
          <w:szCs w:val="21"/>
          <w:lang w:bidi="ar"/>
        </w:rPr>
        <w:t>, the certainty was downgraded by two levels (-2).</w:t>
      </w:r>
    </w:p>
    <w:p w14:paraId="431169FD">
      <w:pPr>
        <w:widowControl/>
        <w:autoSpaceDE w:val="0"/>
        <w:adjustRightInd w:val="0"/>
        <w:snapToGrid w:val="0"/>
        <w:spacing w:line="360" w:lineRule="auto"/>
        <w:jc w:val="left"/>
        <w:rPr>
          <w:rFonts w:ascii="Times New Roman" w:hAnsi="Times New Roman" w:eastAsia="宋体" w:cs="Times New Roman"/>
          <w:color w:val="0D0D0D"/>
          <w:szCs w:val="21"/>
        </w:rPr>
      </w:pPr>
      <w:r>
        <w:rPr>
          <w:rFonts w:ascii="Times New Roman" w:hAnsi="Times New Roman" w:eastAsia="宋体" w:cs="Times New Roman"/>
          <w:color w:val="0D0D0D"/>
          <w:szCs w:val="21"/>
          <w:vertAlign w:val="superscript"/>
          <w:lang w:bidi="ar"/>
        </w:rPr>
        <w:t>b</w:t>
      </w:r>
      <w:r>
        <w:rPr>
          <w:rFonts w:ascii="Times New Roman" w:hAnsi="Times New Roman" w:eastAsia="宋体" w:cs="Times New Roman"/>
          <w:color w:val="0D0D0D"/>
          <w:szCs w:val="21"/>
          <w:lang w:bidi="ar"/>
        </w:rPr>
        <w:t xml:space="preserve"> Inconsistency: based on the variability and heterogeneity across individual trials. </w:t>
      </w:r>
      <w:r>
        <w:rPr>
          <w:rFonts w:hint="eastAsia" w:ascii="Times New Roman" w:hAnsi="Times New Roman" w:eastAsia="宋体" w:cs="Times New Roman"/>
          <w:color w:val="0D0D0D"/>
          <w:szCs w:val="21"/>
          <w:lang w:bidi="ar"/>
        </w:rPr>
        <w:t xml:space="preserve">When 50% &lt; </w:t>
      </w:r>
      <w:r>
        <w:rPr>
          <w:rFonts w:hint="eastAsia" w:ascii="Times New Roman" w:hAnsi="Times New Roman" w:eastAsia="宋体" w:cs="Times New Roman"/>
          <w:i/>
          <w:iCs/>
          <w:color w:val="0D0D0D"/>
          <w:szCs w:val="21"/>
          <w:lang w:bidi="ar"/>
        </w:rPr>
        <w:t>I</w:t>
      </w:r>
      <w:r>
        <w:rPr>
          <w:rFonts w:hint="eastAsia" w:ascii="Times New Roman" w:hAnsi="Times New Roman" w:eastAsia="宋体" w:cs="Times New Roman"/>
          <w:i/>
          <w:iCs/>
          <w:color w:val="0D0D0D"/>
          <w:szCs w:val="21"/>
          <w:vertAlign w:val="superscript"/>
          <w:lang w:bidi="ar"/>
        </w:rPr>
        <w:t>2</w:t>
      </w:r>
      <w:r>
        <w:rPr>
          <w:rFonts w:hint="eastAsia" w:ascii="Times New Roman" w:hAnsi="Times New Roman" w:eastAsia="宋体" w:cs="Times New Roman"/>
          <w:color w:val="0D0D0D"/>
          <w:szCs w:val="21"/>
          <w:lang w:bidi="ar"/>
        </w:rPr>
        <w:t xml:space="preserve"> &lt; 75%, the certainty of evidence was downgraded by one level (-1); when </w:t>
      </w:r>
      <w:r>
        <w:rPr>
          <w:rFonts w:hint="eastAsia" w:ascii="Times New Roman" w:hAnsi="Times New Roman" w:eastAsia="宋体" w:cs="Times New Roman"/>
          <w:i/>
          <w:iCs/>
          <w:color w:val="0D0D0D"/>
          <w:szCs w:val="21"/>
          <w:lang w:bidi="ar"/>
        </w:rPr>
        <w:t>I</w:t>
      </w:r>
      <w:r>
        <w:rPr>
          <w:rFonts w:hint="eastAsia" w:ascii="Times New Roman" w:hAnsi="Times New Roman" w:eastAsia="宋体" w:cs="Times New Roman"/>
          <w:i/>
          <w:iCs/>
          <w:color w:val="0D0D0D"/>
          <w:szCs w:val="21"/>
          <w:vertAlign w:val="superscript"/>
          <w:lang w:bidi="ar"/>
        </w:rPr>
        <w:t>2</w:t>
      </w:r>
      <w:r>
        <w:rPr>
          <w:rFonts w:ascii="Times New Roman" w:hAnsi="Times New Roman" w:eastAsia="宋体" w:cs="Times New Roman"/>
          <w:i/>
          <w:iCs/>
          <w:color w:val="0D0D0D"/>
          <w:szCs w:val="21"/>
          <w:vertAlign w:val="superscript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D0D0D"/>
          <w:szCs w:val="21"/>
          <w:lang w:bidi="ar"/>
        </w:rPr>
        <w:t>≥75%, it was downgraded by two levels (-2).</w:t>
      </w:r>
    </w:p>
    <w:p w14:paraId="11C1759E">
      <w:pPr>
        <w:widowControl/>
        <w:autoSpaceDE w:val="0"/>
        <w:adjustRightInd w:val="0"/>
        <w:snapToGrid w:val="0"/>
        <w:spacing w:line="360" w:lineRule="auto"/>
        <w:jc w:val="left"/>
        <w:rPr>
          <w:rFonts w:ascii="Times New Roman" w:hAnsi="Times New Roman" w:eastAsia="宋体" w:cs="Times New Roman"/>
          <w:color w:val="0D0D0D"/>
          <w:szCs w:val="21"/>
        </w:rPr>
      </w:pPr>
      <w:r>
        <w:rPr>
          <w:rFonts w:ascii="Times New Roman" w:hAnsi="Times New Roman" w:eastAsia="宋体" w:cs="Times New Roman"/>
          <w:color w:val="0D0D0D"/>
          <w:szCs w:val="21"/>
          <w:vertAlign w:val="superscript"/>
          <w:lang w:bidi="ar"/>
        </w:rPr>
        <w:t>c</w:t>
      </w:r>
      <w:r>
        <w:rPr>
          <w:rFonts w:ascii="Times New Roman" w:hAnsi="Times New Roman" w:eastAsia="宋体" w:cs="Times New Roman"/>
          <w:color w:val="0D0D0D"/>
          <w:szCs w:val="21"/>
          <w:lang w:bidi="ar"/>
        </w:rPr>
        <w:t xml:space="preserve"> Indirectness: assessed qualitatively by extent that population, interventions, and outcome measures directly reflected aims of systematic review.</w:t>
      </w:r>
    </w:p>
    <w:p w14:paraId="54C8569E">
      <w:pPr>
        <w:widowControl/>
        <w:autoSpaceDE w:val="0"/>
        <w:adjustRightInd w:val="0"/>
        <w:snapToGrid w:val="0"/>
        <w:spacing w:line="360" w:lineRule="auto"/>
        <w:jc w:val="left"/>
        <w:rPr>
          <w:rFonts w:ascii="Times New Roman" w:hAnsi="Times New Roman" w:eastAsia="宋体" w:cs="Times New Roman"/>
          <w:color w:val="0D0D0D"/>
          <w:szCs w:val="21"/>
        </w:rPr>
      </w:pPr>
      <w:r>
        <w:rPr>
          <w:rFonts w:ascii="Times New Roman" w:hAnsi="Times New Roman" w:eastAsia="宋体" w:cs="Times New Roman"/>
          <w:color w:val="0D0D0D"/>
          <w:szCs w:val="21"/>
          <w:vertAlign w:val="superscript"/>
          <w:lang w:bidi="ar"/>
        </w:rPr>
        <w:t>d</w:t>
      </w:r>
      <w:r>
        <w:rPr>
          <w:rFonts w:ascii="Times New Roman" w:hAnsi="Times New Roman" w:eastAsia="宋体" w:cs="Times New Roman"/>
          <w:color w:val="0D0D0D"/>
          <w:szCs w:val="21"/>
          <w:lang w:bidi="ar"/>
        </w:rPr>
        <w:t xml:space="preserve"> Imprecision: based on the inspection of pooled estimate and 95% confidence interval (95% CI). Grade was decreased by one (-1) when the analysis included fewer than </w:t>
      </w:r>
      <w:r>
        <w:rPr>
          <w:rFonts w:hint="eastAsia" w:ascii="Times New Roman" w:hAnsi="Times New Roman" w:eastAsia="宋体" w:cs="Times New Roman"/>
          <w:color w:val="0D0D0D"/>
          <w:szCs w:val="21"/>
          <w:lang w:bidi="ar"/>
        </w:rPr>
        <w:t>4</w:t>
      </w:r>
      <w:r>
        <w:rPr>
          <w:rFonts w:ascii="Times New Roman" w:hAnsi="Times New Roman" w:eastAsia="宋体" w:cs="Times New Roman"/>
          <w:color w:val="0D0D0D"/>
          <w:szCs w:val="21"/>
          <w:lang w:bidi="ar"/>
        </w:rPr>
        <w:t>00 participants or if there were wide CIs, and by two (-2) when the number of participants included in analysis was very low or if CIs were very wide.</w:t>
      </w:r>
    </w:p>
    <w:p w14:paraId="5DF674D0">
      <w:pPr>
        <w:widowControl/>
        <w:autoSpaceDE w:val="0"/>
        <w:adjustRightInd w:val="0"/>
        <w:snapToGrid w:val="0"/>
        <w:spacing w:line="360" w:lineRule="auto"/>
        <w:jc w:val="left"/>
        <w:rPr>
          <w:rFonts w:ascii="Times New Roman" w:hAnsi="Times New Roman" w:eastAsia="宋体" w:cs="Times New Roman"/>
          <w:color w:val="0D0D0D"/>
          <w:szCs w:val="21"/>
        </w:rPr>
      </w:pPr>
      <w:r>
        <w:rPr>
          <w:rFonts w:ascii="Times New Roman" w:hAnsi="Times New Roman" w:eastAsia="宋体" w:cs="Times New Roman"/>
          <w:color w:val="0D0D0D"/>
          <w:szCs w:val="21"/>
          <w:vertAlign w:val="superscript"/>
          <w:lang w:bidi="ar"/>
        </w:rPr>
        <w:t>e</w:t>
      </w:r>
      <w:r>
        <w:rPr>
          <w:rFonts w:ascii="Times New Roman" w:hAnsi="Times New Roman" w:eastAsia="宋体" w:cs="Times New Roman"/>
          <w:color w:val="0D0D0D"/>
          <w:szCs w:val="21"/>
          <w:lang w:bidi="ar"/>
        </w:rPr>
        <w:t xml:space="preserve"> Publication bias: assessed by funnel plot and an extension to Egger’s regression test. The certainty downgraded when </w:t>
      </w:r>
      <w:r>
        <w:rPr>
          <w:rFonts w:ascii="Times New Roman Italic" w:hAnsi="Times New Roman Italic" w:eastAsia="宋体" w:cs="Times New Roman Italic"/>
          <w:i/>
          <w:iCs/>
          <w:color w:val="0D0D0D"/>
          <w:szCs w:val="21"/>
          <w:lang w:bidi="ar"/>
        </w:rPr>
        <w:t xml:space="preserve">p </w:t>
      </w:r>
      <w:r>
        <w:rPr>
          <w:rFonts w:ascii="Times New Roman" w:hAnsi="Times New Roman" w:eastAsia="宋体" w:cs="Times New Roman"/>
          <w:color w:val="0D0D0D"/>
          <w:szCs w:val="21"/>
          <w:lang w:bidi="ar"/>
        </w:rPr>
        <w:t>&lt;0.05.</w:t>
      </w:r>
    </w:p>
    <w:p w14:paraId="5459FE9A">
      <w:pPr>
        <w:widowControl/>
        <w:autoSpaceDE w:val="0"/>
        <w:adjustRightInd w:val="0"/>
        <w:snapToGrid w:val="0"/>
        <w:spacing w:line="360" w:lineRule="auto"/>
        <w:jc w:val="left"/>
        <w:rPr>
          <w:rFonts w:ascii="Times New Roman" w:hAnsi="Times New Roman" w:eastAsia="宋体" w:cs="Times New Roman"/>
          <w:color w:val="0D0D0D"/>
          <w:szCs w:val="21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color w:val="0D0D0D"/>
          <w:szCs w:val="21"/>
          <w:vertAlign w:val="superscript"/>
          <w:lang w:bidi="ar"/>
        </w:rPr>
        <w:t xml:space="preserve">f </w:t>
      </w:r>
      <w:r>
        <w:rPr>
          <w:rFonts w:ascii="Times New Roman" w:hAnsi="Times New Roman" w:eastAsia="宋体" w:cs="Times New Roman"/>
          <w:color w:val="0D0D0D"/>
          <w:szCs w:val="21"/>
          <w:lang w:bidi="ar"/>
        </w:rPr>
        <w:t>High certainty: very confident that the true effect lies close to that of the estimate of effect; Moderate certainty: moderately confident in the effect estimate and the true effect is likely to be close to the estimate of the effect but possibly that it is substantially different; Low certainty: confidence in the effect estimate is limited and the true effect may be substantially different from the estimate of the effect; Very low certainty: very little confidence in the effect estimate and the true effect is likely to be substantially different from the estimate of the effect.</w:t>
      </w:r>
    </w:p>
    <w:p w14:paraId="7F5B883A">
      <w:pPr>
        <w:spacing w:line="360" w:lineRule="auto"/>
        <w:jc w:val="center"/>
        <w:rPr>
          <w:rFonts w:ascii="Times New Roman" w:hAnsi="Times New Roman" w:eastAsia="宋体" w:cs="宋体"/>
          <w:szCs w:val="21"/>
        </w:rPr>
      </w:pPr>
      <w:r>
        <w:rPr>
          <w:rFonts w:ascii="Times New Roman Bold" w:hAnsi="Times New Roman Bold" w:cs="Times New Roman Bold"/>
          <w:b/>
          <w:bCs/>
          <w:szCs w:val="21"/>
        </w:rPr>
        <w:t xml:space="preserve">Table </w:t>
      </w:r>
      <w:r>
        <w:rPr>
          <w:rFonts w:hint="eastAsia" w:ascii="Times New Roman Bold" w:hAnsi="Times New Roman Bold" w:cs="Times New Roman Bold"/>
          <w:b/>
          <w:bCs/>
          <w:szCs w:val="21"/>
        </w:rPr>
        <w:t>S4</w:t>
      </w:r>
      <w:r>
        <w:rPr>
          <w:rFonts w:ascii="Times New Roman Bold" w:hAnsi="Times New Roman Bold" w:cs="Times New Roman Bold"/>
          <w:b/>
          <w:bCs/>
          <w:szCs w:val="21"/>
        </w:rPr>
        <w:t xml:space="preserve">. </w:t>
      </w:r>
      <w:r>
        <w:rPr>
          <w:rFonts w:hint="eastAsia" w:ascii="Times New Roman Bold" w:hAnsi="Times New Roman Bold" w:cs="Times New Roman Bold"/>
          <w:b/>
          <w:bCs/>
          <w:szCs w:val="21"/>
        </w:rPr>
        <w:t xml:space="preserve">Quality Assessment of mHealth </w:t>
      </w:r>
      <w:r>
        <w:rPr>
          <w:rFonts w:ascii="Times New Roman Bold" w:hAnsi="Times New Roman Bold" w:cs="Times New Roman Bold"/>
          <w:b/>
          <w:bCs/>
          <w:szCs w:val="21"/>
        </w:rPr>
        <w:t>E</w:t>
      </w:r>
      <w:r>
        <w:rPr>
          <w:rFonts w:hint="eastAsia" w:ascii="Times New Roman Bold" w:hAnsi="Times New Roman Bold" w:cs="Times New Roman Bold"/>
          <w:b/>
          <w:bCs/>
          <w:szCs w:val="21"/>
        </w:rPr>
        <w:t xml:space="preserve">vidence </w:t>
      </w:r>
      <w:r>
        <w:rPr>
          <w:rFonts w:ascii="Times New Roman Bold" w:hAnsi="Times New Roman Bold" w:cs="Times New Roman Bold"/>
          <w:b/>
          <w:bCs/>
          <w:szCs w:val="21"/>
        </w:rPr>
        <w:t>R</w:t>
      </w:r>
      <w:r>
        <w:rPr>
          <w:rFonts w:hint="eastAsia" w:ascii="Times New Roman Bold" w:hAnsi="Times New Roman Bold" w:cs="Times New Roman Bold"/>
          <w:b/>
          <w:bCs/>
          <w:szCs w:val="21"/>
        </w:rPr>
        <w:t xml:space="preserve">eporting using mERA </w:t>
      </w:r>
      <w:r>
        <w:rPr>
          <w:rFonts w:ascii="Times New Roman Bold" w:hAnsi="Times New Roman Bold" w:cs="Times New Roman Bold"/>
          <w:b/>
          <w:bCs/>
          <w:szCs w:val="21"/>
        </w:rPr>
        <w:t>G</w:t>
      </w:r>
      <w:r>
        <w:rPr>
          <w:rFonts w:hint="eastAsia" w:ascii="Times New Roman Bold" w:hAnsi="Times New Roman Bold" w:cs="Times New Roman Bold"/>
          <w:b/>
          <w:bCs/>
          <w:szCs w:val="21"/>
        </w:rPr>
        <w:t>uidelines</w:t>
      </w:r>
    </w:p>
    <w:tbl>
      <w:tblPr>
        <w:tblStyle w:val="8"/>
        <w:tblW w:w="14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74"/>
      </w:tblGrid>
      <w:tr w14:paraId="05EE1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  <w:vAlign w:val="center"/>
          </w:tcPr>
          <w:p w14:paraId="16718B3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Study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2DE559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Infrastructure</w:t>
            </w:r>
          </w:p>
          <w:p w14:paraId="7380390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opulation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evel)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549CD7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2.</w:t>
            </w:r>
          </w:p>
          <w:p w14:paraId="7501F5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Technology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latform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E59D58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3.</w:t>
            </w:r>
          </w:p>
          <w:p w14:paraId="2B0F37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Interoperability/</w:t>
            </w:r>
          </w:p>
          <w:p w14:paraId="2B5602A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HIS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ontext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07B4FC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4.</w:t>
            </w:r>
          </w:p>
          <w:p w14:paraId="38FE693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Intervention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elivery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EA9438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5.</w:t>
            </w:r>
          </w:p>
          <w:p w14:paraId="4C5286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Intervention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ontent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CA1997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6.</w:t>
            </w:r>
          </w:p>
          <w:p w14:paraId="7441AC1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Usability/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ontent</w:t>
            </w:r>
          </w:p>
          <w:p w14:paraId="04D60F9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esting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441D5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7.</w:t>
            </w:r>
          </w:p>
          <w:p w14:paraId="1F1892B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User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F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eedback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AE40EB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8.</w:t>
            </w:r>
          </w:p>
          <w:p w14:paraId="006DF03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Access of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I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ndividual</w:t>
            </w:r>
          </w:p>
          <w:p w14:paraId="202F680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articipants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3B16E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9.</w:t>
            </w:r>
          </w:p>
          <w:p w14:paraId="7DA2F52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Cost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ssessment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2B0335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10.</w:t>
            </w:r>
          </w:p>
          <w:p w14:paraId="70A6F4D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Adoption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I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nputs/</w:t>
            </w:r>
          </w:p>
          <w:p w14:paraId="5A5A5F5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rogram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ntry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F69BBB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11.</w:t>
            </w:r>
          </w:p>
          <w:p w14:paraId="6B9571E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Limitations for</w:t>
            </w:r>
          </w:p>
          <w:p w14:paraId="1ECBEA2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elivery at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cale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B6EEB5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12.</w:t>
            </w:r>
          </w:p>
          <w:p w14:paraId="7320B4A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Contextual</w:t>
            </w:r>
          </w:p>
          <w:p w14:paraId="07147EE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daptability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5B797C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13.</w:t>
            </w:r>
          </w:p>
          <w:p w14:paraId="05972F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Replicability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91CBCD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14.</w:t>
            </w:r>
          </w:p>
          <w:p w14:paraId="13B56F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Data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ecurity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6279CB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15.</w:t>
            </w:r>
          </w:p>
          <w:p w14:paraId="6C9F8C1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Compliance with</w:t>
            </w:r>
          </w:p>
          <w:p w14:paraId="2B076325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ational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uidelines</w:t>
            </w:r>
          </w:p>
          <w:p w14:paraId="33A612E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or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egulatory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atutes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41B908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16.</w:t>
            </w:r>
          </w:p>
          <w:p w14:paraId="434251E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Fidelity of </w:t>
            </w:r>
          </w:p>
          <w:p w14:paraId="7113F8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I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ntervention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1099B6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Proportion (Reports / Total)</w:t>
            </w:r>
          </w:p>
        </w:tc>
      </w:tr>
      <w:tr w14:paraId="4CB00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7FDE1ED3">
            <w:pPr>
              <w:adjustRightInd w:val="0"/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Kroenke K et al., 2010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2BD3EE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484C128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44EF18B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5E2C6DB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174DD9D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A36A8D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1FC0876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F974A7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BA3673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193B0A3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1071D35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588228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04E0FF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6E59FB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7B19FE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A9832D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2C6B99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5/16</w:t>
            </w:r>
          </w:p>
        </w:tc>
      </w:tr>
      <w:tr w14:paraId="61FA6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78001BAE">
            <w:pPr>
              <w:adjustRightInd w:val="0"/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Donovan HS et al., 2014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314A3A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D5ECFB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488F02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D994A6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298B9A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FEF2CB" w:themeFill="accent3" w:themeFillTint="32"/>
            <w:vAlign w:val="center"/>
          </w:tcPr>
          <w:p w14:paraId="0B029C6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?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47C34B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FEF2CB" w:themeFill="accent3" w:themeFillTint="32"/>
            <w:vAlign w:val="center"/>
          </w:tcPr>
          <w:p w14:paraId="48622F1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?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5AB80A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456153E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25C200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1CED60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FCECE" w:themeFill="background2" w:themeFillShade="E5"/>
            <w:vAlign w:val="center"/>
          </w:tcPr>
          <w:p w14:paraId="1399ABD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486E4D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C6B529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A0C72F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A94DDB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6/16</w:t>
            </w:r>
          </w:p>
        </w:tc>
      </w:tr>
      <w:tr w14:paraId="70901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3C1DDFA0">
            <w:pPr>
              <w:adjustRightInd w:val="0"/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Ghanbari E et al., 2021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D133CE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0884D0D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C4EA6F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FEF2CB" w:themeFill="accent3" w:themeFillTint="32"/>
            <w:vAlign w:val="center"/>
          </w:tcPr>
          <w:p w14:paraId="3443C45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?</w:t>
            </w:r>
          </w:p>
        </w:tc>
        <w:tc>
          <w:tcPr>
            <w:tcW w:w="764" w:type="dxa"/>
            <w:shd w:val="clear" w:color="auto" w:fill="CFCECE" w:themeFill="background2" w:themeFillShade="E5"/>
            <w:vAlign w:val="center"/>
          </w:tcPr>
          <w:p w14:paraId="299BC47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FCECE" w:themeFill="background2" w:themeFillShade="E5"/>
            <w:vAlign w:val="center"/>
          </w:tcPr>
          <w:p w14:paraId="22CCE8F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108BFC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FCECE" w:themeFill="background2" w:themeFillShade="E5"/>
            <w:vAlign w:val="center"/>
          </w:tcPr>
          <w:p w14:paraId="424D2ED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98FED8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6C1329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3E5FCB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FCECE" w:themeFill="background2" w:themeFillShade="E5"/>
            <w:vAlign w:val="center"/>
          </w:tcPr>
          <w:p w14:paraId="46CEC46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FCECE" w:themeFill="background2" w:themeFillShade="E5"/>
            <w:vAlign w:val="center"/>
          </w:tcPr>
          <w:p w14:paraId="4CCE95C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B0430E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645EF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FCECE" w:themeFill="background2" w:themeFillShade="E5"/>
            <w:vAlign w:val="center"/>
          </w:tcPr>
          <w:p w14:paraId="4258D67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294A5A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3/16</w:t>
            </w:r>
          </w:p>
        </w:tc>
      </w:tr>
      <w:tr w14:paraId="37B4C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72759865">
            <w:pPr>
              <w:adjustRightInd w:val="0"/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Fu MR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et al., 2022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B458F9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5344619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95C0E5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821000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46DB87B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6D5C41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F70E43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1D9B0F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0CE4E7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C64CF3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945B2D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8637E9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FC08A5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BE16A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C0562F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58608BE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43EF2D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7/16</w:t>
            </w:r>
          </w:p>
        </w:tc>
      </w:tr>
      <w:tr w14:paraId="30A46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5537FF9E">
            <w:pPr>
              <w:adjustRightInd w:val="0"/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Hao Q et al., 2024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4D57007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412FC1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3C089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59B8519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56E876B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BE0948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FC3434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855A33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8E1404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4A92696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A4FB1C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C91A8A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0BF351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713A95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6E6B7A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29C078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A7ABA0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3/16</w:t>
            </w:r>
          </w:p>
        </w:tc>
      </w:tr>
      <w:tr w14:paraId="7C37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4F993545">
            <w:pPr>
              <w:adjustRightInd w:val="0"/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Hwang YJ et al., 202</w:t>
            </w:r>
            <w:r>
              <w:rPr>
                <w:rFonts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>5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48323B5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3DFE0D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78470A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583249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181B5F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B8F651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FEF2CB" w:themeFill="accent3" w:themeFillTint="32"/>
            <w:vAlign w:val="center"/>
          </w:tcPr>
          <w:p w14:paraId="7D26EF0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?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65C00B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C5BF78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EA0ADB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1B2A2D8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FCFB97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B0F553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174386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4FD805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10B4336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D91F92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6/16</w:t>
            </w:r>
          </w:p>
        </w:tc>
      </w:tr>
      <w:tr w14:paraId="6F399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496AE367">
            <w:pPr>
              <w:adjustRightInd w:val="0"/>
              <w:snapToGrid w:val="0"/>
              <w:jc w:val="left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Sui Y et al</w:t>
            </w:r>
            <w:r>
              <w:rPr>
                <w:rFonts w:hint="eastAsia"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>., 2020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1102C9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57B6D1A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1B06DFE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080E38B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066C646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3B3136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4B245F3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E15D45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E54C35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6DB5EDE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135A231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76D1D3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0401DA6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4FD5D94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69A5AF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52E3A15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B69094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9/16</w:t>
            </w:r>
          </w:p>
        </w:tc>
      </w:tr>
      <w:tr w14:paraId="37504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7914E09C">
            <w:pPr>
              <w:adjustRightInd w:val="0"/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Tawfik E et al., 202</w:t>
            </w:r>
            <w:r>
              <w:rPr>
                <w:rFonts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>3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4D0B311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187C06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71E916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1050552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6EFF811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0DAAD51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4DED21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EE4EC5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80276F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2C442F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20CDB1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F0FBA5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CE360C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04E946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499484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429610F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493F45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7/16</w:t>
            </w:r>
          </w:p>
        </w:tc>
      </w:tr>
      <w:tr w14:paraId="635C1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127F366B">
            <w:pPr>
              <w:adjustRightInd w:val="0"/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Wang L et al., 202</w:t>
            </w:r>
            <w:r>
              <w:rPr>
                <w:rFonts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>2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48E72C9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66AB411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1D91676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57B343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13BC11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6A3F5E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AAC4B1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BF54E5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40CA9F5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0EF3E45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16EAB12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8D6E08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EC71CE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2CF4DE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72D170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6F18DDB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ACCAEB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9/16</w:t>
            </w:r>
          </w:p>
        </w:tc>
      </w:tr>
      <w:tr w14:paraId="3052F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4" w:type="dxa"/>
          </w:tcPr>
          <w:p w14:paraId="367FD94D">
            <w:pPr>
              <w:adjustRightInd w:val="0"/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Zheng M et al., 202</w:t>
            </w:r>
            <w:r>
              <w:rPr>
                <w:rFonts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>2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98F540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5205DC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46E6AF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4C0B0E8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021657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0AC747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3B7D65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280020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533D85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C95722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8A4417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16C2EC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558D794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7CC68A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623925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AF8C9E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4C62CE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4/16</w:t>
            </w:r>
          </w:p>
        </w:tc>
      </w:tr>
      <w:tr w14:paraId="6587C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3BD23E81">
            <w:pPr>
              <w:adjustRightInd w:val="0"/>
              <w:snapToGrid w:val="0"/>
              <w:jc w:val="left"/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Du X et al., 2025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083D10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6E5A8FC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4ECEB9E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92B9CE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84A379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A7FDFF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1D40B3D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6205A8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63324F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7940D7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B39A2A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22494C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996E4D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3615F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78A911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04D77F3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CC0A40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  <w:r>
              <w:rPr>
                <w:rFonts w:hint="eastAsia" w:ascii="Times New Roman" w:hAnsi="Times New Roman"/>
                <w:szCs w:val="21"/>
              </w:rPr>
              <w:t>/16</w:t>
            </w:r>
          </w:p>
        </w:tc>
      </w:tr>
      <w:tr w14:paraId="1CCE5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07DBC717">
            <w:pPr>
              <w:adjustRightInd w:val="0"/>
              <w:snapToGrid w:val="0"/>
              <w:jc w:val="left"/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Wennerberg C et al., 2023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3D57B5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4A2BE05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1C6E39B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BA2FE8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660A024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A49466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133477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B70173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C48498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59D0F00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E4340F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1ED63E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D791D1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5FB145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8DCFEA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04D3F1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FF247D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4/10</w:t>
            </w:r>
          </w:p>
        </w:tc>
      </w:tr>
      <w:tr w14:paraId="38AFC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65D7FEA5">
            <w:pPr>
              <w:adjustRightInd w:val="0"/>
              <w:snapToGrid w:val="0"/>
              <w:jc w:val="left"/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Zhang S</w:t>
            </w:r>
            <w:r>
              <w:rPr>
                <w:rFonts w:hint="eastAsia"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 xml:space="preserve"> et al., 2025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3AA897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FCECE" w:themeFill="background2" w:themeFillShade="E5"/>
            <w:vAlign w:val="center"/>
          </w:tcPr>
          <w:p w14:paraId="4B959E8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17B7EC3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8AA117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C74426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12CE74F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19634D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F67B59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0E630C3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854FFC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3AC5010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566973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CA8185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88EC54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E6396C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504137B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5AD3E6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4/10</w:t>
            </w:r>
          </w:p>
        </w:tc>
      </w:tr>
      <w:tr w14:paraId="6B252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106A4E68">
            <w:pPr>
              <w:adjustRightInd w:val="0"/>
              <w:snapToGrid w:val="0"/>
              <w:jc w:val="left"/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  <w:t>Fjell M</w:t>
            </w:r>
            <w:r>
              <w:rPr>
                <w:rFonts w:hint="eastAsia" w:ascii="Times New Roman" w:hAnsi="Times New Roman" w:eastAsia="宋体" w:cs="Times New Roman"/>
                <w:color w:val="212121"/>
                <w:szCs w:val="21"/>
                <w:shd w:val="clear" w:color="auto" w:fill="FFFFFF"/>
              </w:rPr>
              <w:t xml:space="preserve"> et al., 2020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19B502A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FCECE" w:themeFill="background2" w:themeFillShade="E5"/>
            <w:vAlign w:val="center"/>
          </w:tcPr>
          <w:p w14:paraId="06FB762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5EF38C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F0EA56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4FF329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5BD9CCA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43A6DF8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6072EB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BB47CC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70DE96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7797635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281EAD6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349499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2B1D117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64" w:type="dxa"/>
            <w:shd w:val="clear" w:color="auto" w:fill="D7D7D7" w:themeFill="background1" w:themeFillShade="D8"/>
            <w:vAlign w:val="center"/>
          </w:tcPr>
          <w:p w14:paraId="6029FC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－</w:t>
            </w:r>
          </w:p>
        </w:tc>
        <w:tc>
          <w:tcPr>
            <w:tcW w:w="764" w:type="dxa"/>
            <w:shd w:val="clear" w:color="auto" w:fill="C7E4B3" w:themeFill="accent4" w:themeFillTint="66"/>
            <w:vAlign w:val="center"/>
          </w:tcPr>
          <w:p w14:paraId="3721086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＋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60F25B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7/10</w:t>
            </w:r>
          </w:p>
        </w:tc>
      </w:tr>
      <w:tr w14:paraId="34413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 w14:paraId="005246A5">
            <w:pPr>
              <w:adjustRightInd w:val="0"/>
              <w:snapToGrid w:val="0"/>
              <w:jc w:val="left"/>
              <w:rPr>
                <w:rFonts w:ascii="Times New Roman" w:hAnsi="Times New Roman" w:eastAsia="Segoe UI" w:cs="Times New Roman"/>
                <w:color w:val="212121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Proportion (Reports / Total)</w:t>
            </w:r>
          </w:p>
        </w:tc>
        <w:tc>
          <w:tcPr>
            <w:tcW w:w="764" w:type="dxa"/>
            <w:vAlign w:val="center"/>
          </w:tcPr>
          <w:p w14:paraId="4A0CE7C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1/14</w:t>
            </w:r>
          </w:p>
        </w:tc>
        <w:tc>
          <w:tcPr>
            <w:tcW w:w="764" w:type="dxa"/>
            <w:vAlign w:val="center"/>
          </w:tcPr>
          <w:p w14:paraId="223332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1E6DA3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A6812B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DF051A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E2F245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D6DB98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48C27E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</w:rPr>
              <w:t>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888CD9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5D4946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300BB3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CFA97E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FC45AA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335FD9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BAD34C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0/14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EC893A7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9/14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383D59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-</w:t>
            </w:r>
          </w:p>
        </w:tc>
      </w:tr>
    </w:tbl>
    <w:p w14:paraId="3AC98277">
      <w:pPr>
        <w:rPr>
          <w:rFonts w:ascii="Times New Roman" w:hAnsi="Times New Roman" w:eastAsia="宋体" w:cs="Times New Roman"/>
          <w:color w:val="0D0D0D"/>
          <w:szCs w:val="21"/>
          <w:lang w:bidi="ar"/>
        </w:rPr>
      </w:pPr>
      <w:r>
        <w:rPr>
          <w:rFonts w:hint="eastAsia" w:ascii="Times New Roman" w:hAnsi="Times New Roman" w:eastAsia="宋体" w:cs="宋体"/>
          <w:szCs w:val="21"/>
        </w:rPr>
        <w:t xml:space="preserve">Note: </w:t>
      </w:r>
      <w:r>
        <w:rPr>
          <w:rFonts w:ascii="Times New Roman" w:hAnsi="Times New Roman" w:eastAsia="宋体" w:cs="宋体"/>
          <w:szCs w:val="21"/>
        </w:rPr>
        <w:t>“</w:t>
      </w:r>
      <w:r>
        <w:rPr>
          <w:rFonts w:ascii="Times New Roman" w:hAnsi="Times New Roman"/>
          <w:szCs w:val="21"/>
        </w:rPr>
        <w:t>－”</w:t>
      </w:r>
      <w:r>
        <w:rPr>
          <w:rFonts w:hint="eastAsia" w:ascii="Times New Roman" w:hAnsi="Times New Roman"/>
          <w:szCs w:val="21"/>
        </w:rPr>
        <w:t xml:space="preserve"> Indicates that the item was not addressed in the study. </w:t>
      </w:r>
      <w:r>
        <w:rPr>
          <w:rFonts w:ascii="Times New Roman" w:hAnsi="Times New Roman"/>
          <w:szCs w:val="21"/>
        </w:rPr>
        <w:t>“</w:t>
      </w:r>
      <w:r>
        <w:rPr>
          <w:rFonts w:hint="eastAsia" w:ascii="Times New Roman" w:hAnsi="Times New Roman"/>
          <w:szCs w:val="21"/>
        </w:rPr>
        <w:t>?</w:t>
      </w:r>
      <w:r>
        <w:rPr>
          <w:rFonts w:ascii="Times New Roman" w:hAnsi="Times New Roman"/>
          <w:szCs w:val="21"/>
        </w:rPr>
        <w:t>”</w:t>
      </w:r>
      <w:r>
        <w:rPr>
          <w:rFonts w:hint="eastAsia" w:ascii="Times New Roman" w:hAnsi="Times New Roman"/>
          <w:szCs w:val="21"/>
        </w:rPr>
        <w:t xml:space="preserve"> Indicates that it is partially reported, and </w:t>
      </w:r>
      <w:r>
        <w:rPr>
          <w:rFonts w:ascii="Times New Roman" w:hAnsi="Times New Roman"/>
          <w:szCs w:val="21"/>
        </w:rPr>
        <w:t>“</w:t>
      </w:r>
      <w:r>
        <w:rPr>
          <w:rFonts w:hint="eastAsia" w:ascii="Times New Roman" w:hAnsi="Times New Roman"/>
          <w:szCs w:val="21"/>
        </w:rPr>
        <w:t>+</w:t>
      </w:r>
      <w:r>
        <w:rPr>
          <w:rFonts w:ascii="Times New Roman" w:hAnsi="Times New Roman"/>
          <w:szCs w:val="21"/>
        </w:rPr>
        <w:t>”</w:t>
      </w:r>
      <w:r>
        <w:rPr>
          <w:rFonts w:hint="eastAsia" w:ascii="Times New Roman" w:hAnsi="Times New Roman"/>
          <w:szCs w:val="21"/>
        </w:rPr>
        <w:t xml:space="preserve"> indicates that it is reported.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ArialMT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D081B"/>
    <w:rsid w:val="000C72FF"/>
    <w:rsid w:val="00145A64"/>
    <w:rsid w:val="002B51F1"/>
    <w:rsid w:val="002E1643"/>
    <w:rsid w:val="00314DF8"/>
    <w:rsid w:val="0039086E"/>
    <w:rsid w:val="003E0BB4"/>
    <w:rsid w:val="005C55E0"/>
    <w:rsid w:val="005F5B95"/>
    <w:rsid w:val="006310B1"/>
    <w:rsid w:val="00651519"/>
    <w:rsid w:val="006C4C2A"/>
    <w:rsid w:val="007253FA"/>
    <w:rsid w:val="00746ACE"/>
    <w:rsid w:val="00763792"/>
    <w:rsid w:val="00861923"/>
    <w:rsid w:val="008E67A6"/>
    <w:rsid w:val="009C7F66"/>
    <w:rsid w:val="00AA0531"/>
    <w:rsid w:val="00B85033"/>
    <w:rsid w:val="00C64BD1"/>
    <w:rsid w:val="00DB094C"/>
    <w:rsid w:val="00DB5C8D"/>
    <w:rsid w:val="00DC1F58"/>
    <w:rsid w:val="00DF47DD"/>
    <w:rsid w:val="00E53C2A"/>
    <w:rsid w:val="00E94A97"/>
    <w:rsid w:val="00FD54A0"/>
    <w:rsid w:val="00FF56BA"/>
    <w:rsid w:val="0182401E"/>
    <w:rsid w:val="077C75E7"/>
    <w:rsid w:val="0A025321"/>
    <w:rsid w:val="0DF540CC"/>
    <w:rsid w:val="13960100"/>
    <w:rsid w:val="18E76C27"/>
    <w:rsid w:val="1D8C7C58"/>
    <w:rsid w:val="201F1441"/>
    <w:rsid w:val="243750DF"/>
    <w:rsid w:val="24FF6CB3"/>
    <w:rsid w:val="261E7EA3"/>
    <w:rsid w:val="271B34F6"/>
    <w:rsid w:val="27242D4C"/>
    <w:rsid w:val="273B4DEE"/>
    <w:rsid w:val="32C75788"/>
    <w:rsid w:val="369449D4"/>
    <w:rsid w:val="3DEA4A1B"/>
    <w:rsid w:val="420473BE"/>
    <w:rsid w:val="470B7EE1"/>
    <w:rsid w:val="494E0559"/>
    <w:rsid w:val="4B1C7DEF"/>
    <w:rsid w:val="4C4F6AC2"/>
    <w:rsid w:val="4F5166AD"/>
    <w:rsid w:val="4FA0263B"/>
    <w:rsid w:val="587A07F0"/>
    <w:rsid w:val="5A66381D"/>
    <w:rsid w:val="5B205ED8"/>
    <w:rsid w:val="5B24736C"/>
    <w:rsid w:val="5B661D46"/>
    <w:rsid w:val="622956BB"/>
    <w:rsid w:val="64BF26D7"/>
    <w:rsid w:val="669702D8"/>
    <w:rsid w:val="66E856F1"/>
    <w:rsid w:val="6C3F1694"/>
    <w:rsid w:val="6CDE1186"/>
    <w:rsid w:val="72661FFC"/>
    <w:rsid w:val="734819F2"/>
    <w:rsid w:val="746949D6"/>
    <w:rsid w:val="75CB4B5C"/>
    <w:rsid w:val="76A50F09"/>
    <w:rsid w:val="778D081B"/>
    <w:rsid w:val="7A205476"/>
    <w:rsid w:val="7DB6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6">
    <w:name w:val="annotation subject"/>
    <w:basedOn w:val="2"/>
    <w:next w:val="2"/>
    <w:link w:val="15"/>
    <w:qFormat/>
    <w:uiPriority w:val="0"/>
    <w:pPr>
      <w:jc w:val="both"/>
    </w:pPr>
    <w:rPr>
      <w:b/>
      <w:bCs/>
      <w:sz w:val="20"/>
      <w:szCs w:val="20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paragraph" w:customStyle="1" w:styleId="1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2">
    <w:name w:val="Revision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4">
    <w:name w:val="Comment Text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eastAsia="zh-CN"/>
    </w:rPr>
  </w:style>
  <w:style w:type="character" w:customStyle="1" w:styleId="15">
    <w:name w:val="Comment Subject Char"/>
    <w:basedOn w:val="14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  <w:lang w:eastAsia="zh-CN"/>
    </w:rPr>
  </w:style>
  <w:style w:type="paragraph" w:styleId="16">
    <w:name w:val="List Paragraph"/>
    <w:basedOn w:val="1"/>
    <w:unhideWhenUsed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UCLA Health Sciences</Company>
  <Pages>8</Pages>
  <Words>563</Words>
  <Characters>3763</Characters>
  <Lines>58</Lines>
  <Paragraphs>16</Paragraphs>
  <TotalTime>93</TotalTime>
  <ScaleCrop>false</ScaleCrop>
  <LinksUpToDate>false</LinksUpToDate>
  <CharactersWithSpaces>4189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2025-09-17T18:04:00Z</dcterms:created>
  <dc:creator>脑袋困掉了</dc:creator>
  <cp:lastModifiedBy>脑袋困掉了</cp:lastModifiedBy>
  <dcterms:modified xsi:type="dcterms:W3CDTF">2025-09-24T06:21:40Z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A6469F2DE2BA4E0A8CF2D7D7584D91FB_13</vt:lpwstr>
  </property>
  <property fmtid="{D5CDD505-2E9C-101B-9397-08002B2CF9AE}" pid="4" name="KSOTemplateDocerSaveRecord">
    <vt:lpwstr>eyJoZGlkIjoiNTAxZDUzYzA4NzY0MDJiOTVkMTZhNTVlYzUxNjcyMmUiLCJ1c2VySWQiOiIxMTY4OTc1OTAwIn0=</vt:lpwstr>
  </property>
</Properties>
</file>