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DC8D7">
      <w:pPr>
        <w:jc w:val="center"/>
        <w:rPr>
          <w:rFonts w:hint="eastAsia" w:ascii="Times New Roman" w:hAnsi="Times New Roman" w:cs="Times New Roman"/>
          <w:b/>
          <w:bCs/>
          <w:sz w:val="22"/>
          <w:szCs w:val="24"/>
        </w:rPr>
      </w:pPr>
      <w:r>
        <w:rPr>
          <w:rFonts w:ascii="Times New Roman" w:hAnsi="Times New Roman" w:cs="Times New Roman"/>
          <w:b/>
          <w:bCs/>
          <w:sz w:val="22"/>
          <w:szCs w:val="24"/>
        </w:rPr>
        <w:t>Interview S</w:t>
      </w:r>
      <w:r>
        <w:rPr>
          <w:rFonts w:hint="eastAsia" w:ascii="Times New Roman" w:hAnsi="Times New Roman" w:cs="Times New Roman"/>
          <w:b/>
          <w:bCs/>
          <w:sz w:val="22"/>
          <w:szCs w:val="24"/>
        </w:rPr>
        <w:t>chedules</w:t>
      </w:r>
    </w:p>
    <w:p w14:paraId="27A1FA2A">
      <w:pPr>
        <w:rPr>
          <w:rFonts w:ascii="Times New Roman" w:hAnsi="Times New Roman" w:cs="Times New Roman"/>
          <w:b/>
          <w:bCs/>
          <w:sz w:val="22"/>
          <w:szCs w:val="24"/>
        </w:rPr>
      </w:pPr>
      <w:r>
        <w:rPr>
          <w:rFonts w:ascii="Times New Roman" w:hAnsi="Times New Roman" w:cs="Times New Roman"/>
          <w:b/>
          <w:bCs/>
          <w:sz w:val="22"/>
          <w:szCs w:val="24"/>
        </w:rPr>
        <w:t>Interview schedule for people with dementia and family caregivers:</w:t>
      </w:r>
    </w:p>
    <w:p w14:paraId="77D924E7">
      <w:pPr>
        <w:rPr>
          <w:rFonts w:ascii="Times New Roman" w:hAnsi="Times New Roman" w:cs="Times New Roman"/>
          <w:b/>
          <w:bCs/>
          <w:sz w:val="22"/>
          <w:szCs w:val="24"/>
        </w:rPr>
      </w:pPr>
      <w:r>
        <w:rPr>
          <w:rFonts w:ascii="Times New Roman" w:hAnsi="Times New Roman" w:cs="Times New Roman"/>
          <w:b/>
          <w:bCs/>
          <w:sz w:val="22"/>
          <w:szCs w:val="24"/>
        </w:rPr>
        <w:t>Process summary and core questions</w:t>
      </w:r>
    </w:p>
    <w:p w14:paraId="1C04F6D2">
      <w:pPr>
        <w:rPr>
          <w:rFonts w:ascii="Times New Roman" w:hAnsi="Times New Roman" w:cs="Times New Roman"/>
          <w:b/>
          <w:bCs/>
          <w:sz w:val="22"/>
          <w:szCs w:val="24"/>
        </w:rPr>
      </w:pPr>
      <w:r>
        <w:rPr>
          <w:rFonts w:hint="eastAsia" w:ascii="Times New Roman" w:hAnsi="Times New Roman" w:cs="Times New Roman"/>
          <w:b/>
          <w:bCs/>
          <w:sz w:val="22"/>
          <w:szCs w:val="24"/>
        </w:rPr>
        <w:t>1</w:t>
      </w:r>
      <w:r>
        <w:rPr>
          <w:rFonts w:ascii="Times New Roman" w:hAnsi="Times New Roman" w:cs="Times New Roman"/>
          <w:b/>
          <w:bCs/>
          <w:sz w:val="22"/>
          <w:szCs w:val="24"/>
        </w:rPr>
        <w:t>.Introductio</w:t>
      </w:r>
      <w:r>
        <w:rPr>
          <w:rFonts w:hint="eastAsia" w:ascii="Times New Roman" w:hAnsi="Times New Roman" w:cs="Times New Roman"/>
          <w:b/>
          <w:bCs/>
          <w:sz w:val="22"/>
          <w:szCs w:val="24"/>
        </w:rPr>
        <w:t>/</w:t>
      </w:r>
      <w:r>
        <w:rPr>
          <w:rFonts w:ascii="Times New Roman" w:hAnsi="Times New Roman" w:cs="Times New Roman"/>
          <w:b/>
          <w:bCs/>
          <w:sz w:val="22"/>
          <w:szCs w:val="24"/>
        </w:rPr>
        <w:t>warm-up and gaining consent</w:t>
      </w:r>
    </w:p>
    <w:p w14:paraId="79BD1328">
      <w:pPr>
        <w:pStyle w:val="11"/>
        <w:numPr>
          <w:ilvl w:val="0"/>
          <w:numId w:val="1"/>
        </w:numPr>
        <w:ind w:firstLineChars="0"/>
        <w:rPr>
          <w:rFonts w:ascii="Times New Roman" w:hAnsi="Times New Roman" w:cs="Times New Roman"/>
          <w:sz w:val="22"/>
          <w:szCs w:val="24"/>
        </w:rPr>
      </w:pPr>
      <w:r>
        <w:rPr>
          <w:rFonts w:ascii="Times New Roman" w:hAnsi="Times New Roman" w:cs="Times New Roman"/>
          <w:sz w:val="22"/>
          <w:szCs w:val="24"/>
        </w:rPr>
        <w:t>The researcher introduces themselves and explains that they are from Jilin University.</w:t>
      </w:r>
    </w:p>
    <w:p w14:paraId="6594CD3B">
      <w:pPr>
        <w:pStyle w:val="11"/>
        <w:numPr>
          <w:ilvl w:val="0"/>
          <w:numId w:val="1"/>
        </w:numPr>
        <w:ind w:firstLineChars="0"/>
        <w:rPr>
          <w:rFonts w:ascii="Times New Roman" w:hAnsi="Times New Roman" w:cs="Times New Roman"/>
          <w:sz w:val="22"/>
          <w:szCs w:val="24"/>
        </w:rPr>
      </w:pPr>
      <w:r>
        <w:rPr>
          <w:rFonts w:ascii="Times New Roman" w:hAnsi="Times New Roman" w:cs="Times New Roman"/>
          <w:sz w:val="22"/>
          <w:szCs w:val="24"/>
        </w:rPr>
        <w:t>The participants are thanked for their involvement in the study, with an explanation that the purpose of the research is to explore how dementia impacts individuals’ management of their comorbidities and how families provide support for self-management.</w:t>
      </w:r>
    </w:p>
    <w:p w14:paraId="25ACE597">
      <w:pPr>
        <w:pStyle w:val="11"/>
        <w:numPr>
          <w:ilvl w:val="0"/>
          <w:numId w:val="1"/>
        </w:numPr>
        <w:ind w:firstLineChars="0"/>
        <w:rPr>
          <w:rFonts w:ascii="Times New Roman" w:hAnsi="Times New Roman" w:cs="Times New Roman"/>
          <w:sz w:val="22"/>
          <w:szCs w:val="24"/>
        </w:rPr>
      </w:pPr>
      <w:r>
        <w:rPr>
          <w:rFonts w:ascii="Times New Roman" w:hAnsi="Times New Roman" w:cs="Times New Roman"/>
          <w:sz w:val="22"/>
          <w:szCs w:val="24"/>
        </w:rPr>
        <w:t>Detailed information is provided on how to contact the research team after the interview.</w:t>
      </w:r>
    </w:p>
    <w:p w14:paraId="0D466707">
      <w:pPr>
        <w:pStyle w:val="11"/>
        <w:numPr>
          <w:ilvl w:val="0"/>
          <w:numId w:val="1"/>
        </w:numPr>
        <w:ind w:firstLineChars="0"/>
        <w:rPr>
          <w:rFonts w:ascii="Times New Roman" w:hAnsi="Times New Roman" w:cs="Times New Roman"/>
          <w:sz w:val="22"/>
          <w:szCs w:val="24"/>
        </w:rPr>
      </w:pPr>
      <w:r>
        <w:rPr>
          <w:rFonts w:ascii="Times New Roman" w:hAnsi="Times New Roman" w:cs="Times New Roman"/>
          <w:sz w:val="22"/>
          <w:szCs w:val="24"/>
        </w:rPr>
        <w:t>The format of the interview (semi-structured) and its duration are explained in detail.</w:t>
      </w:r>
    </w:p>
    <w:p w14:paraId="4EBF6BCF">
      <w:pPr>
        <w:pStyle w:val="11"/>
        <w:numPr>
          <w:ilvl w:val="0"/>
          <w:numId w:val="1"/>
        </w:numPr>
        <w:ind w:firstLineChars="0"/>
        <w:rPr>
          <w:rFonts w:ascii="Times New Roman" w:hAnsi="Times New Roman" w:cs="Times New Roman"/>
          <w:sz w:val="22"/>
          <w:szCs w:val="24"/>
        </w:rPr>
      </w:pPr>
      <w:r>
        <w:rPr>
          <w:rFonts w:ascii="Times New Roman" w:hAnsi="Times New Roman" w:cs="Times New Roman"/>
          <w:sz w:val="22"/>
          <w:szCs w:val="24"/>
        </w:rPr>
        <w:t>Participants are asked if they have any additional questions.</w:t>
      </w:r>
    </w:p>
    <w:p w14:paraId="3AFD780C">
      <w:pPr>
        <w:rPr>
          <w:rFonts w:ascii="Times New Roman" w:hAnsi="Times New Roman" w:cs="Times New Roman"/>
          <w:sz w:val="22"/>
          <w:szCs w:val="24"/>
        </w:rPr>
      </w:pPr>
      <w:r>
        <w:rPr>
          <w:rFonts w:ascii="Times New Roman" w:hAnsi="Times New Roman" w:cs="Times New Roman"/>
          <w:sz w:val="22"/>
          <w:szCs w:val="24"/>
        </w:rPr>
        <w:t>Consent - evaluate and document the capacity of people with dementia to participate in the interview.</w:t>
      </w:r>
    </w:p>
    <w:p w14:paraId="7F8A7D98">
      <w:pPr>
        <w:pStyle w:val="11"/>
        <w:numPr>
          <w:ilvl w:val="0"/>
          <w:numId w:val="2"/>
        </w:numPr>
        <w:ind w:firstLineChars="0"/>
        <w:rPr>
          <w:rFonts w:ascii="Times New Roman" w:hAnsi="Times New Roman" w:cs="Times New Roman"/>
          <w:sz w:val="22"/>
          <w:szCs w:val="24"/>
        </w:rPr>
      </w:pPr>
      <w:r>
        <w:rPr>
          <w:rFonts w:ascii="Times New Roman" w:hAnsi="Times New Roman" w:cs="Times New Roman"/>
          <w:sz w:val="22"/>
          <w:szCs w:val="24"/>
        </w:rPr>
        <w:t>Request participants (people with dementia and family caregivers) to read and sign the informed consent form (verbal consent is also acceptable).</w:t>
      </w:r>
    </w:p>
    <w:p w14:paraId="56BC4B77">
      <w:pPr>
        <w:pStyle w:val="11"/>
        <w:numPr>
          <w:ilvl w:val="0"/>
          <w:numId w:val="2"/>
        </w:numPr>
        <w:ind w:firstLineChars="0"/>
        <w:rPr>
          <w:rFonts w:ascii="Times New Roman" w:hAnsi="Times New Roman" w:cs="Times New Roman"/>
          <w:sz w:val="22"/>
          <w:szCs w:val="24"/>
        </w:rPr>
      </w:pPr>
      <w:r>
        <w:rPr>
          <w:rFonts w:ascii="Times New Roman" w:hAnsi="Times New Roman" w:cs="Times New Roman"/>
          <w:sz w:val="22"/>
          <w:szCs w:val="24"/>
        </w:rPr>
        <w:t>Explain anonymity and confidentiality, noting that the interview will be audio-recorded.</w:t>
      </w:r>
    </w:p>
    <w:p w14:paraId="7D927619">
      <w:pPr>
        <w:pStyle w:val="11"/>
        <w:numPr>
          <w:ilvl w:val="0"/>
          <w:numId w:val="2"/>
        </w:numPr>
        <w:ind w:firstLineChars="0"/>
        <w:rPr>
          <w:rFonts w:ascii="Times New Roman" w:hAnsi="Times New Roman" w:cs="Times New Roman"/>
          <w:sz w:val="22"/>
          <w:szCs w:val="24"/>
        </w:rPr>
      </w:pPr>
      <w:r>
        <w:rPr>
          <w:rFonts w:ascii="Times New Roman" w:hAnsi="Times New Roman" w:cs="Times New Roman"/>
          <w:sz w:val="22"/>
          <w:szCs w:val="24"/>
        </w:rPr>
        <w:t>Clarify that participants may end the interview at any time and are not obligated to share personal experiences if they prefer not to.</w:t>
      </w:r>
    </w:p>
    <w:p w14:paraId="06BC8183">
      <w:pPr>
        <w:pStyle w:val="11"/>
        <w:numPr>
          <w:ilvl w:val="0"/>
          <w:numId w:val="2"/>
        </w:numPr>
        <w:ind w:firstLineChars="0"/>
        <w:rPr>
          <w:rFonts w:ascii="Times New Roman" w:hAnsi="Times New Roman" w:cs="Times New Roman"/>
          <w:sz w:val="22"/>
          <w:szCs w:val="24"/>
        </w:rPr>
      </w:pPr>
      <w:r>
        <w:rPr>
          <w:rFonts w:ascii="Times New Roman" w:hAnsi="Times New Roman" w:cs="Times New Roman"/>
          <w:sz w:val="22"/>
          <w:szCs w:val="24"/>
        </w:rPr>
        <w:t>Emphasize that they are not required to answer any questions they do not wish to respond to.</w:t>
      </w:r>
    </w:p>
    <w:p w14:paraId="2C429245">
      <w:pPr>
        <w:rPr>
          <w:rFonts w:ascii="Times New Roman" w:hAnsi="Times New Roman" w:cs="Times New Roman"/>
          <w:sz w:val="22"/>
          <w:szCs w:val="24"/>
        </w:rPr>
      </w:pPr>
      <w:r>
        <w:rPr>
          <w:rFonts w:hint="eastAsia" w:ascii="Times New Roman" w:hAnsi="Times New Roman" w:cs="Times New Roman"/>
          <w:sz w:val="22"/>
          <w:szCs w:val="24"/>
        </w:rPr>
        <w:t>2</w:t>
      </w:r>
      <w:r>
        <w:rPr>
          <w:rFonts w:ascii="Times New Roman" w:hAnsi="Times New Roman" w:cs="Times New Roman"/>
          <w:sz w:val="22"/>
          <w:szCs w:val="24"/>
        </w:rPr>
        <w:t>.Partcipant background/bio (gather personal information using a general demographic questionnaire)</w:t>
      </w:r>
    </w:p>
    <w:p w14:paraId="1CA0EFC5">
      <w:pPr>
        <w:rPr>
          <w:rFonts w:ascii="Times New Roman" w:hAnsi="Times New Roman" w:cs="Times New Roman"/>
          <w:sz w:val="22"/>
          <w:szCs w:val="24"/>
        </w:rPr>
      </w:pPr>
      <w:r>
        <w:rPr>
          <w:rFonts w:hint="eastAsia" w:ascii="Times New Roman" w:hAnsi="Times New Roman" w:cs="Times New Roman"/>
          <w:sz w:val="22"/>
          <w:szCs w:val="24"/>
        </w:rPr>
        <w:t>3</w:t>
      </w:r>
      <w:r>
        <w:rPr>
          <w:rFonts w:ascii="Times New Roman" w:hAnsi="Times New Roman" w:cs="Times New Roman"/>
          <w:sz w:val="22"/>
          <w:szCs w:val="24"/>
        </w:rPr>
        <w:t>.Health problems and comorbidities</w:t>
      </w:r>
    </w:p>
    <w:p w14:paraId="4DF13097">
      <w:pPr>
        <w:pStyle w:val="11"/>
        <w:numPr>
          <w:ilvl w:val="0"/>
          <w:numId w:val="3"/>
        </w:numPr>
        <w:ind w:firstLineChars="0"/>
        <w:rPr>
          <w:rFonts w:ascii="Times New Roman" w:hAnsi="Times New Roman" w:cs="Times New Roman"/>
          <w:sz w:val="22"/>
          <w:szCs w:val="24"/>
        </w:rPr>
      </w:pPr>
      <w:r>
        <w:rPr>
          <w:rFonts w:ascii="Times New Roman" w:hAnsi="Times New Roman" w:cs="Times New Roman"/>
          <w:sz w:val="22"/>
          <w:szCs w:val="24"/>
        </w:rPr>
        <w:t>I would like to learn more about the patient’s overall health condition.</w:t>
      </w:r>
    </w:p>
    <w:p w14:paraId="4931F6EB">
      <w:pPr>
        <w:pStyle w:val="11"/>
        <w:numPr>
          <w:ilvl w:val="0"/>
          <w:numId w:val="3"/>
        </w:numPr>
        <w:ind w:firstLineChars="0"/>
        <w:rPr>
          <w:rFonts w:ascii="Times New Roman" w:hAnsi="Times New Roman" w:cs="Times New Roman"/>
          <w:sz w:val="22"/>
          <w:szCs w:val="24"/>
        </w:rPr>
      </w:pPr>
      <w:r>
        <w:rPr>
          <w:rFonts w:ascii="Times New Roman" w:hAnsi="Times New Roman" w:cs="Times New Roman"/>
          <w:sz w:val="22"/>
          <w:szCs w:val="24"/>
        </w:rPr>
        <w:t>Ask the people with dementia about the medications they are currently taking.</w:t>
      </w:r>
    </w:p>
    <w:p w14:paraId="36E1F2A2">
      <w:pPr>
        <w:pStyle w:val="11"/>
        <w:numPr>
          <w:ilvl w:val="0"/>
          <w:numId w:val="3"/>
        </w:numPr>
        <w:ind w:firstLineChars="0"/>
        <w:rPr>
          <w:rFonts w:hint="eastAsia" w:ascii="Times New Roman" w:hAnsi="Times New Roman" w:cs="Times New Roman"/>
          <w:sz w:val="22"/>
          <w:szCs w:val="24"/>
        </w:rPr>
      </w:pPr>
      <w:r>
        <w:rPr>
          <w:rFonts w:ascii="Times New Roman" w:hAnsi="Times New Roman" w:cs="Times New Roman"/>
          <w:sz w:val="22"/>
          <w:szCs w:val="24"/>
        </w:rPr>
        <w:t>Inquire whether they are taking any specific medications for treating dementia (memory-related issues).</w:t>
      </w:r>
    </w:p>
    <w:p w14:paraId="636E723B">
      <w:pPr>
        <w:rPr>
          <w:rFonts w:hint="eastAsia" w:ascii="Times New Roman" w:hAnsi="Times New Roman" w:cs="Times New Roman"/>
          <w:sz w:val="22"/>
          <w:szCs w:val="24"/>
        </w:rPr>
      </w:pPr>
      <w:r>
        <w:rPr>
          <w:rFonts w:ascii="Times New Roman" w:hAnsi="Times New Roman" w:cs="Times New Roman"/>
          <w:sz w:val="22"/>
          <w:szCs w:val="24"/>
        </w:rPr>
        <w:t>Prompts:</w:t>
      </w:r>
    </w:p>
    <w:p w14:paraId="1F2129A9">
      <w:pPr>
        <w:pStyle w:val="11"/>
        <w:numPr>
          <w:ilvl w:val="0"/>
          <w:numId w:val="4"/>
        </w:numPr>
        <w:ind w:firstLineChars="0"/>
        <w:rPr>
          <w:rFonts w:ascii="Times New Roman" w:hAnsi="Times New Roman" w:cs="Times New Roman"/>
          <w:sz w:val="22"/>
          <w:szCs w:val="24"/>
        </w:rPr>
      </w:pPr>
      <w:r>
        <w:rPr>
          <w:rFonts w:ascii="Times New Roman" w:hAnsi="Times New Roman" w:cs="Times New Roman"/>
          <w:sz w:val="22"/>
          <w:szCs w:val="24"/>
        </w:rPr>
        <w:t>Determine when the dementia symptoms began—was it before or after the comorbidity?</w:t>
      </w:r>
    </w:p>
    <w:p w14:paraId="56480545">
      <w:pPr>
        <w:pStyle w:val="11"/>
        <w:numPr>
          <w:ilvl w:val="0"/>
          <w:numId w:val="4"/>
        </w:numPr>
        <w:ind w:firstLineChars="0"/>
        <w:rPr>
          <w:rFonts w:ascii="Times New Roman" w:hAnsi="Times New Roman" w:cs="Times New Roman"/>
          <w:sz w:val="22"/>
          <w:szCs w:val="24"/>
        </w:rPr>
      </w:pPr>
      <w:r>
        <w:rPr>
          <w:rFonts w:ascii="Times New Roman" w:hAnsi="Times New Roman" w:cs="Times New Roman"/>
          <w:sz w:val="22"/>
          <w:szCs w:val="24"/>
        </w:rPr>
        <w:t>Explore whether these symptoms affect their ability to self-manage.</w:t>
      </w:r>
    </w:p>
    <w:p w14:paraId="13F731B4">
      <w:pPr>
        <w:pStyle w:val="11"/>
        <w:numPr>
          <w:ilvl w:val="0"/>
          <w:numId w:val="4"/>
        </w:numPr>
        <w:ind w:firstLineChars="0"/>
        <w:rPr>
          <w:rFonts w:ascii="Times New Roman" w:hAnsi="Times New Roman" w:cs="Times New Roman"/>
          <w:sz w:val="22"/>
          <w:szCs w:val="24"/>
        </w:rPr>
      </w:pPr>
      <w:r>
        <w:rPr>
          <w:rFonts w:ascii="Times New Roman" w:hAnsi="Times New Roman" w:cs="Times New Roman"/>
          <w:sz w:val="22"/>
          <w:szCs w:val="24"/>
        </w:rPr>
        <w:t>Ask how long they have been dealing with the comorbidity.</w:t>
      </w:r>
    </w:p>
    <w:p w14:paraId="2486E9D8">
      <w:pPr>
        <w:rPr>
          <w:rFonts w:hint="eastAsia" w:ascii="Times New Roman" w:hAnsi="Times New Roman" w:cs="Times New Roman"/>
          <w:sz w:val="22"/>
          <w:szCs w:val="24"/>
        </w:rPr>
      </w:pPr>
      <w:r>
        <w:rPr>
          <w:rFonts w:hint="eastAsia" w:ascii="Times New Roman" w:hAnsi="Times New Roman" w:cs="Times New Roman"/>
          <w:sz w:val="22"/>
          <w:szCs w:val="24"/>
        </w:rPr>
        <w:t>3</w:t>
      </w:r>
      <w:r>
        <w:rPr>
          <w:rFonts w:ascii="Times New Roman" w:hAnsi="Times New Roman" w:cs="Times New Roman"/>
          <w:sz w:val="22"/>
          <w:szCs w:val="24"/>
        </w:rPr>
        <w:t>.</w:t>
      </w:r>
      <w:r>
        <w:t xml:space="preserve"> </w:t>
      </w:r>
      <w:r>
        <w:rPr>
          <w:rFonts w:ascii="Times New Roman" w:hAnsi="Times New Roman" w:cs="Times New Roman"/>
          <w:sz w:val="22"/>
          <w:szCs w:val="24"/>
        </w:rPr>
        <w:t>Main interview questions:</w:t>
      </w:r>
    </w:p>
    <w:p w14:paraId="79241E17">
      <w:pPr>
        <w:pStyle w:val="11"/>
        <w:numPr>
          <w:ilvl w:val="0"/>
          <w:numId w:val="5"/>
        </w:numPr>
        <w:ind w:firstLineChars="0"/>
        <w:rPr>
          <w:rFonts w:ascii="Times New Roman" w:hAnsi="Times New Roman" w:cs="Times New Roman"/>
          <w:sz w:val="22"/>
          <w:szCs w:val="24"/>
        </w:rPr>
      </w:pPr>
      <w:r>
        <w:rPr>
          <w:rFonts w:ascii="Times New Roman" w:hAnsi="Times New Roman" w:cs="Times New Roman"/>
          <w:sz w:val="22"/>
          <w:szCs w:val="24"/>
        </w:rPr>
        <w:t>What changes have occurred in self-management of comorbidities since people with dementia started experiencing memory decline, dementia, or cognitive impairment?</w:t>
      </w:r>
    </w:p>
    <w:p w14:paraId="4CBB7096">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When was it first noticed that the patient was experiencing difficulties with self-management?</w:t>
      </w:r>
    </w:p>
    <w:p w14:paraId="64C6939F">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In this process, what tasks have caregivers gradually taken over (e.g., medication management, accessing healthcare services, self-monitoring, lifestyle management, participation in disease management decisions)?</w:t>
      </w:r>
    </w:p>
    <w:p w14:paraId="518C5E7F">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What challenges and difficulties have been encountered during this transition?</w:t>
      </w:r>
    </w:p>
    <w:p w14:paraId="6D7BE4B0">
      <w:pPr>
        <w:pStyle w:val="11"/>
        <w:numPr>
          <w:ilvl w:val="0"/>
          <w:numId w:val="5"/>
        </w:numPr>
        <w:ind w:firstLineChars="0"/>
        <w:rPr>
          <w:rFonts w:ascii="Times New Roman" w:hAnsi="Times New Roman" w:cs="Times New Roman"/>
          <w:sz w:val="22"/>
          <w:szCs w:val="24"/>
        </w:rPr>
      </w:pPr>
      <w:r>
        <w:rPr>
          <w:rFonts w:ascii="Times New Roman" w:hAnsi="Times New Roman" w:cs="Times New Roman"/>
          <w:sz w:val="22"/>
          <w:szCs w:val="24"/>
        </w:rPr>
        <w:t>What strategies or methods have been found to help overcome these difficulties?</w:t>
      </w:r>
    </w:p>
    <w:p w14:paraId="24422E31">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What factors influence the patient’s ability to self-manage their condition?</w:t>
      </w:r>
    </w:p>
    <w:p w14:paraId="23F7D8DF">
      <w:pPr>
        <w:pStyle w:val="11"/>
        <w:numPr>
          <w:ilvl w:val="0"/>
          <w:numId w:val="5"/>
        </w:numPr>
        <w:ind w:firstLineChars="0"/>
        <w:rPr>
          <w:rFonts w:ascii="Times New Roman" w:hAnsi="Times New Roman" w:cs="Times New Roman"/>
          <w:sz w:val="22"/>
          <w:szCs w:val="24"/>
        </w:rPr>
      </w:pPr>
      <w:r>
        <w:rPr>
          <w:rFonts w:ascii="Times New Roman" w:hAnsi="Times New Roman" w:cs="Times New Roman"/>
          <w:sz w:val="22"/>
          <w:szCs w:val="24"/>
        </w:rPr>
        <w:t>What factors lead you to encourage or discourage the patient from participating in the self-management of their comorbidities?</w:t>
      </w:r>
    </w:p>
    <w:p w14:paraId="4062C86D">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Do you visit a healthcare professional for your comorbidity? Who takes the lead in these visits (the patient or the family)?</w:t>
      </w:r>
    </w:p>
    <w:p w14:paraId="7EAC010D">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Are the doctors and nurses aware of your cognitive issues? Do they have expertise in both dementia and comorbid conditions?</w:t>
      </w:r>
    </w:p>
    <w:p w14:paraId="590920C5">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What kind of information have you received regarding the comorbidity(e.g., brochures, information sheets, verbal explanations)?</w:t>
      </w:r>
    </w:p>
    <w:p w14:paraId="4BC083C9">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Have you participated in any follow-up regarding the information received, such as any training programs (e.g., hypertension management)?</w:t>
      </w:r>
    </w:p>
    <w:p w14:paraId="1323127C">
      <w:pPr>
        <w:pStyle w:val="11"/>
        <w:numPr>
          <w:ilvl w:val="0"/>
          <w:numId w:val="5"/>
        </w:numPr>
        <w:ind w:firstLineChars="0"/>
        <w:rPr>
          <w:rFonts w:ascii="Times New Roman" w:hAnsi="Times New Roman" w:cs="Times New Roman"/>
          <w:sz w:val="22"/>
          <w:szCs w:val="24"/>
        </w:rPr>
      </w:pPr>
      <w:r>
        <w:rPr>
          <w:rFonts w:ascii="Times New Roman" w:hAnsi="Times New Roman" w:cs="Times New Roman"/>
          <w:sz w:val="22"/>
          <w:szCs w:val="24"/>
        </w:rPr>
        <w:t>Do you have regular check-ups for your comorbidity? What aspects of this process do you find less than ideal or think could be improved?</w:t>
      </w:r>
    </w:p>
    <w:p w14:paraId="34AC8157">
      <w:pPr>
        <w:pStyle w:val="11"/>
        <w:numPr>
          <w:ilvl w:val="0"/>
          <w:numId w:val="5"/>
        </w:numPr>
        <w:ind w:firstLineChars="0"/>
        <w:rPr>
          <w:rFonts w:ascii="Times New Roman" w:hAnsi="Times New Roman" w:cs="Times New Roman"/>
          <w:sz w:val="22"/>
          <w:szCs w:val="24"/>
        </w:rPr>
      </w:pPr>
      <w:r>
        <w:rPr>
          <w:rFonts w:ascii="Times New Roman" w:hAnsi="Times New Roman" w:cs="Times New Roman"/>
          <w:sz w:val="22"/>
          <w:szCs w:val="24"/>
        </w:rPr>
        <w:t>Do the patient and caregiver actively seek out information and knowledge about the conditions?</w:t>
      </w:r>
    </w:p>
    <w:p w14:paraId="55399F88">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Are there any specific healthcare professionals providing assistance?</w:t>
      </w:r>
    </w:p>
    <w:p w14:paraId="4F4CAC4A">
      <w:pPr>
        <w:pStyle w:val="11"/>
        <w:numPr>
          <w:ilvl w:val="0"/>
          <w:numId w:val="5"/>
        </w:numPr>
        <w:ind w:firstLineChars="0"/>
        <w:rPr>
          <w:rFonts w:ascii="Times New Roman" w:hAnsi="Times New Roman" w:cs="Times New Roman"/>
          <w:sz w:val="22"/>
          <w:szCs w:val="24"/>
        </w:rPr>
      </w:pPr>
      <w:r>
        <w:rPr>
          <w:rFonts w:ascii="Times New Roman" w:hAnsi="Times New Roman" w:cs="Times New Roman"/>
          <w:sz w:val="22"/>
          <w:szCs w:val="24"/>
        </w:rPr>
        <w:t>Does the primary healthcare system offer support for managing these conditions?</w:t>
      </w:r>
    </w:p>
    <w:p w14:paraId="028C3013">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What types of support would help the patient better manage their comorbidities?</w:t>
      </w:r>
    </w:p>
    <w:p w14:paraId="0E89613A">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What kind of support do family caregivers need in helping the patient manage comorbidities?</w:t>
      </w:r>
    </w:p>
    <w:p w14:paraId="536D32B6">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What form of support would be most helpful (e.g., face-to-face, online, etc.)?</w:t>
      </w:r>
    </w:p>
    <w:p w14:paraId="699D7905">
      <w:pPr>
        <w:pStyle w:val="11"/>
        <w:numPr>
          <w:ilvl w:val="0"/>
          <w:numId w:val="5"/>
        </w:numPr>
        <w:ind w:firstLineChars="0"/>
        <w:rPr>
          <w:rFonts w:ascii="Times New Roman" w:hAnsi="Times New Roman" w:cs="Times New Roman"/>
          <w:sz w:val="22"/>
          <w:szCs w:val="24"/>
        </w:rPr>
      </w:pPr>
      <w:r>
        <w:rPr>
          <w:rFonts w:ascii="Times New Roman" w:hAnsi="Times New Roman" w:cs="Times New Roman"/>
          <w:sz w:val="22"/>
          <w:szCs w:val="24"/>
        </w:rPr>
        <w:t>What specific content or advice should be included in the support provided?</w:t>
      </w:r>
    </w:p>
    <w:p w14:paraId="595E3FCD">
      <w:pPr>
        <w:pStyle w:val="11"/>
        <w:numPr>
          <w:ilvl w:val="0"/>
          <w:numId w:val="5"/>
        </w:numPr>
        <w:ind w:firstLineChars="0"/>
        <w:rPr>
          <w:rFonts w:hint="eastAsia" w:ascii="Times New Roman" w:hAnsi="Times New Roman" w:cs="Times New Roman"/>
          <w:sz w:val="22"/>
          <w:szCs w:val="24"/>
        </w:rPr>
      </w:pPr>
      <w:r>
        <w:rPr>
          <w:rFonts w:ascii="Times New Roman" w:hAnsi="Times New Roman" w:cs="Times New Roman"/>
          <w:sz w:val="22"/>
          <w:szCs w:val="24"/>
        </w:rPr>
        <w:t>Is there anything else you would like to share about managing comorbidities in people with dementia?</w:t>
      </w:r>
    </w:p>
    <w:p w14:paraId="125F2554">
      <w:pPr>
        <w:pStyle w:val="11"/>
        <w:numPr>
          <w:ilvl w:val="0"/>
          <w:numId w:val="5"/>
        </w:numPr>
        <w:ind w:firstLineChars="0"/>
        <w:rPr>
          <w:rFonts w:ascii="Times New Roman" w:hAnsi="Times New Roman" w:cs="Times New Roman"/>
          <w:sz w:val="22"/>
          <w:szCs w:val="24"/>
        </w:rPr>
      </w:pPr>
      <w:r>
        <w:rPr>
          <w:rFonts w:ascii="Times New Roman" w:hAnsi="Times New Roman" w:cs="Times New Roman"/>
          <w:sz w:val="22"/>
          <w:szCs w:val="24"/>
        </w:rPr>
        <w:t>Conclude the interview by thanking the participant for their time and valuable insights.</w:t>
      </w:r>
    </w:p>
    <w:p w14:paraId="4EAEB0C8">
      <w:pPr>
        <w:rPr>
          <w:rFonts w:ascii="Times New Roman" w:hAnsi="Times New Roman" w:cs="Times New Roman"/>
          <w:sz w:val="22"/>
          <w:szCs w:val="24"/>
        </w:rPr>
      </w:pPr>
      <w:r>
        <w:rPr>
          <w:rFonts w:ascii="Times New Roman" w:hAnsi="Times New Roman" w:cs="Times New Roman"/>
          <w:sz w:val="22"/>
          <w:szCs w:val="24"/>
        </w:rPr>
        <w:br w:type="page"/>
      </w:r>
    </w:p>
    <w:p w14:paraId="4688DB12">
      <w:pPr>
        <w:pStyle w:val="11"/>
        <w:numPr>
          <w:ilvl w:val="0"/>
          <w:numId w:val="0"/>
        </w:numPr>
        <w:ind w:leftChars="0"/>
        <w:rPr>
          <w:rFonts w:hint="eastAsia" w:ascii="Times New Roman" w:hAnsi="Times New Roman" w:cs="Times New Roman"/>
          <w:sz w:val="22"/>
          <w:szCs w:val="24"/>
        </w:rPr>
      </w:pPr>
      <w:r>
        <w:rPr>
          <w:rFonts w:hint="eastAsia" w:ascii="Times New Roman" w:hAnsi="Times New Roman" w:cs="Times New Roman"/>
          <w:sz w:val="22"/>
          <w:szCs w:val="24"/>
        </w:rPr>
        <w:t>Table 1.</w:t>
      </w:r>
      <w:r>
        <w:rPr>
          <w:rFonts w:hint="eastAsia" w:ascii="Times New Roman" w:hAnsi="Times New Roman" w:cs="Times New Roman"/>
          <w:sz w:val="22"/>
          <w:szCs w:val="24"/>
          <w:lang w:val="en-US" w:eastAsia="zh-CN"/>
        </w:rPr>
        <w:t xml:space="preserve"> </w:t>
      </w:r>
      <w:r>
        <w:rPr>
          <w:rFonts w:hint="eastAsia" w:ascii="Times New Roman" w:hAnsi="Times New Roman" w:cs="Times New Roman"/>
          <w:sz w:val="22"/>
          <w:szCs w:val="24"/>
        </w:rPr>
        <w:t>Saturation Assessment Trajectory</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3"/>
        <w:gridCol w:w="1650"/>
        <w:gridCol w:w="1862"/>
        <w:gridCol w:w="3417"/>
      </w:tblGrid>
      <w:tr w14:paraId="36E2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single" w:color="000000" w:sz="12" w:space="0"/>
              <w:left w:val="nil"/>
              <w:bottom w:val="single" w:color="000000" w:sz="4" w:space="0"/>
              <w:right w:val="nil"/>
              <w:tl2br w:val="nil"/>
            </w:tcBorders>
            <w:shd w:val="clear" w:color="auto" w:fill="FFFFFF"/>
            <w:vAlign w:val="center"/>
          </w:tcPr>
          <w:p w14:paraId="0850816F">
            <w:pPr>
              <w:pStyle w:val="11"/>
              <w:numPr>
                <w:ilvl w:val="0"/>
                <w:numId w:val="0"/>
              </w:numPr>
              <w:jc w:val="center"/>
              <w:rPr>
                <w:rFonts w:hint="eastAsia" w:ascii="Times New Roman" w:hAnsi="Times New Roman" w:cs="Times New Roman"/>
                <w:b w:val="0"/>
                <w:bCs/>
                <w:color w:val="000000"/>
                <w:sz w:val="22"/>
                <w:szCs w:val="24"/>
                <w:vertAlign w:val="baseline"/>
              </w:rPr>
            </w:pPr>
            <w:r>
              <w:rPr>
                <w:rFonts w:hint="eastAsia" w:ascii="Times New Roman" w:hAnsi="Times New Roman" w:cs="Times New Roman"/>
                <w:b w:val="0"/>
                <w:bCs/>
                <w:color w:val="000000"/>
                <w:sz w:val="22"/>
                <w:szCs w:val="24"/>
                <w:vertAlign w:val="baseline"/>
              </w:rPr>
              <w:t>Interview serial number</w:t>
            </w:r>
          </w:p>
        </w:tc>
        <w:tc>
          <w:tcPr>
            <w:tcW w:w="1650" w:type="dxa"/>
            <w:tcBorders>
              <w:top w:val="single" w:color="000000" w:sz="12" w:space="0"/>
              <w:left w:val="nil"/>
              <w:bottom w:val="single" w:color="000000" w:sz="4" w:space="0"/>
              <w:right w:val="nil"/>
            </w:tcBorders>
            <w:shd w:val="clear" w:color="auto" w:fill="FFFFFF"/>
            <w:vAlign w:val="center"/>
          </w:tcPr>
          <w:p w14:paraId="69682729">
            <w:pPr>
              <w:pStyle w:val="11"/>
              <w:numPr>
                <w:ilvl w:val="0"/>
                <w:numId w:val="0"/>
              </w:numPr>
              <w:jc w:val="center"/>
              <w:rPr>
                <w:rFonts w:hint="eastAsia" w:ascii="Times New Roman" w:hAnsi="Times New Roman" w:cs="Times New Roman"/>
                <w:b w:val="0"/>
                <w:bCs/>
                <w:color w:val="000000"/>
                <w:sz w:val="22"/>
                <w:szCs w:val="24"/>
                <w:vertAlign w:val="baseline"/>
              </w:rPr>
            </w:pPr>
            <w:r>
              <w:rPr>
                <w:rFonts w:hint="eastAsia" w:ascii="Times New Roman" w:hAnsi="Times New Roman" w:cs="Times New Roman"/>
                <w:b w:val="0"/>
                <w:bCs/>
                <w:color w:val="000000"/>
                <w:sz w:val="22"/>
                <w:szCs w:val="24"/>
                <w:vertAlign w:val="baseline"/>
              </w:rPr>
              <w:t>Number of generated codes</w:t>
            </w:r>
          </w:p>
        </w:tc>
        <w:tc>
          <w:tcPr>
            <w:tcW w:w="1862" w:type="dxa"/>
            <w:tcBorders>
              <w:top w:val="single" w:color="000000" w:sz="12" w:space="0"/>
              <w:left w:val="nil"/>
              <w:bottom w:val="single" w:color="000000" w:sz="4" w:space="0"/>
              <w:right w:val="nil"/>
            </w:tcBorders>
            <w:shd w:val="clear" w:color="auto" w:fill="FFFFFF"/>
            <w:vAlign w:val="center"/>
          </w:tcPr>
          <w:p w14:paraId="44A4EBEF">
            <w:pPr>
              <w:pStyle w:val="11"/>
              <w:numPr>
                <w:ilvl w:val="0"/>
                <w:numId w:val="0"/>
              </w:numPr>
              <w:jc w:val="center"/>
              <w:rPr>
                <w:rFonts w:hint="eastAsia" w:ascii="Times New Roman" w:hAnsi="Times New Roman" w:cs="Times New Roman"/>
                <w:b w:val="0"/>
                <w:bCs/>
                <w:color w:val="000000"/>
                <w:sz w:val="22"/>
                <w:szCs w:val="24"/>
                <w:vertAlign w:val="baseline"/>
              </w:rPr>
            </w:pPr>
            <w:r>
              <w:rPr>
                <w:rFonts w:hint="eastAsia" w:ascii="Times New Roman" w:hAnsi="Times New Roman" w:cs="Times New Roman"/>
                <w:b w:val="0"/>
                <w:bCs/>
                <w:color w:val="000000"/>
                <w:sz w:val="22"/>
                <w:szCs w:val="24"/>
                <w:vertAlign w:val="baseline"/>
              </w:rPr>
              <w:t>Total number of cumulative codes</w:t>
            </w:r>
          </w:p>
        </w:tc>
        <w:tc>
          <w:tcPr>
            <w:tcW w:w="3417" w:type="dxa"/>
            <w:tcBorders>
              <w:top w:val="single" w:color="000000" w:sz="12" w:space="0"/>
              <w:left w:val="nil"/>
              <w:bottom w:val="single" w:color="000000" w:sz="4" w:space="0"/>
              <w:right w:val="nil"/>
            </w:tcBorders>
            <w:shd w:val="clear" w:color="auto" w:fill="FFFFFF"/>
            <w:vAlign w:val="center"/>
          </w:tcPr>
          <w:p w14:paraId="257490B0">
            <w:pPr>
              <w:pStyle w:val="11"/>
              <w:numPr>
                <w:ilvl w:val="0"/>
                <w:numId w:val="0"/>
              </w:numPr>
              <w:jc w:val="center"/>
              <w:rPr>
                <w:rFonts w:hint="eastAsia" w:ascii="Times New Roman" w:hAnsi="Times New Roman" w:cs="Times New Roman"/>
                <w:b w:val="0"/>
                <w:bCs/>
                <w:color w:val="000000"/>
                <w:sz w:val="22"/>
                <w:szCs w:val="24"/>
                <w:vertAlign w:val="baseline"/>
              </w:rPr>
            </w:pPr>
            <w:r>
              <w:rPr>
                <w:rFonts w:hint="eastAsia" w:ascii="Times New Roman" w:hAnsi="Times New Roman" w:cs="Times New Roman"/>
                <w:b w:val="0"/>
                <w:bCs/>
                <w:color w:val="000000"/>
                <w:sz w:val="22"/>
                <w:szCs w:val="24"/>
                <w:vertAlign w:val="baseline"/>
              </w:rPr>
              <w:t>Evaluation Basis</w:t>
            </w:r>
          </w:p>
        </w:tc>
      </w:tr>
      <w:tr w14:paraId="66DB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single" w:color="000000" w:sz="4" w:space="0"/>
              <w:left w:val="nil"/>
              <w:bottom w:val="nil"/>
              <w:right w:val="nil"/>
            </w:tcBorders>
            <w:shd w:val="clear" w:color="auto" w:fill="FFFFFF"/>
            <w:vAlign w:val="center"/>
          </w:tcPr>
          <w:p w14:paraId="4354FE90">
            <w:pPr>
              <w:pStyle w:val="11"/>
              <w:numPr>
                <w:ilvl w:val="0"/>
                <w:numId w:val="0"/>
              </w:numPr>
              <w:jc w:val="center"/>
              <w:rPr>
                <w:rFonts w:hint="default"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1-5</w:t>
            </w:r>
          </w:p>
        </w:tc>
        <w:tc>
          <w:tcPr>
            <w:tcW w:w="1650" w:type="dxa"/>
            <w:tcBorders>
              <w:top w:val="single" w:color="000000" w:sz="4" w:space="0"/>
              <w:left w:val="nil"/>
              <w:bottom w:val="nil"/>
              <w:right w:val="nil"/>
            </w:tcBorders>
            <w:shd w:val="clear" w:color="auto" w:fill="FFFFFF"/>
            <w:vAlign w:val="center"/>
          </w:tcPr>
          <w:p w14:paraId="627AFBA6">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80</w:t>
            </w:r>
          </w:p>
        </w:tc>
        <w:tc>
          <w:tcPr>
            <w:tcW w:w="1862" w:type="dxa"/>
            <w:tcBorders>
              <w:top w:val="single" w:color="000000" w:sz="4" w:space="0"/>
              <w:left w:val="nil"/>
              <w:bottom w:val="nil"/>
              <w:right w:val="nil"/>
            </w:tcBorders>
            <w:shd w:val="clear" w:color="auto" w:fill="FFFFFF"/>
            <w:vAlign w:val="center"/>
          </w:tcPr>
          <w:p w14:paraId="013DEA55">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80</w:t>
            </w:r>
          </w:p>
        </w:tc>
        <w:tc>
          <w:tcPr>
            <w:tcW w:w="3417" w:type="dxa"/>
            <w:tcBorders>
              <w:top w:val="single" w:color="000000" w:sz="4" w:space="0"/>
              <w:left w:val="nil"/>
              <w:bottom w:val="nil"/>
              <w:right w:val="nil"/>
            </w:tcBorders>
            <w:shd w:val="clear" w:color="auto" w:fill="FFFFFF"/>
            <w:vAlign w:val="center"/>
          </w:tcPr>
          <w:p w14:paraId="2EB9AFFF">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 xml:space="preserve">A large number of </w:t>
            </w:r>
            <w:r>
              <w:rPr>
                <w:rFonts w:hint="eastAsia" w:ascii="Times New Roman" w:hAnsi="Times New Roman" w:cs="Times New Roman"/>
                <w:b w:val="0"/>
                <w:color w:val="000000"/>
                <w:sz w:val="22"/>
                <w:szCs w:val="24"/>
                <w:vertAlign w:val="baseline"/>
                <w:lang w:val="en-US" w:eastAsia="zh-CN"/>
              </w:rPr>
              <w:t>codes</w:t>
            </w:r>
            <w:r>
              <w:rPr>
                <w:rFonts w:hint="eastAsia" w:ascii="Times New Roman" w:hAnsi="Times New Roman" w:cs="Times New Roman"/>
                <w:b w:val="0"/>
                <w:color w:val="000000"/>
                <w:sz w:val="22"/>
                <w:szCs w:val="24"/>
                <w:vertAlign w:val="baseline"/>
              </w:rPr>
              <w:t xml:space="preserve"> have emerged</w:t>
            </w:r>
          </w:p>
        </w:tc>
      </w:tr>
      <w:tr w14:paraId="6F9E6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nil"/>
              <w:right w:val="nil"/>
            </w:tcBorders>
            <w:shd w:val="clear" w:color="auto" w:fill="FFFFFF"/>
            <w:vAlign w:val="center"/>
          </w:tcPr>
          <w:p w14:paraId="343001C6">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6-10</w:t>
            </w:r>
          </w:p>
        </w:tc>
        <w:tc>
          <w:tcPr>
            <w:tcW w:w="1650" w:type="dxa"/>
            <w:tcBorders>
              <w:top w:val="nil"/>
              <w:left w:val="nil"/>
              <w:bottom w:val="nil"/>
              <w:right w:val="nil"/>
            </w:tcBorders>
            <w:shd w:val="clear" w:color="auto" w:fill="FFFFFF"/>
            <w:vAlign w:val="center"/>
          </w:tcPr>
          <w:p w14:paraId="3BB51BA0">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37</w:t>
            </w:r>
          </w:p>
        </w:tc>
        <w:tc>
          <w:tcPr>
            <w:tcW w:w="1862" w:type="dxa"/>
            <w:tcBorders>
              <w:top w:val="nil"/>
              <w:left w:val="nil"/>
              <w:bottom w:val="nil"/>
              <w:right w:val="nil"/>
            </w:tcBorders>
            <w:shd w:val="clear" w:color="auto" w:fill="FFFFFF"/>
            <w:vAlign w:val="center"/>
          </w:tcPr>
          <w:p w14:paraId="5CF247E8">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117</w:t>
            </w:r>
          </w:p>
        </w:tc>
        <w:tc>
          <w:tcPr>
            <w:tcW w:w="3417" w:type="dxa"/>
            <w:tcBorders>
              <w:top w:val="nil"/>
              <w:left w:val="nil"/>
              <w:bottom w:val="nil"/>
              <w:right w:val="nil"/>
            </w:tcBorders>
            <w:shd w:val="clear" w:color="auto" w:fill="FFFFFF"/>
            <w:vAlign w:val="center"/>
          </w:tcPr>
          <w:p w14:paraId="1FF4B3A8">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Code refinement</w:t>
            </w:r>
          </w:p>
        </w:tc>
      </w:tr>
      <w:tr w14:paraId="31C0C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nil"/>
              <w:right w:val="nil"/>
            </w:tcBorders>
            <w:shd w:val="clear" w:color="auto" w:fill="FFFFFF"/>
            <w:vAlign w:val="center"/>
          </w:tcPr>
          <w:p w14:paraId="77BA25EC">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11-15</w:t>
            </w:r>
          </w:p>
        </w:tc>
        <w:tc>
          <w:tcPr>
            <w:tcW w:w="1650" w:type="dxa"/>
            <w:tcBorders>
              <w:top w:val="nil"/>
              <w:left w:val="nil"/>
              <w:bottom w:val="nil"/>
              <w:right w:val="nil"/>
            </w:tcBorders>
            <w:shd w:val="clear" w:color="auto" w:fill="FFFFFF"/>
            <w:vAlign w:val="center"/>
          </w:tcPr>
          <w:p w14:paraId="13DE305A">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15</w:t>
            </w:r>
          </w:p>
        </w:tc>
        <w:tc>
          <w:tcPr>
            <w:tcW w:w="1862" w:type="dxa"/>
            <w:tcBorders>
              <w:top w:val="nil"/>
              <w:left w:val="nil"/>
              <w:bottom w:val="nil"/>
              <w:right w:val="nil"/>
            </w:tcBorders>
            <w:shd w:val="clear" w:color="auto" w:fill="FFFFFF"/>
            <w:vAlign w:val="center"/>
          </w:tcPr>
          <w:p w14:paraId="0D0339D2">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132</w:t>
            </w:r>
          </w:p>
        </w:tc>
        <w:tc>
          <w:tcPr>
            <w:tcW w:w="3417" w:type="dxa"/>
            <w:tcBorders>
              <w:top w:val="nil"/>
              <w:left w:val="nil"/>
              <w:bottom w:val="nil"/>
              <w:right w:val="nil"/>
            </w:tcBorders>
            <w:shd w:val="clear" w:color="auto" w:fill="FFFFFF"/>
            <w:vAlign w:val="center"/>
          </w:tcPr>
          <w:p w14:paraId="4B7F5957">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The speed of the new code has significantly decreased</w:t>
            </w:r>
          </w:p>
        </w:tc>
      </w:tr>
      <w:tr w14:paraId="7667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nil"/>
              <w:right w:val="nil"/>
            </w:tcBorders>
            <w:shd w:val="clear" w:color="auto" w:fill="FFFFFF"/>
            <w:vAlign w:val="center"/>
          </w:tcPr>
          <w:p w14:paraId="37058701">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16-20</w:t>
            </w:r>
          </w:p>
        </w:tc>
        <w:tc>
          <w:tcPr>
            <w:tcW w:w="1650" w:type="dxa"/>
            <w:tcBorders>
              <w:top w:val="nil"/>
              <w:left w:val="nil"/>
              <w:bottom w:val="nil"/>
              <w:right w:val="nil"/>
            </w:tcBorders>
            <w:shd w:val="clear" w:color="auto" w:fill="FFFFFF"/>
            <w:vAlign w:val="center"/>
          </w:tcPr>
          <w:p w14:paraId="1F3E41A0">
            <w:pPr>
              <w:pStyle w:val="11"/>
              <w:numPr>
                <w:ilvl w:val="0"/>
                <w:numId w:val="0"/>
              </w:numPr>
              <w:jc w:val="center"/>
              <w:rPr>
                <w:rFonts w:hint="eastAsia"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5</w:t>
            </w:r>
          </w:p>
        </w:tc>
        <w:tc>
          <w:tcPr>
            <w:tcW w:w="1862" w:type="dxa"/>
            <w:tcBorders>
              <w:top w:val="nil"/>
              <w:left w:val="nil"/>
              <w:bottom w:val="nil"/>
              <w:right w:val="nil"/>
            </w:tcBorders>
            <w:shd w:val="clear" w:color="auto" w:fill="FFFFFF"/>
            <w:vAlign w:val="center"/>
          </w:tcPr>
          <w:p w14:paraId="6B56A866">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137</w:t>
            </w:r>
          </w:p>
        </w:tc>
        <w:tc>
          <w:tcPr>
            <w:tcW w:w="3417" w:type="dxa"/>
            <w:tcBorders>
              <w:top w:val="nil"/>
              <w:left w:val="nil"/>
              <w:bottom w:val="nil"/>
              <w:right w:val="nil"/>
            </w:tcBorders>
            <w:shd w:val="clear" w:color="auto" w:fill="FFFFFF"/>
            <w:vAlign w:val="center"/>
          </w:tcPr>
          <w:p w14:paraId="772E9F1A">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Primarily involves the repetition and enhancement of existing code</w:t>
            </w:r>
          </w:p>
        </w:tc>
      </w:tr>
      <w:tr w14:paraId="0309F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nil"/>
              <w:right w:val="nil"/>
            </w:tcBorders>
            <w:shd w:val="clear" w:color="auto" w:fill="FFFFFF"/>
            <w:vAlign w:val="center"/>
          </w:tcPr>
          <w:p w14:paraId="10307111">
            <w:pPr>
              <w:pStyle w:val="11"/>
              <w:numPr>
                <w:ilvl w:val="0"/>
                <w:numId w:val="0"/>
              </w:numPr>
              <w:jc w:val="center"/>
              <w:rPr>
                <w:rFonts w:hint="default"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21</w:t>
            </w:r>
            <w:bookmarkStart w:id="0" w:name="_GoBack"/>
            <w:bookmarkEnd w:id="0"/>
          </w:p>
        </w:tc>
        <w:tc>
          <w:tcPr>
            <w:tcW w:w="1650" w:type="dxa"/>
            <w:tcBorders>
              <w:top w:val="nil"/>
              <w:left w:val="nil"/>
              <w:bottom w:val="nil"/>
              <w:right w:val="nil"/>
            </w:tcBorders>
            <w:shd w:val="clear" w:color="auto" w:fill="FFFFFF"/>
            <w:vAlign w:val="center"/>
          </w:tcPr>
          <w:p w14:paraId="4BDC7FED">
            <w:pPr>
              <w:pStyle w:val="11"/>
              <w:numPr>
                <w:ilvl w:val="0"/>
                <w:numId w:val="0"/>
              </w:numPr>
              <w:jc w:val="center"/>
              <w:rPr>
                <w:rFonts w:hint="eastAsia"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w:t>
            </w:r>
          </w:p>
        </w:tc>
        <w:tc>
          <w:tcPr>
            <w:tcW w:w="1862" w:type="dxa"/>
            <w:tcBorders>
              <w:top w:val="nil"/>
              <w:left w:val="nil"/>
              <w:bottom w:val="nil"/>
              <w:right w:val="nil"/>
            </w:tcBorders>
            <w:shd w:val="clear" w:color="auto" w:fill="FFFFFF"/>
            <w:vAlign w:val="center"/>
          </w:tcPr>
          <w:p w14:paraId="1FFE3899">
            <w:pPr>
              <w:pStyle w:val="11"/>
              <w:numPr>
                <w:ilvl w:val="0"/>
                <w:numId w:val="0"/>
              </w:numPr>
              <w:jc w:val="center"/>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138</w:t>
            </w:r>
          </w:p>
        </w:tc>
        <w:tc>
          <w:tcPr>
            <w:tcW w:w="3417" w:type="dxa"/>
            <w:tcBorders>
              <w:top w:val="nil"/>
              <w:left w:val="nil"/>
              <w:bottom w:val="nil"/>
              <w:right w:val="nil"/>
            </w:tcBorders>
            <w:shd w:val="clear" w:color="auto" w:fill="FFFFFF"/>
            <w:vAlign w:val="center"/>
          </w:tcPr>
          <w:p w14:paraId="67FC4577">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An edge new code has appeared</w:t>
            </w:r>
          </w:p>
        </w:tc>
      </w:tr>
      <w:tr w14:paraId="0F89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nil"/>
              <w:right w:val="nil"/>
            </w:tcBorders>
            <w:shd w:val="clear" w:color="auto" w:fill="FFFFFF"/>
            <w:vAlign w:val="center"/>
          </w:tcPr>
          <w:p w14:paraId="2E6CF635">
            <w:pPr>
              <w:pStyle w:val="11"/>
              <w:numPr>
                <w:ilvl w:val="0"/>
                <w:numId w:val="0"/>
              </w:numPr>
              <w:jc w:val="center"/>
              <w:rPr>
                <w:rFonts w:hint="default"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22</w:t>
            </w:r>
          </w:p>
        </w:tc>
        <w:tc>
          <w:tcPr>
            <w:tcW w:w="1650" w:type="dxa"/>
            <w:tcBorders>
              <w:top w:val="nil"/>
              <w:left w:val="nil"/>
              <w:bottom w:val="nil"/>
              <w:right w:val="nil"/>
            </w:tcBorders>
            <w:shd w:val="clear" w:color="auto" w:fill="FFFFFF"/>
            <w:vAlign w:val="center"/>
          </w:tcPr>
          <w:p w14:paraId="32CC2641">
            <w:pPr>
              <w:pStyle w:val="11"/>
              <w:numPr>
                <w:ilvl w:val="0"/>
                <w:numId w:val="0"/>
              </w:numPr>
              <w:jc w:val="center"/>
              <w:rPr>
                <w:rFonts w:hint="eastAsia"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0</w:t>
            </w:r>
          </w:p>
        </w:tc>
        <w:tc>
          <w:tcPr>
            <w:tcW w:w="1862" w:type="dxa"/>
            <w:tcBorders>
              <w:top w:val="nil"/>
              <w:left w:val="nil"/>
              <w:bottom w:val="nil"/>
              <w:right w:val="nil"/>
            </w:tcBorders>
            <w:shd w:val="clear" w:color="auto" w:fill="FFFFFF"/>
            <w:vAlign w:val="center"/>
          </w:tcPr>
          <w:p w14:paraId="370B6CD4">
            <w:pPr>
              <w:numPr>
                <w:ilvl w:val="0"/>
                <w:numId w:val="0"/>
              </w:numPr>
              <w:jc w:val="center"/>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lang w:val="en-US" w:eastAsia="zh-CN"/>
              </w:rPr>
              <w:t>138</w:t>
            </w:r>
          </w:p>
        </w:tc>
        <w:tc>
          <w:tcPr>
            <w:tcW w:w="3417" w:type="dxa"/>
            <w:tcBorders>
              <w:top w:val="nil"/>
              <w:left w:val="nil"/>
              <w:bottom w:val="nil"/>
              <w:right w:val="nil"/>
            </w:tcBorders>
            <w:shd w:val="clear" w:color="auto" w:fill="FFFFFF"/>
            <w:vAlign w:val="center"/>
          </w:tcPr>
          <w:p w14:paraId="2490F3A5">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No new code, pattern repetition</w:t>
            </w:r>
          </w:p>
        </w:tc>
      </w:tr>
      <w:tr w14:paraId="23DD7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nil"/>
              <w:right w:val="nil"/>
            </w:tcBorders>
            <w:shd w:val="clear" w:color="auto" w:fill="FFFFFF"/>
            <w:vAlign w:val="center"/>
          </w:tcPr>
          <w:p w14:paraId="764D7893">
            <w:pPr>
              <w:pStyle w:val="11"/>
              <w:numPr>
                <w:ilvl w:val="0"/>
                <w:numId w:val="0"/>
              </w:numPr>
              <w:jc w:val="center"/>
              <w:rPr>
                <w:rFonts w:hint="default"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23</w:t>
            </w:r>
          </w:p>
        </w:tc>
        <w:tc>
          <w:tcPr>
            <w:tcW w:w="1650" w:type="dxa"/>
            <w:tcBorders>
              <w:top w:val="nil"/>
              <w:left w:val="nil"/>
              <w:bottom w:val="nil"/>
              <w:right w:val="nil"/>
            </w:tcBorders>
            <w:shd w:val="clear" w:color="auto" w:fill="FFFFFF"/>
            <w:vAlign w:val="center"/>
          </w:tcPr>
          <w:p w14:paraId="1D72E069">
            <w:pPr>
              <w:pStyle w:val="11"/>
              <w:numPr>
                <w:ilvl w:val="0"/>
                <w:numId w:val="0"/>
              </w:numPr>
              <w:jc w:val="center"/>
              <w:rPr>
                <w:rFonts w:hint="eastAsia"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0</w:t>
            </w:r>
          </w:p>
        </w:tc>
        <w:tc>
          <w:tcPr>
            <w:tcW w:w="1862" w:type="dxa"/>
            <w:tcBorders>
              <w:top w:val="nil"/>
              <w:left w:val="nil"/>
              <w:bottom w:val="nil"/>
              <w:right w:val="nil"/>
            </w:tcBorders>
            <w:shd w:val="clear" w:color="auto" w:fill="FFFFFF"/>
            <w:vAlign w:val="center"/>
          </w:tcPr>
          <w:p w14:paraId="7FE3FDC0">
            <w:pPr>
              <w:numPr>
                <w:ilvl w:val="0"/>
                <w:numId w:val="0"/>
              </w:numPr>
              <w:jc w:val="center"/>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lang w:val="en-US" w:eastAsia="zh-CN"/>
              </w:rPr>
              <w:t>138</w:t>
            </w:r>
          </w:p>
        </w:tc>
        <w:tc>
          <w:tcPr>
            <w:tcW w:w="3417" w:type="dxa"/>
            <w:tcBorders>
              <w:top w:val="nil"/>
              <w:left w:val="nil"/>
              <w:bottom w:val="nil"/>
              <w:right w:val="nil"/>
            </w:tcBorders>
            <w:shd w:val="clear" w:color="auto" w:fill="FFFFFF"/>
            <w:vAlign w:val="center"/>
          </w:tcPr>
          <w:p w14:paraId="6FE7BA67">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No new code, pattern repetition</w:t>
            </w:r>
          </w:p>
        </w:tc>
      </w:tr>
      <w:tr w14:paraId="0105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nil"/>
              <w:right w:val="nil"/>
            </w:tcBorders>
            <w:shd w:val="clear" w:color="auto" w:fill="FFFFFF"/>
            <w:vAlign w:val="center"/>
          </w:tcPr>
          <w:p w14:paraId="5C83A798">
            <w:pPr>
              <w:pStyle w:val="11"/>
              <w:numPr>
                <w:ilvl w:val="0"/>
                <w:numId w:val="0"/>
              </w:numPr>
              <w:jc w:val="center"/>
              <w:rPr>
                <w:rFonts w:hint="default"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24</w:t>
            </w:r>
          </w:p>
        </w:tc>
        <w:tc>
          <w:tcPr>
            <w:tcW w:w="1650" w:type="dxa"/>
            <w:tcBorders>
              <w:top w:val="nil"/>
              <w:left w:val="nil"/>
              <w:bottom w:val="nil"/>
              <w:right w:val="nil"/>
            </w:tcBorders>
            <w:shd w:val="clear" w:color="auto" w:fill="FFFFFF"/>
            <w:vAlign w:val="center"/>
          </w:tcPr>
          <w:p w14:paraId="20638F4F">
            <w:pPr>
              <w:pStyle w:val="11"/>
              <w:numPr>
                <w:ilvl w:val="0"/>
                <w:numId w:val="0"/>
              </w:numPr>
              <w:jc w:val="center"/>
              <w:rPr>
                <w:rFonts w:hint="eastAsia"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0</w:t>
            </w:r>
          </w:p>
        </w:tc>
        <w:tc>
          <w:tcPr>
            <w:tcW w:w="1862" w:type="dxa"/>
            <w:tcBorders>
              <w:top w:val="nil"/>
              <w:left w:val="nil"/>
              <w:bottom w:val="nil"/>
              <w:right w:val="nil"/>
            </w:tcBorders>
            <w:shd w:val="clear" w:color="auto" w:fill="FFFFFF"/>
            <w:vAlign w:val="center"/>
          </w:tcPr>
          <w:p w14:paraId="76934E32">
            <w:pPr>
              <w:numPr>
                <w:ilvl w:val="0"/>
                <w:numId w:val="0"/>
              </w:numPr>
              <w:jc w:val="center"/>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lang w:val="en-US" w:eastAsia="zh-CN"/>
              </w:rPr>
              <w:t>138</w:t>
            </w:r>
          </w:p>
        </w:tc>
        <w:tc>
          <w:tcPr>
            <w:tcW w:w="3417" w:type="dxa"/>
            <w:tcBorders>
              <w:top w:val="nil"/>
              <w:left w:val="nil"/>
              <w:bottom w:val="nil"/>
              <w:right w:val="nil"/>
            </w:tcBorders>
            <w:shd w:val="clear" w:color="auto" w:fill="FFFFFF"/>
            <w:vAlign w:val="center"/>
          </w:tcPr>
          <w:p w14:paraId="24301BC4">
            <w:pPr>
              <w:pStyle w:val="11"/>
              <w:numPr>
                <w:ilvl w:val="0"/>
                <w:numId w:val="0"/>
              </w:numPr>
              <w:jc w:val="both"/>
              <w:rPr>
                <w:rFonts w:hint="default"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rPr>
              <w:t>No new code, pattern repetition</w:t>
            </w:r>
            <w:r>
              <w:rPr>
                <w:rFonts w:hint="eastAsia" w:ascii="Times New Roman" w:hAnsi="Times New Roman" w:cs="Times New Roman"/>
                <w:b w:val="0"/>
                <w:color w:val="000000"/>
                <w:sz w:val="22"/>
                <w:szCs w:val="24"/>
                <w:vertAlign w:val="baseline"/>
                <w:lang w:val="en-US" w:eastAsia="zh-CN"/>
              </w:rPr>
              <w:t>; meet the saturation criteria</w:t>
            </w:r>
          </w:p>
        </w:tc>
      </w:tr>
      <w:tr w14:paraId="60CE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nil"/>
              <w:right w:val="nil"/>
            </w:tcBorders>
            <w:shd w:val="clear" w:color="auto" w:fill="FFFFFF"/>
            <w:vAlign w:val="center"/>
          </w:tcPr>
          <w:p w14:paraId="39DD9329">
            <w:pPr>
              <w:pStyle w:val="11"/>
              <w:numPr>
                <w:ilvl w:val="0"/>
                <w:numId w:val="0"/>
              </w:numPr>
              <w:jc w:val="center"/>
              <w:rPr>
                <w:rFonts w:hint="eastAsia"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25</w:t>
            </w:r>
          </w:p>
          <w:p w14:paraId="1DF146CC">
            <w:pPr>
              <w:pStyle w:val="11"/>
              <w:numPr>
                <w:ilvl w:val="0"/>
                <w:numId w:val="0"/>
              </w:numPr>
              <w:jc w:val="center"/>
              <w:rPr>
                <w:rFonts w:hint="default"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(Interview validation)</w:t>
            </w:r>
          </w:p>
        </w:tc>
        <w:tc>
          <w:tcPr>
            <w:tcW w:w="1650" w:type="dxa"/>
            <w:tcBorders>
              <w:top w:val="nil"/>
              <w:left w:val="nil"/>
              <w:bottom w:val="nil"/>
              <w:right w:val="nil"/>
            </w:tcBorders>
            <w:shd w:val="clear" w:color="auto" w:fill="FFFFFF"/>
            <w:vAlign w:val="center"/>
          </w:tcPr>
          <w:p w14:paraId="1172243C">
            <w:pPr>
              <w:pStyle w:val="11"/>
              <w:numPr>
                <w:ilvl w:val="0"/>
                <w:numId w:val="0"/>
              </w:numPr>
              <w:jc w:val="center"/>
              <w:rPr>
                <w:rFonts w:hint="eastAsia"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0</w:t>
            </w:r>
          </w:p>
        </w:tc>
        <w:tc>
          <w:tcPr>
            <w:tcW w:w="1862" w:type="dxa"/>
            <w:tcBorders>
              <w:top w:val="nil"/>
              <w:left w:val="nil"/>
              <w:bottom w:val="nil"/>
              <w:right w:val="nil"/>
            </w:tcBorders>
            <w:shd w:val="clear" w:color="auto" w:fill="FFFFFF"/>
            <w:vAlign w:val="center"/>
          </w:tcPr>
          <w:p w14:paraId="1FDF5EA2">
            <w:pPr>
              <w:numPr>
                <w:ilvl w:val="0"/>
                <w:numId w:val="0"/>
              </w:numPr>
              <w:jc w:val="center"/>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lang w:val="en-US" w:eastAsia="zh-CN"/>
              </w:rPr>
              <w:t>138</w:t>
            </w:r>
          </w:p>
        </w:tc>
        <w:tc>
          <w:tcPr>
            <w:tcW w:w="3417" w:type="dxa"/>
            <w:tcBorders>
              <w:top w:val="nil"/>
              <w:left w:val="nil"/>
              <w:bottom w:val="nil"/>
              <w:right w:val="nil"/>
            </w:tcBorders>
            <w:shd w:val="clear" w:color="auto" w:fill="FFFFFF"/>
            <w:vAlign w:val="center"/>
          </w:tcPr>
          <w:p w14:paraId="62875168">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No new information confirmed, with a stable thematic structure</w:t>
            </w:r>
          </w:p>
        </w:tc>
      </w:tr>
      <w:tr w14:paraId="36FF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3" w:type="dxa"/>
            <w:tcBorders>
              <w:top w:val="nil"/>
              <w:left w:val="nil"/>
              <w:bottom w:val="single" w:color="000000" w:sz="12" w:space="0"/>
              <w:right w:val="nil"/>
            </w:tcBorders>
            <w:shd w:val="clear" w:color="auto" w:fill="FFFFFF"/>
            <w:vAlign w:val="center"/>
          </w:tcPr>
          <w:p w14:paraId="72F12B04">
            <w:pPr>
              <w:pStyle w:val="11"/>
              <w:numPr>
                <w:ilvl w:val="0"/>
                <w:numId w:val="0"/>
              </w:numPr>
              <w:jc w:val="center"/>
              <w:rPr>
                <w:rFonts w:hint="eastAsia"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26</w:t>
            </w:r>
          </w:p>
          <w:p w14:paraId="18B804DB">
            <w:pPr>
              <w:pStyle w:val="11"/>
              <w:numPr>
                <w:ilvl w:val="0"/>
                <w:numId w:val="0"/>
              </w:numPr>
              <w:jc w:val="center"/>
              <w:rPr>
                <w:rFonts w:hint="default" w:ascii="Times New Roman" w:hAnsi="Times New Roman" w:cs="Times New Roman"/>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(Interview validation)</w:t>
            </w:r>
          </w:p>
        </w:tc>
        <w:tc>
          <w:tcPr>
            <w:tcW w:w="1650" w:type="dxa"/>
            <w:tcBorders>
              <w:top w:val="nil"/>
              <w:left w:val="nil"/>
              <w:bottom w:val="single" w:color="000000" w:sz="12" w:space="0"/>
              <w:right w:val="nil"/>
            </w:tcBorders>
            <w:shd w:val="clear" w:color="auto" w:fill="FFFFFF"/>
            <w:vAlign w:val="center"/>
          </w:tcPr>
          <w:p w14:paraId="76DEFF2F">
            <w:pPr>
              <w:pStyle w:val="11"/>
              <w:numPr>
                <w:ilvl w:val="0"/>
                <w:numId w:val="0"/>
              </w:numPr>
              <w:jc w:val="center"/>
              <w:rPr>
                <w:rFonts w:hint="eastAsia" w:ascii="Times New Roman" w:hAnsi="Times New Roman" w:cs="Times New Roman" w:eastAsiaTheme="minorEastAsia"/>
                <w:b w:val="0"/>
                <w:color w:val="000000"/>
                <w:sz w:val="22"/>
                <w:szCs w:val="24"/>
                <w:vertAlign w:val="baseline"/>
                <w:lang w:val="en-US" w:eastAsia="zh-CN"/>
              </w:rPr>
            </w:pPr>
            <w:r>
              <w:rPr>
                <w:rFonts w:hint="eastAsia" w:ascii="Times New Roman" w:hAnsi="Times New Roman" w:cs="Times New Roman"/>
                <w:b w:val="0"/>
                <w:color w:val="000000"/>
                <w:sz w:val="22"/>
                <w:szCs w:val="24"/>
                <w:vertAlign w:val="baseline"/>
                <w:lang w:val="en-US" w:eastAsia="zh-CN"/>
              </w:rPr>
              <w:t>0</w:t>
            </w:r>
          </w:p>
        </w:tc>
        <w:tc>
          <w:tcPr>
            <w:tcW w:w="1862" w:type="dxa"/>
            <w:tcBorders>
              <w:top w:val="nil"/>
              <w:left w:val="nil"/>
              <w:bottom w:val="single" w:color="000000" w:sz="12" w:space="0"/>
              <w:right w:val="nil"/>
            </w:tcBorders>
            <w:shd w:val="clear" w:color="auto" w:fill="FFFFFF"/>
            <w:vAlign w:val="center"/>
          </w:tcPr>
          <w:p w14:paraId="44FB2C47">
            <w:pPr>
              <w:numPr>
                <w:ilvl w:val="0"/>
                <w:numId w:val="0"/>
              </w:numPr>
              <w:jc w:val="center"/>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lang w:val="en-US" w:eastAsia="zh-CN"/>
              </w:rPr>
              <w:t>138</w:t>
            </w:r>
          </w:p>
        </w:tc>
        <w:tc>
          <w:tcPr>
            <w:tcW w:w="3417" w:type="dxa"/>
            <w:tcBorders>
              <w:top w:val="nil"/>
              <w:left w:val="nil"/>
              <w:bottom w:val="single" w:color="000000" w:sz="12" w:space="0"/>
              <w:right w:val="nil"/>
            </w:tcBorders>
            <w:shd w:val="clear" w:color="auto" w:fill="FFFFFF"/>
            <w:vAlign w:val="center"/>
          </w:tcPr>
          <w:p w14:paraId="141B4760">
            <w:pPr>
              <w:pStyle w:val="11"/>
              <w:numPr>
                <w:ilvl w:val="0"/>
                <w:numId w:val="0"/>
              </w:numPr>
              <w:jc w:val="both"/>
              <w:rPr>
                <w:rFonts w:hint="eastAsia" w:ascii="Times New Roman" w:hAnsi="Times New Roman" w:cs="Times New Roman"/>
                <w:b w:val="0"/>
                <w:color w:val="000000"/>
                <w:sz w:val="22"/>
                <w:szCs w:val="24"/>
                <w:vertAlign w:val="baseline"/>
              </w:rPr>
            </w:pPr>
            <w:r>
              <w:rPr>
                <w:rFonts w:hint="eastAsia" w:ascii="Times New Roman" w:hAnsi="Times New Roman" w:cs="Times New Roman"/>
                <w:b w:val="0"/>
                <w:color w:val="000000"/>
                <w:sz w:val="22"/>
                <w:szCs w:val="24"/>
                <w:vertAlign w:val="baseline"/>
              </w:rPr>
              <w:t>No new information confirmed, with a stable thematic structure</w:t>
            </w:r>
          </w:p>
        </w:tc>
      </w:tr>
    </w:tbl>
    <w:p w14:paraId="2E98A4A4">
      <w:pPr>
        <w:pStyle w:val="11"/>
        <w:numPr>
          <w:ilvl w:val="0"/>
          <w:numId w:val="0"/>
        </w:numPr>
        <w:ind w:leftChars="0"/>
        <w:rPr>
          <w:rFonts w:hint="eastAsia" w:ascii="Times New Roman" w:hAnsi="Times New Roman" w:cs="Times New Roman"/>
          <w:sz w:val="22"/>
          <w:szCs w:val="24"/>
        </w:rPr>
        <w:sectPr>
          <w:pgSz w:w="11906" w:h="16838"/>
          <w:pgMar w:top="1440" w:right="1800" w:bottom="1440" w:left="1800" w:header="851" w:footer="992" w:gutter="0"/>
          <w:cols w:space="425" w:num="1"/>
          <w:docGrid w:type="lines" w:linePitch="312" w:charSpace="0"/>
        </w:sectPr>
      </w:pPr>
    </w:p>
    <w:p w14:paraId="67B996FC">
      <w:pPr>
        <w:pStyle w:val="11"/>
        <w:numPr>
          <w:ilvl w:val="0"/>
          <w:numId w:val="0"/>
        </w:numPr>
        <w:ind w:leftChars="0"/>
        <w:jc w:val="center"/>
        <w:rPr>
          <w:rFonts w:hint="default" w:ascii="Times New Roman" w:hAnsi="Times New Roman" w:cs="Times New Roman"/>
          <w:b/>
          <w:bCs/>
          <w:color w:val="auto"/>
          <w:sz w:val="24"/>
          <w:szCs w:val="28"/>
        </w:rPr>
      </w:pPr>
      <w:r>
        <w:rPr>
          <w:rFonts w:hint="eastAsia" w:ascii="Times New Roman" w:hAnsi="Times New Roman" w:cs="Times New Roman"/>
          <w:b/>
          <w:bCs/>
          <w:color w:val="auto"/>
          <w:sz w:val="24"/>
          <w:szCs w:val="28"/>
          <w:lang w:val="en-US" w:eastAsia="zh-CN"/>
        </w:rPr>
        <w:t>C</w:t>
      </w:r>
      <w:r>
        <w:rPr>
          <w:rFonts w:hint="default" w:ascii="Times New Roman" w:hAnsi="Times New Roman" w:cs="Times New Roman"/>
          <w:b/>
          <w:bCs/>
          <w:color w:val="auto"/>
          <w:sz w:val="24"/>
          <w:szCs w:val="28"/>
        </w:rPr>
        <w:t>riteria to determine whether data saturation</w:t>
      </w:r>
    </w:p>
    <w:p w14:paraId="335D5BB9">
      <w:pPr>
        <w:pStyle w:val="11"/>
        <w:numPr>
          <w:ilvl w:val="0"/>
          <w:numId w:val="0"/>
        </w:numPr>
        <w:ind w:leftChars="0"/>
        <w:rPr>
          <w:rFonts w:hint="default" w:ascii="Times New Roman" w:hAnsi="Times New Roman" w:cs="Times New Roman"/>
          <w:color w:val="auto"/>
          <w:sz w:val="22"/>
          <w:szCs w:val="24"/>
          <w:lang w:val="en-US" w:eastAsia="zh-CN"/>
        </w:rPr>
      </w:pPr>
      <w:r>
        <w:rPr>
          <w:rFonts w:hint="default" w:ascii="Times New Roman" w:hAnsi="Times New Roman" w:cs="Times New Roman"/>
          <w:color w:val="auto"/>
          <w:sz w:val="22"/>
          <w:szCs w:val="24"/>
          <w:lang w:val="en-US" w:eastAsia="zh-CN"/>
        </w:rPr>
        <w:t xml:space="preserve">(a)existing codes recurred consistently in subsequent interviews, with their attributes and dimensions (e.g., characteristics, manifestations, causes, outcomes) no longer undergoing change, which indicated that patterns had become stable and predictable; </w:t>
      </w:r>
    </w:p>
    <w:p w14:paraId="25877010">
      <w:pPr>
        <w:pStyle w:val="11"/>
        <w:numPr>
          <w:ilvl w:val="0"/>
          <w:numId w:val="0"/>
        </w:numPr>
        <w:ind w:leftChars="0"/>
        <w:rPr>
          <w:rFonts w:hint="default" w:ascii="Times New Roman" w:hAnsi="Times New Roman" w:cs="Times New Roman"/>
          <w:color w:val="auto"/>
          <w:sz w:val="22"/>
          <w:szCs w:val="24"/>
          <w:lang w:val="en-US" w:eastAsia="zh-CN"/>
        </w:rPr>
      </w:pPr>
      <w:r>
        <w:rPr>
          <w:rFonts w:hint="default" w:ascii="Times New Roman" w:hAnsi="Times New Roman" w:cs="Times New Roman"/>
          <w:color w:val="auto"/>
          <w:sz w:val="22"/>
          <w:szCs w:val="24"/>
          <w:lang w:val="en-US" w:eastAsia="zh-CN"/>
        </w:rPr>
        <w:t xml:space="preserve">(b) the relationships among sub-themes within each major theme had been sufficiently delineated and described, with no ambiguity or contradiction remaining; </w:t>
      </w:r>
    </w:p>
    <w:p w14:paraId="1BB3920C">
      <w:pPr>
        <w:pStyle w:val="11"/>
        <w:numPr>
          <w:ilvl w:val="0"/>
          <w:numId w:val="0"/>
        </w:numPr>
        <w:ind w:leftChars="0"/>
        <w:rPr>
          <w:rFonts w:hint="default" w:ascii="Times New Roman" w:hAnsi="Times New Roman" w:cs="Times New Roman"/>
          <w:color w:val="auto"/>
          <w:sz w:val="22"/>
          <w:szCs w:val="24"/>
          <w:lang w:val="en-US" w:eastAsia="zh-CN"/>
        </w:rPr>
      </w:pPr>
      <w:r>
        <w:rPr>
          <w:rFonts w:hint="default" w:ascii="Times New Roman" w:hAnsi="Times New Roman" w:cs="Times New Roman"/>
          <w:color w:val="auto"/>
          <w:sz w:val="22"/>
          <w:szCs w:val="24"/>
          <w:lang w:val="en-US" w:eastAsia="zh-CN"/>
        </w:rPr>
        <w:t xml:space="preserve">(c) the interrelationships between different themes had been clearly established, and new data no longer altered this structure; </w:t>
      </w:r>
    </w:p>
    <w:p w14:paraId="17F6B6F9">
      <w:pPr>
        <w:pStyle w:val="11"/>
        <w:keepNext w:val="0"/>
        <w:keepLines w:val="0"/>
        <w:pageBreakBefore w:val="0"/>
        <w:widowControl w:val="0"/>
        <w:numPr>
          <w:ilvl w:val="0"/>
          <w:numId w:val="0"/>
        </w:numPr>
        <w:kinsoku/>
        <w:wordWrap/>
        <w:overflowPunct/>
        <w:topLinePunct w:val="0"/>
        <w:autoSpaceDE/>
        <w:autoSpaceDN/>
        <w:bidi w:val="0"/>
        <w:adjustRightInd/>
        <w:snapToGrid/>
        <w:ind w:leftChars="0"/>
        <w:textAlignment w:val="auto"/>
        <w:rPr>
          <w:rFonts w:hint="default" w:ascii="Times New Roman" w:hAnsi="Times New Roman" w:cs="Times New Roman"/>
          <w:color w:val="auto"/>
          <w:sz w:val="22"/>
          <w:szCs w:val="24"/>
          <w:lang w:val="en-US" w:eastAsia="zh-CN"/>
        </w:rPr>
      </w:pPr>
      <w:r>
        <w:rPr>
          <w:rFonts w:hint="default" w:ascii="Times New Roman" w:hAnsi="Times New Roman" w:cs="Times New Roman"/>
          <w:color w:val="auto"/>
          <w:sz w:val="22"/>
          <w:szCs w:val="24"/>
          <w:lang w:val="en-US" w:eastAsia="zh-CN"/>
        </w:rPr>
        <w:t xml:space="preserve">(d) new data no longer yield “anomalous cases” or “exceptions” that could not be explained within the existing thematic framework; </w:t>
      </w:r>
    </w:p>
    <w:p w14:paraId="38F5754A">
      <w:pPr>
        <w:pStyle w:val="11"/>
        <w:numPr>
          <w:ilvl w:val="0"/>
          <w:numId w:val="0"/>
        </w:numPr>
        <w:ind w:leftChars="0"/>
        <w:rPr>
          <w:rFonts w:hint="default" w:ascii="Times New Roman" w:hAnsi="Times New Roman" w:cs="Times New Roman"/>
          <w:color w:val="auto"/>
          <w:sz w:val="22"/>
          <w:szCs w:val="24"/>
          <w:lang w:val="en-US" w:eastAsia="zh-CN"/>
        </w:rPr>
      </w:pPr>
      <w:r>
        <w:rPr>
          <w:rFonts w:hint="default" w:ascii="Times New Roman" w:hAnsi="Times New Roman" w:cs="Times New Roman"/>
          <w:color w:val="auto"/>
          <w:sz w:val="22"/>
          <w:szCs w:val="24"/>
          <w:lang w:val="en-US" w:eastAsia="zh-CN"/>
        </w:rPr>
        <w:t xml:space="preserve">(e) each significant theme was substantiated by rich and multi-dimensional data; </w:t>
      </w:r>
    </w:p>
    <w:p w14:paraId="2463B180">
      <w:pPr>
        <w:pStyle w:val="11"/>
        <w:numPr>
          <w:ilvl w:val="0"/>
          <w:numId w:val="0"/>
        </w:numPr>
        <w:ind w:leftChars="0"/>
        <w:rPr>
          <w:rFonts w:hint="default" w:ascii="Times New Roman" w:hAnsi="Times New Roman" w:cs="Times New Roman"/>
          <w:color w:val="auto"/>
          <w:sz w:val="22"/>
          <w:szCs w:val="24"/>
          <w:lang w:val="en-US" w:eastAsia="zh-CN"/>
        </w:rPr>
      </w:pPr>
      <w:r>
        <w:rPr>
          <w:rFonts w:hint="default" w:ascii="Times New Roman" w:hAnsi="Times New Roman" w:cs="Times New Roman"/>
          <w:color w:val="auto"/>
          <w:sz w:val="22"/>
          <w:szCs w:val="24"/>
          <w:lang w:val="en-US" w:eastAsia="zh-CN"/>
        </w:rPr>
        <w:t>(f) the research team reached a consensus through discussion that further data collection was unlikely to yield new substantive insights into the current theoretical model.</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365C8E"/>
    <w:multiLevelType w:val="multilevel"/>
    <w:tmpl w:val="07365C8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355E2812"/>
    <w:multiLevelType w:val="multilevel"/>
    <w:tmpl w:val="355E281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4E0846C7"/>
    <w:multiLevelType w:val="multilevel"/>
    <w:tmpl w:val="4E0846C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5D1E1FC6"/>
    <w:multiLevelType w:val="multilevel"/>
    <w:tmpl w:val="5D1E1FC6"/>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F8F3FCB"/>
    <w:multiLevelType w:val="multilevel"/>
    <w:tmpl w:val="5F8F3FC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875"/>
    <w:rsid w:val="001B7CFE"/>
    <w:rsid w:val="001D0927"/>
    <w:rsid w:val="00326A70"/>
    <w:rsid w:val="00366B75"/>
    <w:rsid w:val="00436875"/>
    <w:rsid w:val="00766226"/>
    <w:rsid w:val="00906FBE"/>
    <w:rsid w:val="009B12E4"/>
    <w:rsid w:val="00AF4731"/>
    <w:rsid w:val="00AF5600"/>
    <w:rsid w:val="00E15EC9"/>
    <w:rsid w:val="00E74B09"/>
    <w:rsid w:val="00F708FA"/>
    <w:rsid w:val="090E3CB1"/>
    <w:rsid w:val="43C9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720</Words>
  <Characters>4220</Characters>
  <Lines>29</Lines>
  <Paragraphs>8</Paragraphs>
  <TotalTime>15</TotalTime>
  <ScaleCrop>false</ScaleCrop>
  <LinksUpToDate>false</LinksUpToDate>
  <CharactersWithSpaces>4848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2020-11-20T05:49:00Z</dcterms:created>
  <dc:creator>冬飞</dc:creator>
  <cp:lastModifiedBy>马冬飞</cp:lastModifiedBy>
  <dcterms:modified xsi:type="dcterms:W3CDTF">2025-11-10T10:12:00Z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eyJoZGlkIjoiYjcxZjQyZjY4NmRlYjkzNmZmNmM3ZTQzZGQ3NTg2Y2UiLCJ1c2VySWQiOiIxNjgwOTcwODAyIn0=</vt:lpwstr>
  </property>
  <property fmtid="{D5CDD505-2E9C-101B-9397-08002B2CF9AE}" pid="3" name="KSOProductBuildVer">
    <vt:lpwstr>2052-12.1.0.19302</vt:lpwstr>
  </property>
  <property fmtid="{D5CDD505-2E9C-101B-9397-08002B2CF9AE}" pid="4" name="ICV">
    <vt:lpwstr>DA665643A42D4098912AE0BED0EA3FEF_12</vt:lpwstr>
  </property>
</Properties>
</file>