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4A8F" w14:textId="0A65EE40" w:rsidR="00ED24F8" w:rsidRPr="00ED24F8" w:rsidRDefault="00ED24F8" w:rsidP="00ED24F8">
      <w:pPr>
        <w:spacing w:line="280" w:lineRule="exact"/>
        <w:rPr>
          <w:rFonts w:ascii="Times New Roman" w:hAnsi="Times New Roman" w:cs="Times New Roman"/>
        </w:rPr>
      </w:pPr>
      <w:r w:rsidRPr="00ED24F8">
        <w:rPr>
          <w:rFonts w:ascii="Times New Roman" w:hAnsi="Times New Roman" w:cs="Times New Roman"/>
        </w:rPr>
        <w:t xml:space="preserve">Supplementary Table S1. </w:t>
      </w:r>
      <w:r w:rsidR="00196A16" w:rsidRPr="00196A16">
        <w:rPr>
          <w:rFonts w:ascii="Times New Roman" w:hAnsi="Times New Roman" w:cs="Times New Roman"/>
        </w:rPr>
        <w:t>Mapping of included evidence to care-bundle domains and item formulation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410"/>
        <w:gridCol w:w="1984"/>
        <w:gridCol w:w="2693"/>
        <w:gridCol w:w="4926"/>
      </w:tblGrid>
      <w:tr w:rsidR="00ED24F8" w14:paraId="27342CD6" w14:textId="77777777" w:rsidTr="00C85CD6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340F45" w14:textId="24E74FCE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Author(s), Year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3A8E54" w14:textId="5C9F60F6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Evidence type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2F233" w14:textId="6957AE6F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Care setting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26584" w14:textId="63CBB5D5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Supported domain(s)</w:t>
            </w:r>
          </w:p>
        </w:tc>
        <w:tc>
          <w:tcPr>
            <w:tcW w:w="49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D74BC" w14:textId="07A3F201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Role in care-bundle development</w:t>
            </w:r>
          </w:p>
        </w:tc>
      </w:tr>
      <w:tr w:rsidR="00ED24F8" w14:paraId="79419B39" w14:textId="77777777" w:rsidTr="00C85CD6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17A8CDBC" w14:textId="09EDCF38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Gould et al., 2024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1E95D6B" w14:textId="3F954AF7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International clinical practice guideline 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0B1AD96" w14:textId="63FFBD39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ED24F8">
              <w:rPr>
                <w:rFonts w:ascii="Times New Roman" w:hAnsi="Times New Roman" w:cs="Times New Roman"/>
              </w:rPr>
              <w:t>Multisetting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2B5D138F" w14:textId="650B23DF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Risk/skin assessment; Repositioning; Support surfaces; Nutrition; Skin care</w:t>
            </w:r>
          </w:p>
        </w:tc>
        <w:tc>
          <w:tcPr>
            <w:tcW w:w="4926" w:type="dxa"/>
            <w:tcBorders>
              <w:top w:val="single" w:sz="4" w:space="0" w:color="auto"/>
            </w:tcBorders>
            <w:vAlign w:val="center"/>
          </w:tcPr>
          <w:p w14:paraId="2CC4140A" w14:textId="776C1EFD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Informed refinement of domain content and alignment with updated international best-practice recommendations</w:t>
            </w:r>
          </w:p>
        </w:tc>
      </w:tr>
      <w:tr w:rsidR="00ED24F8" w14:paraId="4625E770" w14:textId="77777777" w:rsidTr="00C85CD6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5A16086F" w14:textId="57AA6944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Lavallée et al., 2019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A4E7001" w14:textId="36E189D7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Feasibility study (care bundle)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E2B9C7F" w14:textId="0571D620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Nursing home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A1F8E92" w14:textId="7B303501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Risk assessment; Repositioning; Skin care; Education</w:t>
            </w:r>
          </w:p>
        </w:tc>
        <w:tc>
          <w:tcPr>
            <w:tcW w:w="4926" w:type="dxa"/>
            <w:shd w:val="clear" w:color="auto" w:fill="F2F2F2" w:themeFill="background1" w:themeFillShade="F2"/>
            <w:vAlign w:val="center"/>
          </w:tcPr>
          <w:p w14:paraId="27AD8076" w14:textId="036E6E17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Informed feasibility, acceptability, and implementation considerations relevant to care-bundle development</w:t>
            </w:r>
          </w:p>
        </w:tc>
      </w:tr>
      <w:tr w:rsidR="00ED24F8" w14:paraId="1CCC2094" w14:textId="77777777" w:rsidTr="00C85CD6">
        <w:tc>
          <w:tcPr>
            <w:tcW w:w="2547" w:type="dxa"/>
            <w:vAlign w:val="center"/>
          </w:tcPr>
          <w:p w14:paraId="2DF48FDE" w14:textId="568A67A6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Kottner et al., 2019</w:t>
            </w:r>
          </w:p>
        </w:tc>
        <w:tc>
          <w:tcPr>
            <w:tcW w:w="2410" w:type="dxa"/>
            <w:vAlign w:val="center"/>
          </w:tcPr>
          <w:p w14:paraId="1A3FFAB6" w14:textId="4BE085ED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International guideline protocol</w:t>
            </w:r>
          </w:p>
        </w:tc>
        <w:tc>
          <w:tcPr>
            <w:tcW w:w="1984" w:type="dxa"/>
            <w:vAlign w:val="center"/>
          </w:tcPr>
          <w:p w14:paraId="2381E166" w14:textId="7F7EAF88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ED24F8">
              <w:rPr>
                <w:rFonts w:ascii="Times New Roman" w:hAnsi="Times New Roman" w:cs="Times New Roman"/>
              </w:rPr>
              <w:t>Multisetting</w:t>
            </w:r>
            <w:proofErr w:type="spellEnd"/>
          </w:p>
        </w:tc>
        <w:tc>
          <w:tcPr>
            <w:tcW w:w="2693" w:type="dxa"/>
            <w:vAlign w:val="center"/>
          </w:tcPr>
          <w:p w14:paraId="48B0D242" w14:textId="3A20FDD3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Risk assessment; Skin assessment; Prevention framework</w:t>
            </w:r>
          </w:p>
        </w:tc>
        <w:tc>
          <w:tcPr>
            <w:tcW w:w="4926" w:type="dxa"/>
            <w:vAlign w:val="center"/>
          </w:tcPr>
          <w:p w14:paraId="427EFD67" w14:textId="1EB66697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Provided methodological and conceptual guidance for evidence-based domain selection and prevention frameworks</w:t>
            </w:r>
          </w:p>
        </w:tc>
      </w:tr>
      <w:tr w:rsidR="00ED24F8" w14:paraId="1F2F562A" w14:textId="77777777" w:rsidTr="00C85CD6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0425FD84" w14:textId="0943EBF2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Edsberg et al., 2016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07B6EEB" w14:textId="4CDC45CB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International clinical practice guideline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A5B0F87" w14:textId="396E5C48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Acute, long-term, and community care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26F85EE" w14:textId="59D70056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Risk/skin assessment; Repositioning; Support surfaces; Nutrition; Skin care</w:t>
            </w:r>
          </w:p>
        </w:tc>
        <w:tc>
          <w:tcPr>
            <w:tcW w:w="4926" w:type="dxa"/>
            <w:shd w:val="clear" w:color="auto" w:fill="F2F2F2" w:themeFill="background1" w:themeFillShade="F2"/>
            <w:vAlign w:val="center"/>
          </w:tcPr>
          <w:p w14:paraId="3B71FE23" w14:textId="2834B657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Provided foundational international recommendations and informed initial identification of core preventive domains</w:t>
            </w:r>
          </w:p>
        </w:tc>
      </w:tr>
      <w:tr w:rsidR="00ED24F8" w14:paraId="3955E1D9" w14:textId="77777777" w:rsidTr="00C85CD6">
        <w:tc>
          <w:tcPr>
            <w:tcW w:w="2547" w:type="dxa"/>
            <w:vAlign w:val="center"/>
          </w:tcPr>
          <w:p w14:paraId="5EE3A9CF" w14:textId="6768095C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Hahnel et al., 2020 </w:t>
            </w:r>
          </w:p>
        </w:tc>
        <w:tc>
          <w:tcPr>
            <w:tcW w:w="2410" w:type="dxa"/>
            <w:vAlign w:val="center"/>
          </w:tcPr>
          <w:p w14:paraId="5EF656EB" w14:textId="6DB8C20B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ED24F8">
              <w:rPr>
                <w:rFonts w:ascii="Times New Roman" w:hAnsi="Times New Roman" w:cs="Times New Roman"/>
              </w:rPr>
              <w:t>Randomised</w:t>
            </w:r>
            <w:proofErr w:type="spellEnd"/>
            <w:r w:rsidRPr="00ED24F8">
              <w:rPr>
                <w:rFonts w:ascii="Times New Roman" w:hAnsi="Times New Roman" w:cs="Times New Roman"/>
              </w:rPr>
              <w:t xml:space="preserve"> controlled trial</w:t>
            </w:r>
          </w:p>
        </w:tc>
        <w:tc>
          <w:tcPr>
            <w:tcW w:w="1984" w:type="dxa"/>
            <w:vAlign w:val="center"/>
          </w:tcPr>
          <w:p w14:paraId="2B7164B7" w14:textId="63F90C91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High-risk adult patients</w:t>
            </w:r>
          </w:p>
        </w:tc>
        <w:tc>
          <w:tcPr>
            <w:tcW w:w="2693" w:type="dxa"/>
            <w:vAlign w:val="center"/>
          </w:tcPr>
          <w:p w14:paraId="3831972C" w14:textId="6463F828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Support surfaces; Prophylactic skin protection</w:t>
            </w:r>
          </w:p>
        </w:tc>
        <w:tc>
          <w:tcPr>
            <w:tcW w:w="4926" w:type="dxa"/>
            <w:vAlign w:val="center"/>
          </w:tcPr>
          <w:p w14:paraId="618152E4" w14:textId="6A33FC6E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Provided empirical evidence supporting inclusion of support surface use and prophylactic dressing components</w:t>
            </w:r>
          </w:p>
        </w:tc>
      </w:tr>
      <w:tr w:rsidR="00ED24F8" w14:paraId="4EEFFE64" w14:textId="77777777" w:rsidTr="00C85CD6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2BBF6D2" w14:textId="39AB3856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Johal, 2023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F89D9E" w14:textId="154EAF74" w:rsidR="00ED24F8" w:rsidRPr="00ED24F8" w:rsidRDefault="000E39AA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JBI </w:t>
            </w:r>
            <w:r w:rsidR="00ED24F8" w:rsidRPr="00ED24F8">
              <w:rPr>
                <w:rFonts w:ascii="Times New Roman" w:hAnsi="Times New Roman" w:cs="Times New Roman"/>
              </w:rPr>
              <w:t xml:space="preserve">Evidence summary 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FC3B39B" w14:textId="726A59CB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ED24F8">
              <w:rPr>
                <w:rFonts w:ascii="Times New Roman" w:hAnsi="Times New Roman" w:cs="Times New Roman"/>
              </w:rPr>
              <w:t>Multisetting</w:t>
            </w:r>
            <w:proofErr w:type="spellEnd"/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1CE08DF" w14:textId="7503B615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Skin care; Incontinence-associated skin care</w:t>
            </w:r>
          </w:p>
        </w:tc>
        <w:tc>
          <w:tcPr>
            <w:tcW w:w="4926" w:type="dxa"/>
            <w:shd w:val="clear" w:color="auto" w:fill="F2F2F2" w:themeFill="background1" w:themeFillShade="F2"/>
            <w:vAlign w:val="center"/>
          </w:tcPr>
          <w:p w14:paraId="5836F208" w14:textId="2A6D2EDA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ED24F8">
              <w:rPr>
                <w:rFonts w:ascii="Times New Roman" w:hAnsi="Times New Roman" w:cs="Times New Roman"/>
              </w:rPr>
              <w:t>Synthesised</w:t>
            </w:r>
            <w:proofErr w:type="spellEnd"/>
            <w:r w:rsidRPr="00ED24F8">
              <w:rPr>
                <w:rFonts w:ascii="Times New Roman" w:hAnsi="Times New Roman" w:cs="Times New Roman"/>
              </w:rPr>
              <w:t xml:space="preserve"> best-practice evidence informing skin care, moisture management, and incontinence-related preventive items</w:t>
            </w:r>
          </w:p>
        </w:tc>
      </w:tr>
      <w:tr w:rsidR="00ED24F8" w14:paraId="05AE3D3C" w14:textId="77777777" w:rsidTr="00C85CD6">
        <w:tc>
          <w:tcPr>
            <w:tcW w:w="2547" w:type="dxa"/>
            <w:vAlign w:val="center"/>
          </w:tcPr>
          <w:p w14:paraId="799166C3" w14:textId="274CF983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Langer et al., 2024</w:t>
            </w:r>
          </w:p>
        </w:tc>
        <w:tc>
          <w:tcPr>
            <w:tcW w:w="2410" w:type="dxa"/>
            <w:vAlign w:val="center"/>
          </w:tcPr>
          <w:p w14:paraId="5A205248" w14:textId="4F0CDEE5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Systematic review </w:t>
            </w:r>
          </w:p>
        </w:tc>
        <w:tc>
          <w:tcPr>
            <w:tcW w:w="1984" w:type="dxa"/>
            <w:vAlign w:val="center"/>
          </w:tcPr>
          <w:p w14:paraId="25016F59" w14:textId="17308EE7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Adult care</w:t>
            </w:r>
          </w:p>
        </w:tc>
        <w:tc>
          <w:tcPr>
            <w:tcW w:w="2693" w:type="dxa"/>
            <w:vAlign w:val="center"/>
          </w:tcPr>
          <w:p w14:paraId="43195EFB" w14:textId="3CE6F58E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Nutrition; Hydration</w:t>
            </w:r>
          </w:p>
        </w:tc>
        <w:tc>
          <w:tcPr>
            <w:tcW w:w="4926" w:type="dxa"/>
            <w:vAlign w:val="center"/>
          </w:tcPr>
          <w:p w14:paraId="3F5D9F1F" w14:textId="036726ED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Supported inclusion of nutrition and hydration as core preventive domains based on </w:t>
            </w:r>
            <w:proofErr w:type="spellStart"/>
            <w:r w:rsidRPr="00ED24F8">
              <w:rPr>
                <w:rFonts w:ascii="Times New Roman" w:hAnsi="Times New Roman" w:cs="Times New Roman"/>
              </w:rPr>
              <w:t>synthesised</w:t>
            </w:r>
            <w:proofErr w:type="spellEnd"/>
            <w:r w:rsidRPr="00ED24F8">
              <w:rPr>
                <w:rFonts w:ascii="Times New Roman" w:hAnsi="Times New Roman" w:cs="Times New Roman"/>
              </w:rPr>
              <w:t xml:space="preserve"> high-level evidence</w:t>
            </w:r>
          </w:p>
        </w:tc>
      </w:tr>
      <w:tr w:rsidR="00ED24F8" w14:paraId="37B8A96A" w14:textId="77777777" w:rsidTr="00C85CD6"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79E3ED7" w14:textId="2010653F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Muñoz et al., 2020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CDDC86D" w14:textId="5C33BBCF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International clinical practice guideline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35EBD10" w14:textId="47B8CF50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ED24F8">
              <w:rPr>
                <w:rFonts w:ascii="Times New Roman" w:hAnsi="Times New Roman" w:cs="Times New Roman"/>
              </w:rPr>
              <w:t>Multisetting</w:t>
            </w:r>
            <w:proofErr w:type="spellEnd"/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487E2E2" w14:textId="17F6051C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Nutrition; Hydration</w:t>
            </w:r>
          </w:p>
        </w:tc>
        <w:tc>
          <w:tcPr>
            <w:tcW w:w="4926" w:type="dxa"/>
            <w:shd w:val="clear" w:color="auto" w:fill="F2F2F2" w:themeFill="background1" w:themeFillShade="F2"/>
            <w:vAlign w:val="center"/>
          </w:tcPr>
          <w:p w14:paraId="7C17CA4B" w14:textId="3840198B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Informed nutrition- and hydration-related preventive domains relevant </w:t>
            </w:r>
            <w:proofErr w:type="spellStart"/>
            <w:r w:rsidRPr="00ED24F8">
              <w:rPr>
                <w:rFonts w:ascii="Times New Roman" w:hAnsi="Times New Roman" w:cs="Times New Roman"/>
              </w:rPr>
              <w:t>to</w:t>
            </w:r>
            <w:r w:rsidR="000E39AA">
              <w:rPr>
                <w:rFonts w:ascii="Times New Roman" w:hAnsi="Times New Roman" w:cs="Times New Roman"/>
              </w:rPr>
              <w:t>PI</w:t>
            </w:r>
            <w:proofErr w:type="spellEnd"/>
            <w:r w:rsidRPr="00ED24F8">
              <w:rPr>
                <w:rFonts w:ascii="Times New Roman" w:hAnsi="Times New Roman" w:cs="Times New Roman"/>
              </w:rPr>
              <w:t xml:space="preserve"> prevention</w:t>
            </w:r>
          </w:p>
        </w:tc>
      </w:tr>
      <w:tr w:rsidR="00ED24F8" w14:paraId="5160D998" w14:textId="77777777" w:rsidTr="00C85CD6">
        <w:tc>
          <w:tcPr>
            <w:tcW w:w="2547" w:type="dxa"/>
            <w:vAlign w:val="center"/>
          </w:tcPr>
          <w:p w14:paraId="6B3773A3" w14:textId="37FF09F2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Martin &amp; Holloway, 2024 </w:t>
            </w:r>
          </w:p>
        </w:tc>
        <w:tc>
          <w:tcPr>
            <w:tcW w:w="2410" w:type="dxa"/>
            <w:vAlign w:val="center"/>
          </w:tcPr>
          <w:p w14:paraId="495C341E" w14:textId="06ADAF97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 xml:space="preserve">Observational study </w:t>
            </w:r>
          </w:p>
        </w:tc>
        <w:tc>
          <w:tcPr>
            <w:tcW w:w="1984" w:type="dxa"/>
            <w:vAlign w:val="center"/>
          </w:tcPr>
          <w:p w14:paraId="71483F22" w14:textId="1499C321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Community and home care</w:t>
            </w:r>
          </w:p>
        </w:tc>
        <w:tc>
          <w:tcPr>
            <w:tcW w:w="2693" w:type="dxa"/>
            <w:vAlign w:val="center"/>
          </w:tcPr>
          <w:p w14:paraId="7BAAEC31" w14:textId="69DF9770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Risk assessment; Repositioning; Skin care</w:t>
            </w:r>
          </w:p>
        </w:tc>
        <w:tc>
          <w:tcPr>
            <w:tcW w:w="4926" w:type="dxa"/>
            <w:vAlign w:val="center"/>
          </w:tcPr>
          <w:p w14:paraId="673402EB" w14:textId="41C18458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Provided contextual evidence supporting applicability of preventive domains in community and home-care settings</w:t>
            </w:r>
          </w:p>
        </w:tc>
      </w:tr>
      <w:tr w:rsidR="00ED24F8" w14:paraId="4C72E4BE" w14:textId="77777777" w:rsidTr="00C85CD6">
        <w:tc>
          <w:tcPr>
            <w:tcW w:w="25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E9A7D" w14:textId="557627BD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proofErr w:type="spellStart"/>
            <w:r w:rsidRPr="00ED24F8">
              <w:rPr>
                <w:rFonts w:ascii="Times New Roman" w:hAnsi="Times New Roman" w:cs="Times New Roman"/>
              </w:rPr>
              <w:t>Chaboyer</w:t>
            </w:r>
            <w:proofErr w:type="spellEnd"/>
            <w:r w:rsidRPr="00ED24F8">
              <w:rPr>
                <w:rFonts w:ascii="Times New Roman" w:hAnsi="Times New Roman" w:cs="Times New Roman"/>
              </w:rPr>
              <w:t xml:space="preserve"> et al., 2024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994DEE" w14:textId="0CFFF6F8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Systematic review and meta-analysis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F76DC" w14:textId="52B24E27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Hospital and transitional care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F8FC3" w14:textId="1D6D01A4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Risk assessment; Repositioning; Skin care; Education</w:t>
            </w:r>
          </w:p>
        </w:tc>
        <w:tc>
          <w:tcPr>
            <w:tcW w:w="49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8B34BC" w14:textId="79E4B163" w:rsidR="00ED24F8" w:rsidRPr="00ED24F8" w:rsidRDefault="00ED24F8" w:rsidP="00ED24F8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ED24F8">
              <w:rPr>
                <w:rFonts w:ascii="Times New Roman" w:hAnsi="Times New Roman" w:cs="Times New Roman"/>
              </w:rPr>
              <w:t>Supported the rationale for bundled preventive approaches and informed selection of key bundle components</w:t>
            </w:r>
          </w:p>
        </w:tc>
      </w:tr>
    </w:tbl>
    <w:p w14:paraId="3DEBE050" w14:textId="5CF5B6DF" w:rsidR="00B236D1" w:rsidRPr="00ED24F8" w:rsidRDefault="00B236D1" w:rsidP="00ED24F8">
      <w:pPr>
        <w:spacing w:line="280" w:lineRule="exact"/>
      </w:pPr>
    </w:p>
    <w:sectPr w:rsidR="00B236D1" w:rsidRPr="00ED24F8" w:rsidSect="00ED24F8">
      <w:pgSz w:w="16838" w:h="11906" w:orient="landscape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74393" w14:textId="77777777" w:rsidR="008D3BF3" w:rsidRDefault="008D3BF3" w:rsidP="00B2551B">
      <w:pPr>
        <w:spacing w:after="0" w:line="240" w:lineRule="auto"/>
      </w:pPr>
      <w:r>
        <w:separator/>
      </w:r>
    </w:p>
  </w:endnote>
  <w:endnote w:type="continuationSeparator" w:id="0">
    <w:p w14:paraId="4875DAD9" w14:textId="77777777" w:rsidR="008D3BF3" w:rsidRDefault="008D3BF3" w:rsidP="00B2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CB6CB" w14:textId="77777777" w:rsidR="008D3BF3" w:rsidRDefault="008D3BF3" w:rsidP="00B2551B">
      <w:pPr>
        <w:spacing w:after="0" w:line="240" w:lineRule="auto"/>
      </w:pPr>
      <w:r>
        <w:separator/>
      </w:r>
    </w:p>
  </w:footnote>
  <w:footnote w:type="continuationSeparator" w:id="0">
    <w:p w14:paraId="160253B8" w14:textId="77777777" w:rsidR="008D3BF3" w:rsidRDefault="008D3BF3" w:rsidP="00B25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6333F"/>
    <w:multiLevelType w:val="hybridMultilevel"/>
    <w:tmpl w:val="65F038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3555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6D"/>
    <w:rsid w:val="00060BB3"/>
    <w:rsid w:val="000E39AA"/>
    <w:rsid w:val="00196A16"/>
    <w:rsid w:val="001C456D"/>
    <w:rsid w:val="00233B41"/>
    <w:rsid w:val="00284DAB"/>
    <w:rsid w:val="0052776A"/>
    <w:rsid w:val="0072008E"/>
    <w:rsid w:val="007A44DD"/>
    <w:rsid w:val="008D3BF3"/>
    <w:rsid w:val="00915C5C"/>
    <w:rsid w:val="00B236D1"/>
    <w:rsid w:val="00B2551B"/>
    <w:rsid w:val="00B27848"/>
    <w:rsid w:val="00C85CD6"/>
    <w:rsid w:val="00CD53B4"/>
    <w:rsid w:val="00ED24F8"/>
    <w:rsid w:val="00EE1CA5"/>
    <w:rsid w:val="00F30FCD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896B5"/>
  <w15:chartTrackingRefBased/>
  <w15:docId w15:val="{E1565CA3-B3DB-4367-B0B5-1B3C6890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C45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5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5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5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5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5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5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C45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C4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C45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C4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C45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C45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C45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C45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C45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45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C4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45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C45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4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C45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45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45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4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C45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456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C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255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2551B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255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255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淑芬 羅</dc:creator>
  <cp:keywords/>
  <dc:description/>
  <cp:lastModifiedBy>淑芬 羅</cp:lastModifiedBy>
  <cp:revision>3</cp:revision>
  <cp:lastPrinted>2026-01-27T05:10:00Z</cp:lastPrinted>
  <dcterms:created xsi:type="dcterms:W3CDTF">2026-01-28T14:20:00Z</dcterms:created>
  <dcterms:modified xsi:type="dcterms:W3CDTF">2026-01-28T14:22:00Z</dcterms:modified>
</cp:coreProperties>
</file>